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0D" w:id="1"/>
    <w:p>
      <w:pPr>
        <w:spacing w:before="0" w:after="0" w:line="480"/>
        <w:ind w:left="120"/>
        <w:jc w:val="right"/>
      </w:pPr>
      <w:r>
        <w:rPr>
          <w:rFonts w:ascii="Times New Roman" w:hAnsi="Times New Roman"/>
          <w:b/>
          <w:i w:val="false"/>
          <w:color w:val="000000"/>
          <w:sz w:val="28"/>
        </w:rPr>
        <w:t>ARC 0560D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interest on retained funds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7, “Interest on Retained Funds,”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reserves Chapter 7, which governs the payment of interest on retained funds associated with certain public improvement contracts. The chapter is being removed because the applicable requirements are established in Iowa Code and do not require separate Department-specific administrative rules. Rescinding the chapter eliminates unnecessary and duplicative provisions while leaving the statutory requirements governing retained funds and interest unchanged.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27—Chapter 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