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58D" w:id="1"/>
    <w:p>
      <w:pPr>
        <w:spacing w:before="0" w:after="0" w:line="480"/>
        <w:ind w:left="120"/>
        <w:jc w:val="right"/>
      </w:pPr>
      <w:r>
        <w:rPr>
          <w:rFonts w:ascii="Times New Roman" w:hAnsi="Times New Roman"/>
          <w:b/>
          <w:i w:val="false"/>
          <w:color w:val="000000"/>
          <w:sz w:val="28"/>
        </w:rPr>
        <w:t>ARC 0558D</w:t>
      </w:r>
    </w:p>
    <w:bookmarkEnd w:id="1"/>
    <w:p>
      <w:pPr>
        <w:pBdr>
          <w:top w:space="5"/>
        </w:pBdr>
        <w:spacing w:before="0" w:after="0" w:line="480"/>
        <w:ind w:left="120"/>
        <w:jc w:val="center"/>
      </w:pPr>
      <w:r>
        <w:rPr>
          <w:rFonts w:ascii="Times New Roman" w:hAnsi="Times New Roman"/>
          <w:b/>
          <w:i w:val="false"/>
          <w:color w:val="000000"/>
          <w:sz w:val="28"/>
        </w:rPr>
        <w:t>SOIL CONSERVATION AND WATER QUALITY DIVISION[27]</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conservation practices revolving loan fund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Soil Conservation and Water Quality Division hereby proposes to rescind Chapter 11, “Conservation Practices Revolving Loan Fund,” Iowa Administrative Code, and to adopt a new Chapter 11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161A.4.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161A.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rescinds and replaces Chapter 11 to modernize and streamline administration of the Conservation Practices Revolving Loan Fund. The proposed rules simplify the allocation of available loan funds by providing funding to eligible district applications on a first-come, first-served basis, incorporate use of the Department’s Financial and Reports Management System (FARMS), update references to the Iowa Financial Incentive Program rules, and rely on applicable provisions of the Iowa Code for loan repayment requirements. The rulemaking maintains the existing purpose of the program and its general eligibility, loan amount, and financial partner requirements.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24,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14,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Division for a waiver of the discretionary provisions, if any.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Division no later than 4:30 p.m. on October 6,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8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Colin Tadlock </w:t>
            </w:r>
            <w:r>
              <w:br/>
            </w:r>
            <w:r>
              <w:rPr>
                <w:rFonts w:ascii="Times New Roman" w:hAnsi="Times New Roman"/>
                <w:b w:val="false"/>
                <w:i w:val="false"/>
                <w:color w:val="000000"/>
                <w:sz w:val="14"/>
              </w:rPr>
              <w:t xml:space="preserve">Iowa Department of Agriculture and Land Stewardship </w:t>
            </w:r>
            <w:r>
              <w:br/>
            </w:r>
            <w:r>
              <w:rPr>
                <w:rFonts w:ascii="Times New Roman" w:hAnsi="Times New Roman"/>
                <w:b w:val="false"/>
                <w:i w:val="false"/>
                <w:color w:val="000000"/>
                <w:sz w:val="14"/>
              </w:rPr>
              <w:t>1305 East Walnut Street, Fifth Floor</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27—Chapter 11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11</w:t>
      </w:r>
    </w:p>
    <w:p>
      <w:pPr>
        <w:spacing w:before="0" w:after="0" w:line="480"/>
        <w:ind w:left="120"/>
        <w:jc w:val="center"/>
      </w:pPr>
      <w:r>
        <w:rPr>
          <w:rFonts w:ascii="Times New Roman" w:hAnsi="Times New Roman"/>
          <w:b w:val="false"/>
          <w:i w:val="false"/>
          <w:color w:val="000000"/>
          <w:sz w:val="21"/>
        </w:rPr>
        <w:t>CONSERVATION PRACTICES REVOLVING LOAN FUND</w:t>
      </w:r>
    </w:p>
    <w:p>
      <w:pPr>
        <w:spacing w:before="210" w:after="0" w:line="480"/>
        <w:ind w:left="120"/>
        <w:jc w:val="both"/>
      </w:pPr>
      <w:r>
        <w:rPr>
          <w:rFonts w:ascii="Times New Roman" w:hAnsi="Times New Roman"/>
          <w:b/>
          <w:i w:val="false"/>
          <w:color w:val="000000"/>
          <w:sz w:val="24"/>
        </w:rPr>
        <w:t>27—11.1</w:t>
      </w:r>
      <w:r>
        <w:rPr>
          <w:rFonts w:ascii="Times New Roman" w:hAnsi="Times New Roman"/>
          <w:b/>
          <w:i w:val="false"/>
          <w:color w:val="000000"/>
          <w:sz w:val="24"/>
        </w:rPr>
        <w:t xml:space="preserve">(161A) </w:t>
      </w:r>
      <w:r>
        <w:rPr>
          <w:rFonts w:ascii="Times New Roman" w:hAnsi="Times New Roman"/>
          <w:b/>
          <w:i w:val="false"/>
          <w:color w:val="000000"/>
          <w:sz w:val="24"/>
        </w:rPr>
        <w:t xml:space="preserve">Authority and scope. </w:t>
      </w:r>
      <w:r>
        <w:rPr>
          <w:rFonts w:ascii="Times New Roman" w:hAnsi="Times New Roman"/>
          <w:b w:val="false"/>
          <w:i w:val="false"/>
          <w:color w:val="000000"/>
          <w:sz w:val="24"/>
        </w:rPr>
        <w:t xml:space="preserve">These rules provide procedures and standards to be followed by the division of soil conservation and water quality, department of agriculture and land stewardship, in administering the conservation practices revolving loan fund created in Iowa Code section </w:t>
      </w:r>
      <w:hyperlink r:id="rId6">
        <w:r>
          <w:rPr>
            <w:rStyle w:val="Hyperlink"/>
            <w:rFonts w:ascii="Times New Roman" w:hAnsi="Times New Roman"/>
            <w:b w:val="false"/>
            <w:i w:val="false"/>
            <w:color w:val="000000"/>
            <w:sz w:val="24"/>
          </w:rPr>
          <w:t>161A.71</w:t>
        </w:r>
      </w:hyperlink>
      <w:r>
        <w:rPr>
          <w:rFonts w:ascii="Times New Roman" w:hAnsi="Times New Roman"/>
          <w:b w:val="false"/>
          <w:i w:val="false"/>
          <w:color w:val="000000"/>
          <w:sz w:val="24"/>
        </w:rPr>
        <w:t xml:space="preserve"> and the standards and guidelines to which the soil and water conservation districts shall conform in fulfilling their responsibilities under this program.</w:t>
      </w:r>
    </w:p>
    <w:p>
      <w:pPr>
        <w:spacing w:before="210" w:after="0" w:line="480"/>
        <w:ind w:left="120"/>
        <w:jc w:val="both"/>
      </w:pPr>
      <w:r>
        <w:rPr>
          <w:rFonts w:ascii="Times New Roman" w:hAnsi="Times New Roman"/>
          <w:b/>
          <w:i w:val="false"/>
          <w:color w:val="000000"/>
          <w:sz w:val="24"/>
        </w:rPr>
        <w:t>27—11.2</w:t>
      </w:r>
      <w:r>
        <w:rPr>
          <w:rFonts w:ascii="Times New Roman" w:hAnsi="Times New Roman"/>
          <w:b/>
          <w:i w:val="false"/>
          <w:color w:val="000000"/>
          <w:sz w:val="24"/>
        </w:rPr>
        <w:t xml:space="preserve">(161A) </w:t>
      </w:r>
      <w:r>
        <w:rPr>
          <w:rFonts w:ascii="Times New Roman" w:hAnsi="Times New Roman"/>
          <w:b/>
          <w:i w:val="false"/>
          <w:color w:val="000000"/>
          <w:sz w:val="24"/>
        </w:rPr>
        <w:t xml:space="preserve">Rules are severable. </w:t>
      </w:r>
      <w:r>
        <w:rPr>
          <w:rFonts w:ascii="Times New Roman" w:hAnsi="Times New Roman"/>
          <w:b w:val="false"/>
          <w:i w:val="false"/>
          <w:color w:val="000000"/>
          <w:sz w:val="24"/>
        </w:rPr>
        <w:t>If any provision of a rule or the application thereof to any person or circumstances is held invalid, the invalidity does not affect other provisions or applications of the rule that can be given effect without invalid provision or application, and to this end, the provisions of these rules are severable.</w:t>
      </w:r>
    </w:p>
    <w:p>
      <w:pPr>
        <w:spacing w:before="0" w:after="0" w:line="480"/>
        <w:ind w:left="120"/>
        <w:jc w:val="both"/>
      </w:pPr>
      <w:r>
        <w:rPr>
          <w:rFonts w:ascii="Times New Roman" w:hAnsi="Times New Roman"/>
          <w:b/>
          <w:i w:val="false"/>
          <w:color w:val="000000"/>
          <w:sz w:val="24"/>
        </w:rPr>
        <w:t>27—11.3</w:t>
      </w:r>
      <w:r>
        <w:rPr>
          <w:rFonts w:ascii="Times New Roman" w:hAnsi="Times New Roman"/>
          <w:b/>
          <w:i w:val="false"/>
          <w:color w:val="000000"/>
          <w:sz w:val="24"/>
        </w:rPr>
        <w:t xml:space="preserve">(161A) </w:t>
      </w:r>
      <w:r>
        <w:rPr>
          <w:rFonts w:ascii="Times New Roman" w:hAnsi="Times New Roman"/>
          <w:b/>
          <w:i w:val="false"/>
          <w:color w:val="000000"/>
          <w:sz w:val="24"/>
        </w:rPr>
        <w:t xml:space="preserve">Definition of terms. </w:t>
      </w:r>
      <w:r>
        <w:rPr>
          <w:rFonts w:ascii="Times New Roman" w:hAnsi="Times New Roman"/>
          <w:b w:val="false"/>
          <w:i w:val="false"/>
          <w:color w:val="000000"/>
          <w:sz w:val="24"/>
        </w:rPr>
        <w:t xml:space="preserve">In addition to terms defined herein, definitions in rule </w:t>
      </w:r>
      <w:hyperlink r:id="rId7">
        <w:r>
          <w:rPr>
            <w:rStyle w:val="Hyperlink"/>
            <w:rFonts w:ascii="Times New Roman" w:hAnsi="Times New Roman"/>
            <w:b w:val="false"/>
            <w:i w:val="false"/>
            <w:color w:val="000000"/>
            <w:sz w:val="24"/>
          </w:rPr>
          <w:t>27—10.3</w:t>
        </w:r>
      </w:hyperlink>
      <w:r>
        <w:rPr>
          <w:rFonts w:ascii="Times New Roman" w:hAnsi="Times New Roman"/>
          <w:b w:val="false"/>
          <w:i w:val="false"/>
          <w:color w:val="000000"/>
          <w:sz w:val="24"/>
        </w:rPr>
        <w:t>(161A) shall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“Financial partner”</w:t>
      </w:r>
      <w:r>
        <w:rPr>
          <w:rFonts w:ascii="Times New Roman" w:hAnsi="Times New Roman"/>
          <w:b w:val="false"/>
          <w:i w:val="false"/>
          <w:color w:val="000000"/>
          <w:sz w:val="24"/>
        </w:rPr>
        <w:t> </w:t>
      </w:r>
      <w:r>
        <w:rPr>
          <w:rFonts w:ascii="Times New Roman" w:hAnsi="Times New Roman"/>
          <w:b w:val="false"/>
          <w:i w:val="false"/>
          <w:color w:val="000000"/>
          <w:sz w:val="24"/>
        </w:rPr>
        <w:t>means the division’s designated bank, mortgage company or governmental agency charged with servicing loans described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“Net worth”</w:t>
      </w:r>
      <w:r>
        <w:rPr>
          <w:rFonts w:ascii="Times New Roman" w:hAnsi="Times New Roman"/>
          <w:b w:val="false"/>
          <w:i w:val="false"/>
          <w:color w:val="000000"/>
          <w:sz w:val="24"/>
        </w:rPr>
        <w:t> </w:t>
      </w:r>
      <w:r>
        <w:rPr>
          <w:rFonts w:ascii="Times New Roman" w:hAnsi="Times New Roman"/>
          <w:b w:val="false"/>
          <w:i w:val="false"/>
          <w:color w:val="000000"/>
          <w:sz w:val="24"/>
        </w:rPr>
        <w:t>means total assets minus total liabilities as determined in accordance with generally accepted accounting principles with appropriate exceptions and exemptions reasonably related to an equitable determination of the landowner’s net worth.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“Total assets”</w:t>
      </w:r>
      <w:r>
        <w:rPr>
          <w:rFonts w:ascii="Times New Roman" w:hAnsi="Times New Roman"/>
          <w:b w:val="false"/>
          <w:i w:val="false"/>
          <w:color w:val="000000"/>
          <w:sz w:val="24"/>
        </w:rPr>
        <w:t> </w:t>
      </w:r>
      <w:r>
        <w:rPr>
          <w:rFonts w:ascii="Times New Roman" w:hAnsi="Times New Roman"/>
          <w:b w:val="false"/>
          <w:i w:val="false"/>
          <w:color w:val="000000"/>
          <w:sz w:val="24"/>
        </w:rPr>
        <w:t>means the sum of cash; crops or feed on hand; livestock held for sale; breeding stock; marketable bonds and securities; securities (not readily marketable); accounts receivable; notes receivable; cash invested in growing crops; net cash value of life insurance; machinery, equipment, cars and trucks; farm and other real estate including life estates and personal residence; value of beneficial interest in a trust; government payments or grants; and any other assets. Total assets shall not include items used for personal, family or household purposes by the applicant, but in no event shall such property be excluded to the extent a deduction for depreciation is allowable for federal income tax purposes. All assets shall be valued at fair market value by the participating lender. Such value shall be what a willing buyer would pay a willing seller in the locality. A deduction of 10 percent may be made from fair market value of farm and other real estate.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“Total liabilities”</w:t>
      </w:r>
      <w:r>
        <w:rPr>
          <w:rFonts w:ascii="Times New Roman" w:hAnsi="Times New Roman"/>
          <w:b w:val="false"/>
          <w:i w:val="false"/>
          <w:color w:val="000000"/>
          <w:sz w:val="24"/>
        </w:rPr>
        <w:t> </w:t>
      </w:r>
      <w:r>
        <w:rPr>
          <w:rFonts w:ascii="Times New Roman" w:hAnsi="Times New Roman"/>
          <w:b w:val="false"/>
          <w:i w:val="false"/>
          <w:color w:val="000000"/>
          <w:sz w:val="24"/>
        </w:rPr>
        <w:t>means the sum of accounts payable, notes or other indebtedness owed to any source, taxes, rent, amount owed on real estate contract or real estate mortgages, judgments, accrued interest payable, and any other liabilities. Liabilities shall be determined on the basis of generally accepted accounting principles.</w:t>
      </w:r>
    </w:p>
    <w:p>
      <w:pPr>
        <w:spacing w:before="0" w:after="0" w:line="480"/>
        <w:ind w:left="120"/>
        <w:jc w:val="both"/>
      </w:pPr>
      <w:r>
        <w:rPr>
          <w:rFonts w:ascii="Times New Roman" w:hAnsi="Times New Roman"/>
          <w:b/>
          <w:i w:val="false"/>
          <w:color w:val="000000"/>
          <w:sz w:val="24"/>
        </w:rPr>
        <w:t>27—11.4</w:t>
      </w:r>
      <w:r>
        <w:rPr>
          <w:rFonts w:ascii="Times New Roman" w:hAnsi="Times New Roman"/>
          <w:b/>
          <w:i w:val="false"/>
          <w:color w:val="000000"/>
          <w:sz w:val="24"/>
        </w:rPr>
        <w:t xml:space="preserve">(161A) </w:t>
      </w:r>
      <w:r>
        <w:rPr>
          <w:rFonts w:ascii="Times New Roman" w:hAnsi="Times New Roman"/>
          <w:b/>
          <w:i w:val="false"/>
          <w:color w:val="000000"/>
          <w:sz w:val="24"/>
        </w:rPr>
        <w:t xml:space="preserve">Financial partner.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w:t>
      </w:r>
      <w:r>
        <w:rPr>
          <w:rFonts w:ascii="Times New Roman" w:hAnsi="Times New Roman"/>
          <w:b w:val="false"/>
          <w:i w:val="false"/>
          <w:color w:val="000000"/>
          <w:sz w:val="24"/>
        </w:rPr>
        <w:t> </w:t>
      </w:r>
      <w:r>
        <w:rPr>
          <w:rFonts w:ascii="Times New Roman" w:hAnsi="Times New Roman"/>
          <w:b w:val="false"/>
          <w:i/>
          <w:color w:val="000000"/>
          <w:sz w:val="24"/>
        </w:rPr>
        <w:t xml:space="preserve">Agreement. </w:t>
      </w:r>
      <w:r>
        <w:rPr>
          <w:rFonts w:ascii="Times New Roman" w:hAnsi="Times New Roman"/>
          <w:b w:val="false"/>
          <w:i w:val="false"/>
          <w:color w:val="000000"/>
          <w:sz w:val="24"/>
        </w:rPr>
        <w:t>The division may designate or enter into an agreement with a financial partner to assist with servicing loans under this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11.4(2)</w:t>
      </w:r>
      <w:r>
        <w:rPr>
          <w:rFonts w:ascii="Times New Roman" w:hAnsi="Times New Roman"/>
          <w:b w:val="false"/>
          <w:i w:val="false"/>
          <w:color w:val="000000"/>
          <w:sz w:val="24"/>
        </w:rPr>
        <w:t> </w:t>
      </w:r>
      <w:r>
        <w:rPr>
          <w:rFonts w:ascii="Times New Roman" w:hAnsi="Times New Roman"/>
          <w:b w:val="false"/>
          <w:i/>
          <w:color w:val="000000"/>
          <w:sz w:val="24"/>
        </w:rPr>
        <w:t xml:space="preserve">Responsibilities. </w:t>
      </w:r>
      <w:r>
        <w:rPr>
          <w:rFonts w:ascii="Times New Roman" w:hAnsi="Times New Roman"/>
          <w:b w:val="false"/>
          <w:i w:val="false"/>
          <w:color w:val="000000"/>
          <w:sz w:val="24"/>
        </w:rPr>
        <w:t>The financial partner may assist with the following responsibilities: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Making determinations regarding an applicant’s ability to repay the loan. Making this determination may include evaluating the applicant’s net worth or securing other information as deemed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Securing valid liens on real estate on which the conservation practices are applied.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Disbursing loan funds and processing loan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Collecting application fees for servicing loans. Maximum application fees assessed to the borrower will be 2 percent of the loan plus filing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Pursuing delinquent loan payments and collections.</w:t>
      </w:r>
    </w:p>
    <w:p>
      <w:pPr>
        <w:spacing w:before="0" w:after="0" w:line="480"/>
        <w:ind w:left="120"/>
        <w:jc w:val="both"/>
      </w:pPr>
      <w:r>
        <w:rPr>
          <w:rFonts w:ascii="Times New Roman" w:hAnsi="Times New Roman"/>
          <w:b/>
          <w:i w:val="false"/>
          <w:color w:val="000000"/>
          <w:sz w:val="24"/>
        </w:rPr>
        <w:t>27—11.5</w:t>
      </w:r>
      <w:r>
        <w:rPr>
          <w:rFonts w:ascii="Times New Roman" w:hAnsi="Times New Roman"/>
          <w:b/>
          <w:i w:val="false"/>
          <w:color w:val="000000"/>
          <w:sz w:val="24"/>
        </w:rPr>
        <w:t xml:space="preserve">(161A) </w:t>
      </w:r>
      <w:r>
        <w:rPr>
          <w:rFonts w:ascii="Times New Roman" w:hAnsi="Times New Roman"/>
          <w:b/>
          <w:i w:val="false"/>
          <w:color w:val="000000"/>
          <w:sz w:val="24"/>
        </w:rPr>
        <w:t xml:space="preserve">Allocation of revolving loan funds to soil and water conservation districts.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11.5(1)</w:t>
      </w:r>
      <w:r>
        <w:rPr>
          <w:rFonts w:ascii="Times New Roman" w:hAnsi="Times New Roman"/>
          <w:b w:val="false"/>
          <w:i w:val="false"/>
          <w:color w:val="000000"/>
          <w:sz w:val="24"/>
        </w:rPr>
        <w:t> </w:t>
      </w:r>
      <w:r>
        <w:rPr>
          <w:rFonts w:ascii="Times New Roman" w:hAnsi="Times New Roman"/>
          <w:b w:val="false"/>
          <w:i/>
          <w:color w:val="000000"/>
          <w:sz w:val="24"/>
        </w:rPr>
        <w:t xml:space="preserve">Method. </w:t>
      </w:r>
      <w:r>
        <w:rPr>
          <w:rFonts w:ascii="Times New Roman" w:hAnsi="Times New Roman"/>
          <w:b w:val="false"/>
          <w:i w:val="false"/>
          <w:color w:val="000000"/>
          <w:sz w:val="24"/>
        </w:rPr>
        <w:t>The division shall utilize the following method to allocate program funds to the districts.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11.5(2)</w:t>
      </w:r>
      <w:r>
        <w:rPr>
          <w:rFonts w:ascii="Times New Roman" w:hAnsi="Times New Roman"/>
          <w:b w:val="false"/>
          <w:i w:val="false"/>
          <w:color w:val="000000"/>
          <w:sz w:val="24"/>
        </w:rPr>
        <w:t> </w:t>
      </w:r>
      <w:r>
        <w:rPr>
          <w:rFonts w:ascii="Times New Roman" w:hAnsi="Times New Roman"/>
          <w:b w:val="false"/>
          <w:i/>
          <w:color w:val="000000"/>
          <w:sz w:val="24"/>
        </w:rPr>
        <w:t xml:space="preserve">District allocations. </w:t>
      </w:r>
      <w:r>
        <w:rPr>
          <w:rFonts w:ascii="Times New Roman" w:hAnsi="Times New Roman"/>
          <w:b w:val="false"/>
          <w:i w:val="false"/>
          <w:color w:val="000000"/>
          <w:sz w:val="24"/>
        </w:rPr>
        <w:t>Districts shall submit requests identifying valid applications and cost estimates as they are received and as the applicant has verified that they would like to move forward with securing a loan through this program. The division shall allocate available program funding on a first-come, first-served basis until such time as these funds are exhausted.</w:t>
      </w:r>
    </w:p>
    <w:p>
      <w:pPr>
        <w:spacing w:before="0" w:after="0" w:line="480"/>
        <w:ind w:left="120"/>
        <w:jc w:val="both"/>
      </w:pPr>
      <w:r>
        <w:rPr>
          <w:rFonts w:ascii="Times New Roman" w:hAnsi="Times New Roman"/>
          <w:b/>
          <w:i w:val="false"/>
          <w:color w:val="000000"/>
          <w:sz w:val="24"/>
        </w:rPr>
        <w:t>27—11.6</w:t>
      </w:r>
      <w:r>
        <w:rPr>
          <w:rFonts w:ascii="Times New Roman" w:hAnsi="Times New Roman"/>
          <w:b/>
          <w:i w:val="false"/>
          <w:color w:val="000000"/>
          <w:sz w:val="24"/>
        </w:rPr>
        <w:t xml:space="preserve">(161A) </w:t>
      </w:r>
      <w:r>
        <w:rPr>
          <w:rFonts w:ascii="Times New Roman" w:hAnsi="Times New Roman"/>
          <w:b/>
          <w:i w:val="false"/>
          <w:color w:val="000000"/>
          <w:sz w:val="24"/>
        </w:rPr>
        <w:t xml:space="preserve">Eligibility for revolving fund loan.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11.6(1)</w:t>
      </w:r>
      <w:r>
        <w:rPr>
          <w:rFonts w:ascii="Times New Roman" w:hAnsi="Times New Roman"/>
          <w:b w:val="false"/>
          <w:i w:val="false"/>
          <w:color w:val="000000"/>
          <w:sz w:val="24"/>
        </w:rPr>
        <w:t> </w:t>
      </w:r>
      <w:r>
        <w:rPr>
          <w:rFonts w:ascii="Times New Roman" w:hAnsi="Times New Roman"/>
          <w:b w:val="false"/>
          <w:i/>
          <w:color w:val="000000"/>
          <w:sz w:val="24"/>
        </w:rPr>
        <w:t xml:space="preserve">Ability to repay the loan. </w:t>
      </w:r>
      <w:r>
        <w:rPr>
          <w:rFonts w:ascii="Times New Roman" w:hAnsi="Times New Roman"/>
          <w:b w:val="false"/>
          <w:i w:val="false"/>
          <w:color w:val="000000"/>
          <w:sz w:val="24"/>
        </w:rPr>
        <w:t>The applicant must demonstrate the ability to repay the loan to the satisfaction of the division and its financial partner.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11.6(2)</w:t>
      </w:r>
      <w:r>
        <w:rPr>
          <w:rFonts w:ascii="Times New Roman" w:hAnsi="Times New Roman"/>
          <w:b w:val="false"/>
          <w:i w:val="false"/>
          <w:color w:val="000000"/>
          <w:sz w:val="24"/>
        </w:rPr>
        <w:t> </w:t>
      </w:r>
      <w:r>
        <w:rPr>
          <w:rFonts w:ascii="Times New Roman" w:hAnsi="Times New Roman"/>
          <w:b w:val="false"/>
          <w:i/>
          <w:color w:val="000000"/>
          <w:sz w:val="24"/>
        </w:rPr>
        <w:t xml:space="preserve">Use of the loan. </w:t>
      </w:r>
      <w:r>
        <w:rPr>
          <w:rFonts w:ascii="Times New Roman" w:hAnsi="Times New Roman"/>
          <w:b w:val="false"/>
          <w:i w:val="false"/>
          <w:color w:val="000000"/>
          <w:sz w:val="24"/>
        </w:rPr>
        <w:t xml:space="preserve">Loan funds shall be used only to pay the total eligible cost of installing permanent soil and water conservation practices listed in </w:t>
      </w:r>
      <w:hyperlink r:id="rId8">
        <w:r>
          <w:rPr>
            <w:rStyle w:val="Hyperlink"/>
            <w:rFonts w:ascii="Times New Roman" w:hAnsi="Times New Roman"/>
            <w:b w:val="false"/>
            <w:i w:val="false"/>
            <w:color w:val="000000"/>
            <w:sz w:val="24"/>
          </w:rPr>
          <w:t>27—subrule 10.21(3)</w:t>
        </w:r>
      </w:hyperlink>
      <w:r>
        <w:rPr>
          <w:rFonts w:ascii="Times New Roman" w:hAnsi="Times New Roman"/>
          <w:b w:val="false"/>
          <w:i w:val="false"/>
          <w:color w:val="000000"/>
          <w:sz w:val="24"/>
        </w:rPr>
        <w:t xml:space="preserve"> for the Iowa financial incentive program for soil erosion control. District commissioners may designate which soil and water conservation practices will be eligible for loans in their district. The general conditions contained in rule </w:t>
      </w:r>
      <w:hyperlink r:id="rId9">
        <w:r>
          <w:rPr>
            <w:rStyle w:val="Hyperlink"/>
            <w:rFonts w:ascii="Times New Roman" w:hAnsi="Times New Roman"/>
            <w:b w:val="false"/>
            <w:i w:val="false"/>
            <w:color w:val="000000"/>
            <w:sz w:val="24"/>
          </w:rPr>
          <w:t>27—10.20</w:t>
        </w:r>
      </w:hyperlink>
      <w:r>
        <w:rPr>
          <w:rFonts w:ascii="Times New Roman" w:hAnsi="Times New Roman"/>
          <w:b w:val="false"/>
          <w:i w:val="false"/>
          <w:color w:val="000000"/>
          <w:sz w:val="24"/>
        </w:rPr>
        <w:t>(161A) shall apply to the district-designated practices. Revolving loan funds and public cost-sharing funds may be used in combination for funding a particular soil and water conservation practice.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11.6(3)</w:t>
      </w:r>
      <w:r>
        <w:rPr>
          <w:rFonts w:ascii="Times New Roman" w:hAnsi="Times New Roman"/>
          <w:b w:val="false"/>
          <w:i w:val="false"/>
          <w:color w:val="000000"/>
          <w:sz w:val="24"/>
        </w:rPr>
        <w:t> </w:t>
      </w:r>
      <w:r>
        <w:rPr>
          <w:rFonts w:ascii="Times New Roman" w:hAnsi="Times New Roman"/>
          <w:b w:val="false"/>
          <w:i/>
          <w:color w:val="000000"/>
          <w:sz w:val="24"/>
        </w:rPr>
        <w:t xml:space="preserve">Other requirements. </w:t>
      </w:r>
      <w:r>
        <w:rPr>
          <w:rFonts w:ascii="Times New Roman" w:hAnsi="Times New Roman"/>
          <w:b w:val="false"/>
          <w:i w:val="false"/>
          <w:color w:val="000000"/>
          <w:sz w:val="24"/>
        </w:rPr>
        <w:t xml:space="preserve">The applicant must also meet the eligibility requirements contained in rule </w:t>
      </w:r>
      <w:hyperlink r:id="rId10">
        <w:r>
          <w:rPr>
            <w:rStyle w:val="Hyperlink"/>
            <w:rFonts w:ascii="Times New Roman" w:hAnsi="Times New Roman"/>
            <w:b w:val="false"/>
            <w:i w:val="false"/>
            <w:color w:val="000000"/>
            <w:sz w:val="24"/>
          </w:rPr>
          <w:t>27—10.17</w:t>
        </w:r>
      </w:hyperlink>
      <w:r>
        <w:rPr>
          <w:rFonts w:ascii="Times New Roman" w:hAnsi="Times New Roman"/>
          <w:b w:val="false"/>
          <w:i w:val="false"/>
          <w:color w:val="000000"/>
          <w:sz w:val="24"/>
        </w:rPr>
        <w:t>(161A) for the Iowa financial incentive program for soil erosion control.</w:t>
      </w:r>
    </w:p>
    <w:p>
      <w:pPr>
        <w:spacing w:before="0" w:after="0" w:line="480"/>
        <w:ind w:left="120"/>
        <w:jc w:val="both"/>
      </w:pPr>
      <w:r>
        <w:rPr>
          <w:rFonts w:ascii="Times New Roman" w:hAnsi="Times New Roman"/>
          <w:b/>
          <w:i w:val="false"/>
          <w:color w:val="000000"/>
          <w:sz w:val="24"/>
        </w:rPr>
        <w:t>27—11.7</w:t>
      </w:r>
      <w:r>
        <w:rPr>
          <w:rFonts w:ascii="Times New Roman" w:hAnsi="Times New Roman"/>
          <w:b/>
          <w:i w:val="false"/>
          <w:color w:val="000000"/>
          <w:sz w:val="24"/>
        </w:rPr>
        <w:t xml:space="preserve">(161A) </w:t>
      </w:r>
      <w:r>
        <w:rPr>
          <w:rFonts w:ascii="Times New Roman" w:hAnsi="Times New Roman"/>
          <w:b/>
          <w:i w:val="false"/>
          <w:color w:val="000000"/>
          <w:sz w:val="24"/>
        </w:rPr>
        <w:t xml:space="preserve">Loan application processing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11.7(1)</w:t>
      </w:r>
      <w:r>
        <w:rPr>
          <w:rFonts w:ascii="Times New Roman" w:hAnsi="Times New Roman"/>
          <w:b w:val="false"/>
          <w:i w:val="false"/>
          <w:color w:val="000000"/>
          <w:sz w:val="24"/>
        </w:rPr>
        <w:t> </w:t>
      </w:r>
      <w:r>
        <w:rPr>
          <w:rFonts w:ascii="Times New Roman" w:hAnsi="Times New Roman"/>
          <w:b w:val="false"/>
          <w:i/>
          <w:color w:val="000000"/>
          <w:sz w:val="24"/>
        </w:rPr>
        <w:t xml:space="preserve">Application submittal process. </w:t>
      </w:r>
      <w:r>
        <w:rPr>
          <w:rFonts w:ascii="Times New Roman" w:hAnsi="Times New Roman"/>
          <w:b w:val="false"/>
          <w:i w:val="false"/>
          <w:color w:val="000000"/>
          <w:sz w:val="24"/>
        </w:rPr>
        <w:t>Applicants may apply for loans for soil and water conservation practices following the application process guidance provided by and utilizing documents specified by the soil and water conservation district in the county where the proposed soil and water conservation practice would be located. Applicants will be required to provide necessary financial information as specified by the division or the division’s financial partner.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11.7(2)</w:t>
      </w:r>
      <w:r>
        <w:rPr>
          <w:rFonts w:ascii="Times New Roman" w:hAnsi="Times New Roman"/>
          <w:b w:val="false"/>
          <w:i w:val="false"/>
          <w:color w:val="000000"/>
          <w:sz w:val="24"/>
        </w:rPr>
        <w:t> </w:t>
      </w:r>
      <w:r>
        <w:rPr>
          <w:rFonts w:ascii="Times New Roman" w:hAnsi="Times New Roman"/>
          <w:b w:val="false"/>
          <w:i/>
          <w:color w:val="000000"/>
          <w:sz w:val="24"/>
        </w:rPr>
        <w:t xml:space="preserve">District application processing. </w:t>
      </w:r>
      <w:r>
        <w:rPr>
          <w:rFonts w:ascii="Times New Roman" w:hAnsi="Times New Roman"/>
          <w:b w:val="false"/>
          <w:i w:val="false"/>
          <w:color w:val="000000"/>
          <w:sz w:val="24"/>
        </w:rPr>
        <w:t>Districts shall enter and process loan applications in FARMS following guidance provided by and maintained in policy established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11.7(3)</w:t>
      </w:r>
      <w:r>
        <w:rPr>
          <w:rFonts w:ascii="Times New Roman" w:hAnsi="Times New Roman"/>
          <w:b w:val="false"/>
          <w:i w:val="false"/>
          <w:color w:val="000000"/>
          <w:sz w:val="24"/>
        </w:rPr>
        <w:t> </w:t>
      </w:r>
      <w:r>
        <w:rPr>
          <w:rFonts w:ascii="Times New Roman" w:hAnsi="Times New Roman"/>
          <w:b w:val="false"/>
          <w:i/>
          <w:color w:val="000000"/>
          <w:sz w:val="24"/>
        </w:rPr>
        <w:t xml:space="preserve">Application canceled by applicant. </w:t>
      </w:r>
      <w:r>
        <w:rPr>
          <w:rFonts w:ascii="Times New Roman" w:hAnsi="Times New Roman"/>
          <w:b w:val="false"/>
          <w:i w:val="false"/>
          <w:color w:val="000000"/>
          <w:sz w:val="24"/>
        </w:rPr>
        <w:t>A loan application may be canceled by the applicant by notifying the district at any time prior to receipt of the loan.</w:t>
      </w:r>
    </w:p>
    <w:p>
      <w:pPr>
        <w:spacing w:before="210" w:after="0" w:line="480"/>
        <w:ind w:left="120"/>
        <w:jc w:val="both"/>
      </w:pPr>
      <w:r>
        <w:rPr>
          <w:rFonts w:ascii="Times New Roman" w:hAnsi="Times New Roman"/>
          <w:b/>
          <w:i w:val="false"/>
          <w:color w:val="000000"/>
          <w:sz w:val="24"/>
        </w:rPr>
        <w:t>27—11.8</w:t>
      </w:r>
      <w:r>
        <w:rPr>
          <w:rFonts w:ascii="Times New Roman" w:hAnsi="Times New Roman"/>
          <w:b/>
          <w:i w:val="false"/>
          <w:color w:val="000000"/>
          <w:sz w:val="24"/>
        </w:rPr>
        <w:t xml:space="preserve">(161A) </w:t>
      </w:r>
      <w:r>
        <w:rPr>
          <w:rFonts w:ascii="Times New Roman" w:hAnsi="Times New Roman"/>
          <w:b/>
          <w:i w:val="false"/>
          <w:color w:val="000000"/>
          <w:sz w:val="24"/>
        </w:rPr>
        <w:t xml:space="preserve">Practice design and construction. </w:t>
      </w:r>
      <w:r>
        <w:rPr>
          <w:rFonts w:ascii="Times New Roman" w:hAnsi="Times New Roman"/>
          <w:b w:val="false"/>
          <w:i w:val="false"/>
          <w:color w:val="000000"/>
          <w:sz w:val="24"/>
        </w:rPr>
        <w:t>Practices shall be designed and constructed to meet Natural Resources Conservation Service (NRCS) practice standards and specifications. These standards and specifications may be accessed through the NRCS Field Office Technical Guide, and copies may be requested in the district office where the practice will be implemented.</w:t>
      </w:r>
    </w:p>
    <w:p>
      <w:pPr>
        <w:spacing w:before="0" w:after="0" w:line="480"/>
        <w:ind w:left="120"/>
        <w:jc w:val="both"/>
      </w:pPr>
      <w:r>
        <w:rPr>
          <w:rFonts w:ascii="Times New Roman" w:hAnsi="Times New Roman"/>
          <w:b/>
          <w:i w:val="false"/>
          <w:color w:val="000000"/>
          <w:sz w:val="24"/>
        </w:rPr>
        <w:t>27—11.9</w:t>
      </w:r>
      <w:r>
        <w:rPr>
          <w:rFonts w:ascii="Times New Roman" w:hAnsi="Times New Roman"/>
          <w:b/>
          <w:i w:val="false"/>
          <w:color w:val="000000"/>
          <w:sz w:val="24"/>
        </w:rPr>
        <w:t xml:space="preserve">(161A) </w:t>
      </w:r>
      <w:r>
        <w:rPr>
          <w:rFonts w:ascii="Times New Roman" w:hAnsi="Times New Roman"/>
          <w:b/>
          <w:i w:val="false"/>
          <w:color w:val="000000"/>
          <w:sz w:val="24"/>
        </w:rPr>
        <w:t xml:space="preserve">Issuance of loan.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11.9(1)</w:t>
      </w:r>
      <w:r>
        <w:rPr>
          <w:rFonts w:ascii="Times New Roman" w:hAnsi="Times New Roman"/>
          <w:b w:val="false"/>
          <w:i w:val="false"/>
          <w:color w:val="000000"/>
          <w:sz w:val="24"/>
        </w:rPr>
        <w:t> </w:t>
      </w:r>
      <w:r>
        <w:rPr>
          <w:rFonts w:ascii="Times New Roman" w:hAnsi="Times New Roman"/>
          <w:b w:val="false"/>
          <w:i/>
          <w:color w:val="000000"/>
          <w:sz w:val="24"/>
        </w:rPr>
        <w:t xml:space="preserve">Loan payment to applicant. </w:t>
      </w:r>
      <w:r>
        <w:rPr>
          <w:rFonts w:ascii="Times New Roman" w:hAnsi="Times New Roman"/>
          <w:b w:val="false"/>
          <w:i w:val="false"/>
          <w:color w:val="000000"/>
          <w:sz w:val="24"/>
        </w:rPr>
        <w:t>Loan payments shall be issued following the process specified by and maintained in policy established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11.9(2)</w:t>
      </w:r>
      <w:r>
        <w:rPr>
          <w:rFonts w:ascii="Times New Roman" w:hAnsi="Times New Roman"/>
          <w:b w:val="false"/>
          <w:i w:val="false"/>
          <w:color w:val="000000"/>
          <w:sz w:val="24"/>
        </w:rPr>
        <w:t> </w:t>
      </w:r>
      <w:r>
        <w:rPr>
          <w:rFonts w:ascii="Times New Roman" w:hAnsi="Times New Roman"/>
          <w:b w:val="false"/>
          <w:i/>
          <w:color w:val="000000"/>
          <w:sz w:val="24"/>
        </w:rPr>
        <w:t xml:space="preserve">Maintenance agreement. </w:t>
      </w:r>
      <w:r>
        <w:rPr>
          <w:rFonts w:ascii="Times New Roman" w:hAnsi="Times New Roman"/>
          <w:b w:val="false"/>
          <w:i w:val="false"/>
          <w:color w:val="000000"/>
          <w:sz w:val="24"/>
        </w:rPr>
        <w:t xml:space="preserve">As a condition for receipt of a loan for permanent soil and water conservation practices, the owner of the land on which the practices have been installed shall agree to maintain those practices in accordance with the requirements of rule </w:t>
      </w:r>
      <w:hyperlink r:id="rId11">
        <w:r>
          <w:rPr>
            <w:rStyle w:val="Hyperlink"/>
            <w:rFonts w:ascii="Times New Roman" w:hAnsi="Times New Roman"/>
            <w:b w:val="false"/>
            <w:i w:val="false"/>
            <w:color w:val="000000"/>
            <w:sz w:val="24"/>
          </w:rPr>
          <w:t>27—10.5</w:t>
        </w:r>
      </w:hyperlink>
      <w:r>
        <w:rPr>
          <w:rFonts w:ascii="Times New Roman" w:hAnsi="Times New Roman"/>
          <w:b w:val="false"/>
          <w:i w:val="false"/>
          <w:color w:val="000000"/>
          <w:sz w:val="24"/>
        </w:rPr>
        <w:t>(161A) related to maintenance and performance agreements.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11.9(3)</w:t>
      </w:r>
      <w:r>
        <w:rPr>
          <w:rFonts w:ascii="Times New Roman" w:hAnsi="Times New Roman"/>
          <w:b w:val="false"/>
          <w:i w:val="false"/>
          <w:color w:val="000000"/>
          <w:sz w:val="24"/>
        </w:rPr>
        <w:t> </w:t>
      </w:r>
      <w:r>
        <w:rPr>
          <w:rFonts w:ascii="Times New Roman" w:hAnsi="Times New Roman"/>
          <w:b w:val="false"/>
          <w:i/>
          <w:color w:val="000000"/>
          <w:sz w:val="24"/>
        </w:rPr>
        <w:t xml:space="preserve">Case files. </w:t>
      </w:r>
      <w:r>
        <w:rPr>
          <w:rFonts w:ascii="Times New Roman" w:hAnsi="Times New Roman"/>
          <w:b w:val="false"/>
          <w:i w:val="false"/>
          <w:color w:val="000000"/>
          <w:sz w:val="24"/>
        </w:rPr>
        <w:t xml:space="preserve">A case file shall be assembled and maintained for each approved loan application. The file will be assembled and maintained in accordance with the requirements of </w:t>
      </w:r>
      <w:hyperlink r:id="rId12">
        <w:r>
          <w:rPr>
            <w:rStyle w:val="Hyperlink"/>
            <w:rFonts w:ascii="Times New Roman" w:hAnsi="Times New Roman"/>
            <w:b w:val="false"/>
            <w:i w:val="false"/>
            <w:color w:val="000000"/>
            <w:sz w:val="24"/>
          </w:rPr>
          <w:t>27—subrule 10.18(2)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27—11.10</w:t>
      </w:r>
      <w:r>
        <w:rPr>
          <w:rFonts w:ascii="Times New Roman" w:hAnsi="Times New Roman"/>
          <w:b/>
          <w:i w:val="false"/>
          <w:color w:val="000000"/>
          <w:sz w:val="24"/>
        </w:rPr>
        <w:t xml:space="preserve">(161A) </w:t>
      </w:r>
      <w:r>
        <w:rPr>
          <w:rFonts w:ascii="Times New Roman" w:hAnsi="Times New Roman"/>
          <w:b/>
          <w:i w:val="false"/>
          <w:color w:val="000000"/>
          <w:sz w:val="24"/>
        </w:rPr>
        <w:t xml:space="preserve">Amount of loan and number.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11.10(1)</w:t>
      </w:r>
      <w:r>
        <w:rPr>
          <w:rFonts w:ascii="Times New Roman" w:hAnsi="Times New Roman"/>
          <w:b w:val="false"/>
          <w:i w:val="false"/>
          <w:color w:val="000000"/>
          <w:sz w:val="24"/>
        </w:rPr>
        <w:t> </w:t>
      </w:r>
      <w:r>
        <w:rPr>
          <w:rFonts w:ascii="Times New Roman" w:hAnsi="Times New Roman"/>
          <w:b w:val="false"/>
          <w:i/>
          <w:color w:val="000000"/>
          <w:sz w:val="24"/>
        </w:rPr>
        <w:t xml:space="preserve">Minimum loan. </w:t>
      </w:r>
      <w:r>
        <w:rPr>
          <w:rFonts w:ascii="Times New Roman" w:hAnsi="Times New Roman"/>
          <w:b w:val="false"/>
          <w:i w:val="false"/>
          <w:color w:val="000000"/>
          <w:sz w:val="24"/>
        </w:rPr>
        <w:t>The minimum loan amount provided under this program will be $2,500.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11.10(2)</w:t>
      </w:r>
      <w:r>
        <w:rPr>
          <w:rFonts w:ascii="Times New Roman" w:hAnsi="Times New Roman"/>
          <w:b w:val="false"/>
          <w:i w:val="false"/>
          <w:color w:val="000000"/>
          <w:sz w:val="24"/>
        </w:rPr>
        <w:t> </w:t>
      </w:r>
      <w:r>
        <w:rPr>
          <w:rFonts w:ascii="Times New Roman" w:hAnsi="Times New Roman"/>
          <w:b w:val="false"/>
          <w:i/>
          <w:color w:val="000000"/>
          <w:sz w:val="24"/>
        </w:rPr>
        <w:t xml:space="preserve">Maximum loan. </w:t>
      </w:r>
      <w:r>
        <w:rPr>
          <w:rFonts w:ascii="Times New Roman" w:hAnsi="Times New Roman"/>
          <w:b w:val="false"/>
          <w:i w:val="false"/>
          <w:color w:val="000000"/>
          <w:sz w:val="24"/>
        </w:rPr>
        <w:t>The maximum loan amount provided under this program will be $20,000.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11.10(3)</w:t>
      </w:r>
      <w:r>
        <w:rPr>
          <w:rFonts w:ascii="Times New Roman" w:hAnsi="Times New Roman"/>
          <w:b w:val="false"/>
          <w:i w:val="false"/>
          <w:color w:val="000000"/>
          <w:sz w:val="24"/>
        </w:rPr>
        <w:t> </w:t>
      </w:r>
      <w:r>
        <w:rPr>
          <w:rFonts w:ascii="Times New Roman" w:hAnsi="Times New Roman"/>
          <w:b w:val="false"/>
          <w:i/>
          <w:color w:val="000000"/>
          <w:sz w:val="24"/>
        </w:rPr>
        <w:t xml:space="preserve">Number of loans. </w:t>
      </w:r>
      <w:r>
        <w:rPr>
          <w:rFonts w:ascii="Times New Roman" w:hAnsi="Times New Roman"/>
          <w:b w:val="false"/>
          <w:i w:val="false"/>
          <w:color w:val="000000"/>
          <w:sz w:val="24"/>
        </w:rPr>
        <w:t>There will be no limit to the number of loans an applicant can receive, except that an applicant shall be eligible for no more than $20,000 in loans outstanding at any time under this program. Each approved application will be handled as a new loan.</w:t>
      </w:r>
    </w:p>
    <w:p>
      <w:pPr>
        <w:spacing w:before="0" w:after="0" w:line="480"/>
        <w:ind w:left="120"/>
        <w:jc w:val="both"/>
      </w:pPr>
      <w:r>
        <w:rPr>
          <w:rFonts w:ascii="Times New Roman" w:hAnsi="Times New Roman"/>
          <w:b/>
          <w:i w:val="false"/>
          <w:color w:val="000000"/>
          <w:sz w:val="24"/>
        </w:rPr>
        <w:t>27—11.11</w:t>
      </w:r>
      <w:r>
        <w:rPr>
          <w:rFonts w:ascii="Times New Roman" w:hAnsi="Times New Roman"/>
          <w:b/>
          <w:i w:val="false"/>
          <w:color w:val="000000"/>
          <w:sz w:val="24"/>
        </w:rPr>
        <w:t xml:space="preserve">(161A) </w:t>
      </w:r>
      <w:r>
        <w:rPr>
          <w:rFonts w:ascii="Times New Roman" w:hAnsi="Times New Roman"/>
          <w:b/>
          <w:i w:val="false"/>
          <w:color w:val="000000"/>
          <w:sz w:val="24"/>
        </w:rPr>
        <w:t xml:space="preserve">Repayment of loans. </w:t>
      </w:r>
      <w:r>
        <w:rPr>
          <w:rFonts w:ascii="Times New Roman" w:hAnsi="Times New Roman"/>
          <w:b w:val="false"/>
          <w:i w:val="false"/>
          <w:color w:val="000000"/>
          <w:sz w:val="24"/>
        </w:rPr>
        <w:t xml:space="preserve">The loan repayment process, the repayment schedule and penalties on delinquent loans will be administered as specified in Iowa Code section </w:t>
      </w:r>
      <w:hyperlink r:id="rId13">
        <w:r>
          <w:rPr>
            <w:rStyle w:val="Hyperlink"/>
            <w:rFonts w:ascii="Times New Roman" w:hAnsi="Times New Roman"/>
            <w:b w:val="false"/>
            <w:i w:val="false"/>
            <w:color w:val="000000"/>
            <w:sz w:val="24"/>
          </w:rPr>
          <w:t>161A.71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11.11(1)</w:t>
      </w:r>
      <w:r>
        <w:rPr>
          <w:rFonts w:ascii="Times New Roman" w:hAnsi="Times New Roman"/>
          <w:b w:val="false"/>
          <w:i w:val="false"/>
          <w:color w:val="000000"/>
          <w:sz w:val="24"/>
        </w:rPr>
        <w:t> </w:t>
      </w:r>
      <w:r>
        <w:rPr>
          <w:rFonts w:ascii="Times New Roman" w:hAnsi="Times New Roman"/>
          <w:b w:val="false"/>
          <w:i/>
          <w:color w:val="000000"/>
          <w:sz w:val="24"/>
        </w:rPr>
        <w:t xml:space="preserve">Repayment upon sale of land. </w:t>
      </w:r>
      <w:r>
        <w:rPr>
          <w:rFonts w:ascii="Times New Roman" w:hAnsi="Times New Roman"/>
          <w:b w:val="false"/>
          <w:i w:val="false"/>
          <w:color w:val="000000"/>
          <w:sz w:val="24"/>
        </w:rPr>
        <w:t xml:space="preserve">In addition to specifications of Iowa Code section </w:t>
      </w:r>
      <w:hyperlink r:id="rId14">
        <w:r>
          <w:rPr>
            <w:rStyle w:val="Hyperlink"/>
            <w:rFonts w:ascii="Times New Roman" w:hAnsi="Times New Roman"/>
            <w:b w:val="false"/>
            <w:i w:val="false"/>
            <w:color w:val="000000"/>
            <w:sz w:val="24"/>
          </w:rPr>
          <w:t>161A.71</w:t>
        </w:r>
      </w:hyperlink>
      <w:r>
        <w:rPr>
          <w:rFonts w:ascii="Times New Roman" w:hAnsi="Times New Roman"/>
          <w:b w:val="false"/>
          <w:i w:val="false"/>
          <w:color w:val="000000"/>
          <w:sz w:val="24"/>
        </w:rPr>
        <w:t xml:space="preserve">, if the entire balance of the loan is not paid within ten days of the date of sale, a delinquent loan charge shall be applied as provided in subrule </w:t>
      </w:r>
      <w:hyperlink r:id="rId15">
        <w:r>
          <w:rPr>
            <w:rStyle w:val="Hyperlink"/>
            <w:rFonts w:ascii="Times New Roman" w:hAnsi="Times New Roman"/>
            <w:b w:val="false"/>
            <w:i w:val="false"/>
            <w:color w:val="000000"/>
            <w:sz w:val="24"/>
          </w:rPr>
          <w:t>11.11(2)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11.11(2)</w:t>
      </w:r>
      <w:r>
        <w:rPr>
          <w:rFonts w:ascii="Times New Roman" w:hAnsi="Times New Roman"/>
          <w:b w:val="false"/>
          <w:i w:val="false"/>
          <w:color w:val="000000"/>
          <w:sz w:val="24"/>
        </w:rPr>
        <w:t> </w:t>
      </w:r>
      <w:r>
        <w:rPr>
          <w:rFonts w:ascii="Times New Roman" w:hAnsi="Times New Roman"/>
          <w:b w:val="false"/>
          <w:i/>
          <w:color w:val="000000"/>
          <w:sz w:val="24"/>
        </w:rPr>
        <w:t xml:space="preserve">Interest on delinquent loans. </w:t>
      </w:r>
      <w:r>
        <w:rPr>
          <w:rFonts w:ascii="Times New Roman" w:hAnsi="Times New Roman"/>
          <w:b w:val="false"/>
          <w:i w:val="false"/>
          <w:color w:val="000000"/>
          <w:sz w:val="24"/>
        </w:rPr>
        <w:t xml:space="preserve">The interest rate upon loans for which payment is delinquent shall accelerate immediately to the current legal usury limit. This is the maximum rate allowed by Iowa Code section </w:t>
      </w:r>
      <w:hyperlink r:id="rId16">
        <w:r>
          <w:rPr>
            <w:rStyle w:val="Hyperlink"/>
            <w:rFonts w:ascii="Times New Roman" w:hAnsi="Times New Roman"/>
            <w:b w:val="false"/>
            <w:i w:val="false"/>
            <w:color w:val="000000"/>
            <w:sz w:val="24"/>
          </w:rPr>
          <w:t>535.2(3)</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it shall be applied to the entire unpaid principal, prorated for the period for which the payment is delinquent.</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17">
        <w:r>
          <w:rPr>
            <w:rStyle w:val="Hyperlink"/>
            <w:rFonts w:ascii="Times New Roman" w:hAnsi="Times New Roman"/>
            <w:b w:val="false"/>
            <w:i w:val="false"/>
            <w:color w:val="000000"/>
            <w:sz w:val="24"/>
          </w:rPr>
          <w:t>161A</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161A.71.pdf" Type="http://schemas.openxmlformats.org/officeDocument/2006/relationships/hyperlink" Id="rId6"/>
    <Relationship TargetMode="External" Target="https://www.legis.iowa.gov/docs/iac/rule/27.10.3.pdf" Type="http://schemas.openxmlformats.org/officeDocument/2006/relationships/hyperlink" Id="rId7"/>
    <Relationship TargetMode="External" Target="https://www.legis.iowa.gov/docs/iac/rule/27.10.21.pdf" Type="http://schemas.openxmlformats.org/officeDocument/2006/relationships/hyperlink" Id="rId8"/>
    <Relationship TargetMode="External" Target="https://www.legis.iowa.gov/docs/iac/rule/27.10.20.pdf" Type="http://schemas.openxmlformats.org/officeDocument/2006/relationships/hyperlink" Id="rId9"/>
    <Relationship TargetMode="External" Target="https://www.legis.iowa.gov/docs/iac/rule/27.10.17.pdf" Type="http://schemas.openxmlformats.org/officeDocument/2006/relationships/hyperlink" Id="rId10"/>
    <Relationship TargetMode="External" Target="https://www.legis.iowa.gov/docs/iac/rule/27.10.5.pdf" Type="http://schemas.openxmlformats.org/officeDocument/2006/relationships/hyperlink" Id="rId11"/>
    <Relationship TargetMode="External" Target="https://www.legis.iowa.gov/docs/iac/rule/27.10.18.pdf" Type="http://schemas.openxmlformats.org/officeDocument/2006/relationships/hyperlink" Id="rId12"/>
    <Relationship TargetMode="External" Target="https://www.legis.iowa.gov/docs/ico/chapter/161A.71.pdf" Type="http://schemas.openxmlformats.org/officeDocument/2006/relationships/hyperlink" Id="rId13"/>
    <Relationship TargetMode="External" Target="https://www.legis.iowa.gov/docs/ico/chapter/161A.71.pdf" Type="http://schemas.openxmlformats.org/officeDocument/2006/relationships/hyperlink" Id="rId14"/>
    <Relationship TargetMode="External" Target="https://www.legis.iowa.gov/docs/iac/rule/27.11.11.pdf" Type="http://schemas.openxmlformats.org/officeDocument/2006/relationships/hyperlink" Id="rId15"/>
    <Relationship TargetMode="External" Target="https://www.legis.iowa.gov/docs/ico/chapter/535.2.pdf" Type="http://schemas.openxmlformats.org/officeDocument/2006/relationships/hyperlink" Id="rId16"/>
    <Relationship TargetMode="External" Target="https://www.legis.iowa.gov/docs/ico/chapter/161A.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