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6D" w:id="1"/>
    <w:p>
      <w:pPr>
        <w:spacing w:before="0" w:after="0" w:line="480"/>
        <w:ind w:left="120"/>
        <w:jc w:val="right"/>
      </w:pPr>
      <w:r>
        <w:rPr>
          <w:rFonts w:ascii="Times New Roman" w:hAnsi="Times New Roman"/>
          <w:b/>
          <w:i w:val="false"/>
          <w:color w:val="000000"/>
          <w:sz w:val="28"/>
        </w:rPr>
        <w:t>ARC 0556D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behavioral health professionals licensing</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amends Chapter 880, “Behavioral Health Professionals Licensing,”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147H, 154C and 154D and sections 147I.1, 272C.3 and 272C.10.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147, 147H, 147I, 154C, 154D and 272C.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amendments define the requirements for participation in the Professional Counselors Licensure Compact, commonly known as the Counseling Compact; define participation in the Social Work Licensure Compact; add background check requirements for all existing mental health counselor license holders; add background check requirements for all social workers; add background check requirements during license reactivation when a license has been inactive for two or more years and the licensee cannot provide evidence of active practice in another state; add a fee for the issuance of a compact privilege to practice in Iowa; and waive the compact privilege fee for an active duty military member or spouse.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0231D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Behavioral Health Professionals Board on 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481—880.1(148,154B,154C,154D)</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481—880.1</w:t>
      </w:r>
      <w:r>
        <w:rPr>
          <w:rFonts w:ascii="Times New Roman" w:hAnsi="Times New Roman"/>
          <w:b/>
          <w:i w:val="false"/>
          <w:color w:val="000000"/>
          <w:sz w:val="24"/>
        </w:rPr>
        <w:t xml:space="preserve">(148,154B,154C,154D) </w:t>
      </w:r>
      <w:r>
        <w:rPr>
          <w:rFonts w:ascii="Times New Roman" w:hAnsi="Times New Roman"/>
          <w:b/>
          <w:i w:val="false"/>
          <w:color w:val="000000"/>
          <w:sz w:val="24"/>
        </w:rPr>
        <w:t xml:space="preserve">Definitions. </w:t>
      </w:r>
      <w:r>
        <w:rPr>
          <w:rFonts w:ascii="Times New Roman" w:hAnsi="Times New Roman"/>
          <w:b w:val="false"/>
          <w:i w:val="false"/>
          <w:color w:val="000000"/>
          <w:sz w:val="24"/>
          <w:u w:val="single"/>
        </w:rPr>
        <w:t>For purposes of these rules, the following definitions shall apply: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“DCI,” </w:t>
      </w:r>
      <w:r>
        <w:rPr>
          <w:rFonts w:ascii="Times New Roman" w:hAnsi="Times New Roman"/>
          <w:b w:val="false"/>
          <w:i w:val="false"/>
          <w:color w:val="000000"/>
          <w:sz w:val="24"/>
        </w:rPr>
        <w:t xml:space="preserve">“Department,” </w:t>
      </w:r>
      <w:r>
        <w:rPr>
          <w:rFonts w:ascii="Times New Roman" w:hAnsi="Times New Roman"/>
          <w:b w:val="false"/>
          <w:i w:val="false"/>
          <w:color w:val="000000"/>
          <w:sz w:val="24"/>
        </w:rPr>
        <w:t xml:space="preserve">“FBI” and </w:t>
      </w:r>
      <w:r>
        <w:rPr>
          <w:rFonts w:ascii="Times New Roman" w:hAnsi="Times New Roman"/>
          <w:b w:val="false"/>
          <w:i w:val="false"/>
          <w:color w:val="000000"/>
          <w:sz w:val="24"/>
        </w:rPr>
        <w:t>“NACES”</w:t>
      </w:r>
      <w:r>
        <w:rPr>
          <w:rFonts w:ascii="Times New Roman" w:hAnsi="Times New Roman"/>
          <w:b w:val="false"/>
          <w:i w:val="false"/>
          <w:color w:val="000000"/>
          <w:sz w:val="24"/>
        </w:rPr>
        <w:t xml:space="preserve"> in rule </w:t>
      </w:r>
      <w:r>
        <w:rPr>
          <w:rFonts w:ascii="Times New Roman" w:hAnsi="Times New Roman"/>
          <w:b/>
          <w:i w:val="false"/>
          <w:color w:val="000000"/>
          <w:sz w:val="24"/>
        </w:rPr>
        <w:t>481—880.1(148,154B,154C,154D)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“DCI”</w:t>
      </w:r>
      <w:r>
        <w:rPr>
          <w:rFonts w:ascii="Times New Roman" w:hAnsi="Times New Roman"/>
          <w:b w:val="false"/>
          <w:i w:val="false"/>
          <w:color w:val="000000"/>
          <w:sz w:val="24"/>
        </w:rPr>
        <w:t> </w:t>
      </w:r>
      <w:r>
        <w:rPr>
          <w:rFonts w:ascii="Times New Roman" w:hAnsi="Times New Roman"/>
          <w:b w:val="false"/>
          <w:i w:val="false"/>
          <w:color w:val="000000"/>
          <w:sz w:val="24"/>
        </w:rPr>
        <w:t>means the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“FBI”</w:t>
      </w:r>
      <w:r>
        <w:rPr>
          <w:rFonts w:ascii="Times New Roman" w:hAnsi="Times New Roman"/>
          <w:b w:val="false"/>
          <w:i w:val="false"/>
          <w:color w:val="000000"/>
          <w:sz w:val="24"/>
        </w:rPr>
        <w:t> </w:t>
      </w:r>
      <w:r>
        <w:rPr>
          <w:rFonts w:ascii="Times New Roman" w:hAnsi="Times New Roman"/>
          <w:b w:val="false"/>
          <w:i w:val="false"/>
          <w:color w:val="000000"/>
          <w:sz w:val="24"/>
        </w:rPr>
        <w:t>means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“NACES”</w:t>
      </w:r>
      <w:r>
        <w:rPr>
          <w:rFonts w:ascii="Times New Roman" w:hAnsi="Times New Roman"/>
          <w:b w:val="false"/>
          <w:i w:val="false"/>
          <w:color w:val="000000"/>
          <w:sz w:val="24"/>
        </w:rPr>
        <w:t> </w:t>
      </w:r>
      <w:r>
        <w:rPr>
          <w:rFonts w:ascii="Times New Roman" w:hAnsi="Times New Roman"/>
          <w:b w:val="false"/>
          <w:i w:val="false"/>
          <w:color w:val="000000"/>
          <w:sz w:val="24"/>
        </w:rPr>
        <w:t>means the National Association of Credential Evaluation Services.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880.2(1)“b”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for a mental health counseling license shall submit </w:t>
      </w:r>
      <w:r>
        <w:rPr>
          <w:rFonts w:ascii="Times New Roman" w:hAnsi="Times New Roman"/>
          <w:b w:val="false"/>
          <w:i w:val="false"/>
          <w:strike/>
          <w:color w:val="000000"/>
          <w:sz w:val="24"/>
        </w:rPr>
        <w:t>two completed fingerprint cards and a signed waiver form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required waivers and fingerprints pursuant to the board-approved process</w:t>
      </w:r>
      <w:r>
        <w:rPr>
          <w:rFonts w:ascii="Times New Roman" w:hAnsi="Times New Roman"/>
          <w:b w:val="false"/>
          <w:i w:val="false"/>
          <w:color w:val="000000"/>
          <w:sz w:val="24"/>
        </w:rPr>
        <w:t xml:space="preserve"> to facilitate a national criminal history background check by the </w:t>
      </w:r>
      <w:r>
        <w:rPr>
          <w:rFonts w:ascii="Times New Roman" w:hAnsi="Times New Roman"/>
          <w:b w:val="false"/>
          <w:i w:val="false"/>
          <w:strike/>
          <w:color w:val="000000"/>
          <w:sz w:val="24"/>
        </w:rPr>
        <w:t>Iowa division of criminal investigation (</w:t>
      </w:r>
      <w:r>
        <w:rPr>
          <w:rFonts w:ascii="Times New Roman" w:hAnsi="Times New Roman"/>
          <w:b w:val="false"/>
          <w:i w:val="false"/>
          <w:color w:val="000000"/>
          <w:sz w:val="24"/>
        </w:rPr>
        <w:t>DCI</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and the </w:t>
      </w:r>
      <w:r>
        <w:rPr>
          <w:rFonts w:ascii="Times New Roman" w:hAnsi="Times New Roman"/>
          <w:b w:val="false"/>
          <w:i w:val="false"/>
          <w:strike/>
          <w:color w:val="000000"/>
          <w:sz w:val="24"/>
        </w:rPr>
        <w:t>Federal Bureau of Investigation (</w:t>
      </w:r>
      <w:r>
        <w:rPr>
          <w:rFonts w:ascii="Times New Roman" w:hAnsi="Times New Roman"/>
          <w:b w:val="false"/>
          <w:i w:val="false"/>
          <w:color w:val="000000"/>
          <w:sz w:val="24"/>
        </w:rPr>
        <w:t>FBI</w:t>
      </w:r>
      <w:r>
        <w:rPr>
          <w:rFonts w:ascii="Times New Roman" w:hAnsi="Times New Roman"/>
          <w:b w:val="false"/>
          <w:i w:val="false"/>
          <w:strike/>
          <w:color w:val="000000"/>
          <w:sz w:val="24"/>
        </w:rPr>
        <w:t>)</w:t>
      </w:r>
      <w:r>
        <w:rPr>
          <w:rFonts w:ascii="Times New Roman" w:hAnsi="Times New Roman"/>
          <w:b w:val="false"/>
          <w:i w:val="false"/>
          <w:color w:val="000000"/>
          <w:sz w:val="24"/>
        </w:rPr>
        <w:t>. The cost of the criminal history background check by the DCI and the FBI shall be assessed to the applicant.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Reletter paragraphs </w:t>
      </w:r>
      <w:r>
        <w:rPr>
          <w:rFonts w:ascii="Times New Roman" w:hAnsi="Times New Roman"/>
          <w:b/>
          <w:i w:val="false"/>
          <w:color w:val="000000"/>
          <w:sz w:val="24"/>
        </w:rPr>
        <w:t>880.2(7)“b”</w:t>
      </w:r>
      <w:r>
        <w:rPr>
          <w:rFonts w:ascii="Times New Roman" w:hAnsi="Times New Roman"/>
          <w:b w:val="false"/>
          <w:i w:val="false"/>
          <w:color w:val="000000"/>
          <w:sz w:val="24"/>
        </w:rPr>
        <w:t xml:space="preserve"> to </w:t>
      </w:r>
      <w:r>
        <w:rPr>
          <w:rFonts w:ascii="Times New Roman" w:hAnsi="Times New Roman"/>
          <w:b/>
          <w:i w:val="false"/>
          <w:color w:val="000000"/>
          <w:sz w:val="24"/>
        </w:rPr>
        <w:t>880.2(7)“g”</w:t>
      </w:r>
      <w:r>
        <w:rPr>
          <w:rFonts w:ascii="Times New Roman" w:hAnsi="Times New Roman"/>
          <w:b w:val="false"/>
          <w:i w:val="false"/>
          <w:color w:val="000000"/>
          <w:sz w:val="24"/>
        </w:rPr>
        <w:t xml:space="preserve"> as </w:t>
      </w:r>
      <w:r>
        <w:rPr>
          <w:rFonts w:ascii="Times New Roman" w:hAnsi="Times New Roman"/>
          <w:b/>
          <w:i w:val="false"/>
          <w:color w:val="000000"/>
          <w:sz w:val="24"/>
        </w:rPr>
        <w:t>880.2(7)“c”</w:t>
      </w:r>
      <w:r>
        <w:rPr>
          <w:rFonts w:ascii="Times New Roman" w:hAnsi="Times New Roman"/>
          <w:b w:val="false"/>
          <w:i w:val="false"/>
          <w:color w:val="000000"/>
          <w:sz w:val="24"/>
        </w:rPr>
        <w:t xml:space="preserve"> to </w:t>
      </w:r>
      <w:r>
        <w:rPr>
          <w:rFonts w:ascii="Times New Roman" w:hAnsi="Times New Roman"/>
          <w:b/>
          <w:i w:val="false"/>
          <w:color w:val="000000"/>
          <w:sz w:val="24"/>
        </w:rPr>
        <w:t>880.2(7)“h”</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880.2(7)“b”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for a social worker license shall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relettered paragraph </w:t>
      </w:r>
      <w:r>
        <w:rPr>
          <w:rFonts w:ascii="Times New Roman" w:hAnsi="Times New Roman"/>
          <w:b/>
          <w:i w:val="false"/>
          <w:color w:val="000000"/>
          <w:sz w:val="24"/>
        </w:rPr>
        <w:t>880.2(7)“c”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No application will be considered by the board until official copies of academic transcripts have been received by the board except as provided in paragraph </w:t>
      </w:r>
      <w:hyperlink r:id="rId5">
        <w:r>
          <w:rPr>
            <w:rStyle w:val="Hyperlink"/>
            <w:rFonts w:ascii="Times New Roman" w:hAnsi="Times New Roman"/>
            <w:b w:val="false"/>
            <w:i w:val="false"/>
            <w:strike/>
            <w:color w:val="000000"/>
            <w:sz w:val="24"/>
          </w:rPr>
          <w:t>880.2(7)</w:t>
        </w:r>
      </w:hyperlink>
      <w:r>
        <w:rPr>
          <w:rFonts w:ascii="Times New Roman" w:hAnsi="Times New Roman"/>
          <w:b w:val="false"/>
          <w:i/>
          <w:strike/>
          <w:color w:val="000000"/>
          <w:sz w:val="24"/>
        </w:rPr>
        <w:t>“g.”</w:t>
      </w:r>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880.2(7)</w:t>
        </w:r>
      </w:hyperlink>
      <w:r>
        <w:rPr>
          <w:rFonts w:ascii="Times New Roman" w:hAnsi="Times New Roman"/>
          <w:b w:val="false"/>
          <w:i/>
          <w:color w:val="000000"/>
          <w:sz w:val="24"/>
          <w:u w:val="single"/>
        </w:rPr>
        <w:t>“h.”</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relettered paragraph </w:t>
      </w:r>
      <w:r>
        <w:rPr>
          <w:rFonts w:ascii="Times New Roman" w:hAnsi="Times New Roman"/>
          <w:b/>
          <w:i w:val="false"/>
          <w:color w:val="000000"/>
          <w:sz w:val="24"/>
        </w:rPr>
        <w:t>880.2(7)“h”</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the requirements in paragraphs </w:t>
      </w:r>
      <w:hyperlink r:id="rId7">
        <w:r>
          <w:rPr>
            <w:rStyle w:val="Hyperlink"/>
            <w:rFonts w:ascii="Times New Roman" w:hAnsi="Times New Roman"/>
            <w:b w:val="false"/>
            <w:i w:val="false"/>
            <w:strike/>
            <w:color w:val="000000"/>
            <w:sz w:val="24"/>
          </w:rPr>
          <w:t>880.2(7)</w:t>
        </w:r>
      </w:hyperlink>
      <w:r>
        <w:rPr>
          <w:rFonts w:ascii="Times New Roman" w:hAnsi="Times New Roman"/>
          <w:b w:val="false"/>
          <w:i/>
          <w:strike/>
          <w:color w:val="000000"/>
          <w:sz w:val="24"/>
        </w:rPr>
        <w:t>“b”</w:t>
      </w:r>
      <w:r>
        <w:rPr>
          <w:rFonts w:ascii="Times New Roman" w:hAnsi="Times New Roman"/>
          <w:b w:val="false"/>
          <w:i w:val="false"/>
          <w:color w:val="000000"/>
          <w:sz w:val="24"/>
          <w:u w:val="single"/>
        </w:rPr>
        <w:t> </w:t>
      </w:r>
      <w:hyperlink r:id="rId8">
        <w:r>
          <w:rPr>
            <w:rStyle w:val="Hyperlink"/>
            <w:rFonts w:ascii="Times New Roman" w:hAnsi="Times New Roman"/>
            <w:b w:val="false"/>
            <w:i w:val="false"/>
            <w:color w:val="000000"/>
            <w:sz w:val="24"/>
            <w:u w:val="single"/>
          </w:rPr>
          <w:t>880.2(7)</w:t>
        </w:r>
      </w:hyperlink>
      <w:r>
        <w:rPr>
          <w:rFonts w:ascii="Times New Roman" w:hAnsi="Times New Roman"/>
          <w:b w:val="false"/>
          <w:i/>
          <w:color w:val="000000"/>
          <w:sz w:val="24"/>
          <w:u w:val="single"/>
        </w:rPr>
        <w:t>“c”</w:t>
      </w:r>
      <w:r>
        <w:rPr>
          <w:rFonts w:ascii="Times New Roman" w:hAnsi="Times New Roman"/>
          <w:b w:val="false"/>
          <w:i w:val="false"/>
          <w:color w:val="000000"/>
          <w:sz w:val="24"/>
        </w:rPr>
        <w:t xml:space="preserve"> and </w:t>
      </w:r>
      <w:r>
        <w:rPr>
          <w:rFonts w:ascii="Times New Roman" w:hAnsi="Times New Roman"/>
          <w:b w:val="false"/>
          <w:i/>
          <w:strike/>
          <w:color w:val="000000"/>
          <w:sz w:val="24"/>
        </w:rPr>
        <w:t>“c,”</w:t>
      </w:r>
      <w:r>
        <w:rPr>
          <w:rFonts w:ascii="Times New Roman" w:hAnsi="Times New Roman"/>
          <w:b w:val="false"/>
          <w:i w:val="false"/>
          <w:color w:val="000000"/>
          <w:sz w:val="24"/>
          <w:u w:val="single"/>
        </w:rPr>
        <w:t> </w:t>
      </w:r>
      <w:r>
        <w:rPr>
          <w:rFonts w:ascii="Times New Roman" w:hAnsi="Times New Roman"/>
          <w:b w:val="false"/>
          <w:i/>
          <w:color w:val="000000"/>
          <w:sz w:val="24"/>
          <w:u w:val="single"/>
        </w:rPr>
        <w:t>“d,”</w:t>
      </w:r>
      <w:r>
        <w:rPr>
          <w:rFonts w:ascii="Times New Roman" w:hAnsi="Times New Roman"/>
          <w:b w:val="false"/>
          <w:i w:val="false"/>
          <w:color w:val="000000"/>
          <w:sz w:val="24"/>
        </w:rPr>
        <w:t xml:space="preserve"> the board will accept the ASWB Social Work Registry verification of academic transcripts and verification of licensure in other states.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880.4(5)“c”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www.ierf.org or email at info@ierf.org; </w:t>
      </w:r>
      <w:r>
        <w:rPr>
          <w:rFonts w:ascii="Times New Roman" w:hAnsi="Times New Roman"/>
          <w:b w:val="false"/>
          <w:i w:val="false"/>
          <w:strike/>
          <w:color w:val="000000"/>
          <w:sz w:val="24"/>
        </w:rPr>
        <w:t>or</w:t>
      </w:r>
      <w:r>
        <w:rPr>
          <w:rFonts w:ascii="Times New Roman" w:hAnsi="Times New Roman"/>
          <w:b w:val="false"/>
          <w:i w:val="false"/>
          <w:color w:val="000000"/>
          <w:sz w:val="24"/>
        </w:rPr>
        <w:t xml:space="preserve"> obtain a certificate of equivalency from the Council on Social Work Education, 1701 Duke Street, Suite 200, Alexandria, Virginia 22314-3457, telephone 703.683.8080, website www.cswe.org</w:t>
      </w:r>
      <w:r>
        <w:rPr>
          <w:rFonts w:ascii="Times New Roman" w:hAnsi="Times New Roman"/>
          <w:b w:val="false"/>
          <w:i w:val="false"/>
          <w:color w:val="000000"/>
          <w:sz w:val="24"/>
          <w:u w:val="single"/>
        </w:rPr>
        <w:t>; or obtain a certificate of equivalency from an evaluation service with membership in NACES at www.naces.org or a credential evaluation service approved by the board</w:t>
      </w:r>
      <w:r>
        <w:rPr>
          <w:rFonts w:ascii="Times New Roman" w:hAnsi="Times New Roman"/>
          <w:b w:val="false"/>
          <w:i w:val="false"/>
          <w:color w:val="000000"/>
          <w:sz w:val="24"/>
        </w:rPr>
        <w:t>. The professional curriculum must be equivalent to that stated in these rules. The applicant shall bear the expense of the curriculum evaluation.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880.10(2)“c”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Complete a compact eligibility review. This rule applies to mental health counselor licensees who were licensed prior to enactment of this rule unless this was completed at the time of initial licensure. In order to complete the compact eligibility review, at or prior to the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481—880.14(17A,147,272C)</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481—880.14</w:t>
      </w:r>
      <w:r>
        <w:rPr>
          <w:rFonts w:ascii="Times New Roman" w:hAnsi="Times New Roman"/>
          <w:b/>
          <w:i w:val="false"/>
          <w:color w:val="000000"/>
          <w:sz w:val="24"/>
        </w:rPr>
        <w:t xml:space="preserve">(17A,147,272C) </w:t>
      </w:r>
      <w:r>
        <w:rPr>
          <w:rFonts w:ascii="Times New Roman" w:hAnsi="Times New Roman"/>
          <w:b/>
          <w:i w:val="false"/>
          <w:color w:val="000000"/>
          <w:sz w:val="24"/>
        </w:rPr>
        <w:t xml:space="preserve">License reactivation for mental health counselors, marital and family therapists, psychologists, and social workers. </w:t>
      </w:r>
      <w:r>
        <w:rPr>
          <w:rFonts w:ascii="Times New Roman" w:hAnsi="Times New Roman"/>
          <w:b w:val="false"/>
          <w:i w:val="false"/>
          <w:color w:val="000000"/>
          <w:sz w:val="24"/>
        </w:rPr>
        <w:t>To apply for reactivation of an inactive license, a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880.14(1)</w:t>
      </w:r>
      <w:r>
        <w:rPr>
          <w:rFonts w:ascii="Times New Roman" w:hAnsi="Times New Roman"/>
          <w:b w:val="false"/>
          <w:i w:val="false"/>
          <w:color w:val="000000"/>
          <w:sz w:val="24"/>
        </w:rPr>
        <w:t> </w:t>
      </w:r>
      <w:r>
        <w:rPr>
          <w:rFonts w:ascii="Times New Roman" w:hAnsi="Times New Roman"/>
          <w:b w:val="false"/>
          <w:i w:val="false"/>
          <w:color w:val="000000"/>
          <w:sz w:val="24"/>
        </w:rPr>
        <w:t>Submit a reactivation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880.14(2)</w:t>
      </w:r>
      <w:r>
        <w:rPr>
          <w:rFonts w:ascii="Times New Roman" w:hAnsi="Times New Roman"/>
          <w:b w:val="false"/>
          <w:i w:val="false"/>
          <w:color w:val="000000"/>
          <w:sz w:val="24"/>
        </w:rPr>
        <w:t> </w:t>
      </w:r>
      <w:r>
        <w:rPr>
          <w:rFonts w:ascii="Times New Roman" w:hAnsi="Times New Roman"/>
          <w:b w:val="false"/>
          <w:i w:val="false"/>
          <w:color w:val="000000"/>
          <w:sz w:val="24"/>
        </w:rPr>
        <w:t xml:space="preserve">Pay the reactivation fee that is due as specified in </w:t>
      </w:r>
      <w:hyperlink r:id="rId9">
        <w:r>
          <w:rPr>
            <w:rStyle w:val="Hyperlink"/>
            <w:rFonts w:ascii="Times New Roman" w:hAnsi="Times New Roman"/>
            <w:b w:val="false"/>
            <w:i w:val="false"/>
            <w:color w:val="000000"/>
            <w:sz w:val="24"/>
          </w:rPr>
          <w:t>481—Chapter 507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880.14(3)</w:t>
      </w:r>
      <w:r>
        <w:rPr>
          <w:rFonts w:ascii="Times New Roman" w:hAnsi="Times New Roman"/>
          <w:b w:val="false"/>
          <w:i w:val="false"/>
          <w:color w:val="000000"/>
          <w:sz w:val="24"/>
        </w:rPr>
        <w:t> </w:t>
      </w:r>
      <w:r>
        <w:rPr>
          <w:rFonts w:ascii="Times New Roman" w:hAnsi="Times New Roman"/>
          <w:b w:val="false"/>
          <w:i w:val="false"/>
          <w:color w:val="000000"/>
          <w:sz w:val="24"/>
        </w:rPr>
        <w:t>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Licensee’s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Date of initial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Current licensure status;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disciplinary action taken against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880.14(4)</w:t>
      </w:r>
      <w:r>
        <w:rPr>
          <w:rFonts w:ascii="Times New Roman" w:hAnsi="Times New Roman"/>
          <w:b w:val="false"/>
          <w:i w:val="false"/>
          <w:color w:val="000000"/>
          <w:sz w:val="24"/>
        </w:rPr>
        <w:t> </w:t>
      </w:r>
      <w:r>
        <w:rPr>
          <w:rFonts w:ascii="Times New Roman" w:hAnsi="Times New Roman"/>
          <w:b w:val="false"/>
          <w:i w:val="false"/>
          <w:color w:val="000000"/>
          <w:sz w:val="24"/>
        </w:rPr>
        <w:t>For mental health counseling and marriage and family therapy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verification of a current active license in another jurisdiction at the time of application,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verification of completion of continuing education taken within two years prior to the application for reactivation.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inactive for less than five years, the applicant must submit verification of 40 hours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inactive for more than five years, the applicant must submit verification of 80 hours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mental health counseling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the FBI criminal history background checks will be assessed to the licensee. The board may withhold reactivation of a license pending receipt of a report from the DCI and the FBI.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880.14(5)</w:t>
      </w:r>
      <w:r>
        <w:rPr>
          <w:rFonts w:ascii="Times New Roman" w:hAnsi="Times New Roman"/>
          <w:b w:val="false"/>
          <w:i w:val="false"/>
          <w:color w:val="000000"/>
          <w:sz w:val="24"/>
        </w:rPr>
        <w:t> </w:t>
      </w:r>
      <w:r>
        <w:rPr>
          <w:rFonts w:ascii="Times New Roman" w:hAnsi="Times New Roman"/>
          <w:b w:val="false"/>
          <w:i w:val="false"/>
          <w:color w:val="000000"/>
          <w:sz w:val="24"/>
        </w:rPr>
        <w:t>For psychology licenses, 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880.14(6)</w:t>
      </w:r>
      <w:r>
        <w:rPr>
          <w:rFonts w:ascii="Times New Roman" w:hAnsi="Times New Roman"/>
          <w:b w:val="false"/>
          <w:i w:val="false"/>
          <w:color w:val="000000"/>
          <w:sz w:val="24"/>
        </w:rPr>
        <w:t> </w:t>
      </w:r>
      <w:r>
        <w:rPr>
          <w:rFonts w:ascii="Times New Roman" w:hAnsi="Times New Roman"/>
          <w:b w:val="false"/>
          <w:i w:val="false"/>
          <w:color w:val="000000"/>
          <w:sz w:val="24"/>
        </w:rPr>
        <w:t>For social work licenses,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license has been on inactive status for more than five years, the verification in paragraph </w:t>
      </w:r>
      <w:hyperlink r:id="rId10">
        <w:r>
          <w:rPr>
            <w:rStyle w:val="Hyperlink"/>
            <w:rFonts w:ascii="Times New Roman" w:hAnsi="Times New Roman"/>
            <w:b w:val="false"/>
            <w:i w:val="false"/>
            <w:color w:val="000000"/>
            <w:sz w:val="24"/>
          </w:rPr>
          <w:t>880.14(6)</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Verification of passing the ASWB examination within the last five years at the appropriate or higher level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Bachelor-level social worker—the bachelor’s level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Master-level social worker—the master’s level examination;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Independent-level social worker—the clinical level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continued social work practice at the appropriate or higher level in another state for a minimum of two years immediately preceding the application for reactivation.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social work license has been inactive for two or more years and the licensee cannot provide verification of active practice, in accordance with subparagraph </w:t>
      </w:r>
      <w:hyperlink r:id="rId11">
        <w:r>
          <w:rPr>
            <w:rStyle w:val="Hyperlink"/>
            <w:rFonts w:ascii="Times New Roman" w:hAnsi="Times New Roman"/>
            <w:b w:val="false"/>
            <w:i w:val="false"/>
            <w:color w:val="000000"/>
            <w:sz w:val="24"/>
          </w:rPr>
          <w:t>880.14(6)</w:t>
        </w:r>
        <w:r>
          <w:rPr>
            <w:rFonts w:ascii="Times New Roman" w:hAnsi="Times New Roman"/>
            <w:b w:val="false"/>
            <w:i/>
            <w:color w:val="000000"/>
            <w:sz w:val="24"/>
          </w:rPr>
          <w:t>“b”</w:t>
        </w:r>
        <w:r>
          <w:rPr>
            <w:rFonts w:ascii="Times New Roman" w:hAnsi="Times New Roman"/>
            <w:b w:val="false"/>
            <w:i w:val="false"/>
            <w:color w:val="000000"/>
            <w:sz w:val="24"/>
          </w:rPr>
          <w:t>(2)</w:t>
        </w:r>
      </w:hyperlink>
      <w:r>
        <w:rPr>
          <w:rFonts w:ascii="Times New Roman" w:hAnsi="Times New Roman"/>
          <w:b w:val="false"/>
          <w:i w:val="false"/>
          <w:color w:val="000000"/>
          <w:sz w:val="24"/>
        </w:rPr>
        <w:t>, in another state or jurisdiction during the two years preceding an application for reactivation,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481—880.18(147)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481—880.18</w:t>
      </w:r>
      <w:r>
        <w:rPr>
          <w:rFonts w:ascii="Times New Roman" w:hAnsi="Times New Roman"/>
          <w:b/>
          <w:i w:val="false"/>
          <w:color w:val="000000"/>
          <w:sz w:val="24"/>
        </w:rPr>
        <w:t xml:space="preserve">(147) </w:t>
      </w:r>
      <w:r>
        <w:rPr>
          <w:rFonts w:ascii="Times New Roman" w:hAnsi="Times New Roman"/>
          <w:b/>
          <w:i w:val="false"/>
          <w:color w:val="000000"/>
          <w:sz w:val="24"/>
        </w:rPr>
        <w:t xml:space="preserve">Professional counselor licensing compact. </w:t>
      </w:r>
      <w:r>
        <w:rPr>
          <w:rFonts w:ascii="Times New Roman" w:hAnsi="Times New Roman"/>
          <w:b w:val="false"/>
          <w:i w:val="false"/>
          <w:color w:val="000000"/>
          <w:sz w:val="24"/>
        </w:rPr>
        <w:t>The rules of the Counseling Compact Commission are incorporated by reference.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mental health counselor may engage in the practice of licensed mental health counseling in Iowa without a license issued by the board if the individual has a current compact privilege to practice in Iowa issued by the counseling compact. The state fee for issuance of a compact privilege to practice in Iowa shall be $60, which will be collected by the counseling compact. The state fee for issuance of a compact privilege to practice in Iowa shall be waived for an active-duty military member or spouse of an individual who is an active-duty military member. A mental health counselor who practices mental health counseling in Iowa using a compact privilege is subject to the rules governing licensees in this chapter and in 481—Chapters </w:t>
      </w:r>
      <w:hyperlink r:id="rId12">
        <w:r>
          <w:rPr>
            <w:rStyle w:val="Hyperlink"/>
            <w:rFonts w:ascii="Times New Roman" w:hAnsi="Times New Roman"/>
            <w:b w:val="false"/>
            <w:i w:val="false"/>
            <w:color w:val="000000"/>
            <w:sz w:val="24"/>
            <w:u w:val="single"/>
          </w:rPr>
          <w:t>881</w:t>
        </w:r>
      </w:hyperlink>
      <w:r>
        <w:rPr>
          <w:rFonts w:ascii="Times New Roman" w:hAnsi="Times New Roman"/>
          <w:b w:val="false"/>
          <w:i w:val="false"/>
          <w:color w:val="000000"/>
          <w:sz w:val="24"/>
          <w:u w:val="single"/>
        </w:rPr>
        <w:t xml:space="preserve">, </w:t>
      </w:r>
      <w:hyperlink r:id="rId13">
        <w:r>
          <w:rPr>
            <w:rStyle w:val="Hyperlink"/>
            <w:rFonts w:ascii="Times New Roman" w:hAnsi="Times New Roman"/>
            <w:b w:val="false"/>
            <w:i w:val="false"/>
            <w:color w:val="000000"/>
            <w:sz w:val="24"/>
            <w:u w:val="single"/>
          </w:rPr>
          <w:t>882</w:t>
        </w:r>
      </w:hyperlink>
      <w:r>
        <w:rPr>
          <w:rFonts w:ascii="Times New Roman" w:hAnsi="Times New Roman"/>
          <w:b w:val="false"/>
          <w:i w:val="false"/>
          <w:color w:val="000000"/>
          <w:sz w:val="24"/>
          <w:u w:val="single"/>
        </w:rPr>
        <w:t xml:space="preserve">, </w:t>
      </w:r>
      <w:hyperlink r:id="rId14">
        <w:r>
          <w:rPr>
            <w:rStyle w:val="Hyperlink"/>
            <w:rFonts w:ascii="Times New Roman" w:hAnsi="Times New Roman"/>
            <w:b w:val="false"/>
            <w:i w:val="false"/>
            <w:color w:val="000000"/>
            <w:sz w:val="24"/>
            <w:u w:val="single"/>
          </w:rPr>
          <w:t>884</w:t>
        </w:r>
      </w:hyperlink>
      <w:r>
        <w:rPr>
          <w:rFonts w:ascii="Times New Roman" w:hAnsi="Times New Roman"/>
          <w:b w:val="false"/>
          <w:i w:val="false"/>
          <w:color w:val="000000"/>
          <w:sz w:val="24"/>
          <w:u w:val="single"/>
        </w:rPr>
        <w:t xml:space="preserve">, and </w:t>
      </w:r>
      <w:hyperlink r:id="rId15">
        <w:r>
          <w:rPr>
            <w:rStyle w:val="Hyperlink"/>
            <w:rFonts w:ascii="Times New Roman" w:hAnsi="Times New Roman"/>
            <w:b w:val="false"/>
            <w:i w:val="false"/>
            <w:color w:val="000000"/>
            <w:sz w:val="24"/>
            <w:u w:val="single"/>
          </w:rPr>
          <w:t>885</w:t>
        </w:r>
      </w:hyperlink>
      <w:r>
        <w:rPr>
          <w:rFonts w:ascii="Times New Roman" w:hAnsi="Times New Roman"/>
          <w:b w:val="false"/>
          <w:i w:val="false"/>
          <w:color w:val="000000"/>
          <w:sz w:val="24"/>
          <w:u w:val="single"/>
        </w:rPr>
        <w:t xml:space="preserve">. Complaints, investigations, and disciplinary proceedings involving a compact privilege shall be handled in accordance with Iowa Code chapters </w:t>
      </w:r>
      <w:hyperlink r:id="rId16">
        <w:r>
          <w:rPr>
            <w:rStyle w:val="Hyperlink"/>
            <w:rFonts w:ascii="Times New Roman" w:hAnsi="Times New Roman"/>
            <w:b w:val="false"/>
            <w:i w:val="false"/>
            <w:color w:val="000000"/>
            <w:sz w:val="24"/>
            <w:u w:val="single"/>
          </w:rPr>
          <w:t>17A</w:t>
        </w:r>
      </w:hyperlink>
      <w:r>
        <w:rPr>
          <w:rFonts w:ascii="Times New Roman" w:hAnsi="Times New Roman"/>
          <w:b w:val="false"/>
          <w:i w:val="false"/>
          <w:color w:val="000000"/>
          <w:sz w:val="24"/>
          <w:u w:val="single"/>
        </w:rPr>
        <w:t xml:space="preserve">, </w:t>
      </w:r>
      <w:hyperlink r:id="rId17">
        <w:r>
          <w:rPr>
            <w:rStyle w:val="Hyperlink"/>
            <w:rFonts w:ascii="Times New Roman" w:hAnsi="Times New Roman"/>
            <w:b w:val="false"/>
            <w:i w:val="false"/>
            <w:color w:val="000000"/>
            <w:sz w:val="24"/>
            <w:u w:val="single"/>
          </w:rPr>
          <w:t>147H</w:t>
        </w:r>
      </w:hyperlink>
      <w:r>
        <w:rPr>
          <w:rFonts w:ascii="Times New Roman" w:hAnsi="Times New Roman"/>
          <w:b w:val="false"/>
          <w:i w:val="false"/>
          <w:color w:val="000000"/>
          <w:sz w:val="24"/>
          <w:u w:val="single"/>
        </w:rPr>
        <w:t xml:space="preserve">, and </w:t>
      </w:r>
      <w:hyperlink r:id="rId18">
        <w:r>
          <w:rPr>
            <w:rStyle w:val="Hyperlink"/>
            <w:rFonts w:ascii="Times New Roman" w:hAnsi="Times New Roman"/>
            <w:b w:val="false"/>
            <w:i w:val="false"/>
            <w:color w:val="000000"/>
            <w:sz w:val="24"/>
            <w:u w:val="single"/>
          </w:rPr>
          <w:t>272C</w:t>
        </w:r>
      </w:hyperlink>
      <w:r>
        <w:rPr>
          <w:rFonts w:ascii="Times New Roman" w:hAnsi="Times New Roman"/>
          <w:b w:val="false"/>
          <w:i w:val="false"/>
          <w:color w:val="000000"/>
          <w:sz w:val="24"/>
          <w:u w:val="single"/>
        </w:rPr>
        <w:t xml:space="preserve"> and 481—Chapters </w:t>
      </w:r>
      <w:hyperlink r:id="rId19">
        <w:r>
          <w:rPr>
            <w:rStyle w:val="Hyperlink"/>
            <w:rFonts w:ascii="Times New Roman" w:hAnsi="Times New Roman"/>
            <w:b w:val="false"/>
            <w:i w:val="false"/>
            <w:color w:val="000000"/>
            <w:sz w:val="24"/>
            <w:u w:val="single"/>
          </w:rPr>
          <w:t>503</w:t>
        </w:r>
      </w:hyperlink>
      <w:r>
        <w:rPr>
          <w:rFonts w:ascii="Times New Roman" w:hAnsi="Times New Roman"/>
          <w:b w:val="false"/>
          <w:i w:val="false"/>
          <w:color w:val="000000"/>
          <w:sz w:val="24"/>
          <w:u w:val="single"/>
        </w:rPr>
        <w:t xml:space="preserve">, </w:t>
      </w:r>
      <w:hyperlink r:id="rId20">
        <w:r>
          <w:rPr>
            <w:rStyle w:val="Hyperlink"/>
            <w:rFonts w:ascii="Times New Roman" w:hAnsi="Times New Roman"/>
            <w:b w:val="false"/>
            <w:i w:val="false"/>
            <w:color w:val="000000"/>
            <w:sz w:val="24"/>
            <w:u w:val="single"/>
          </w:rPr>
          <w:t>504</w:t>
        </w:r>
      </w:hyperlink>
      <w:r>
        <w:rPr>
          <w:rFonts w:ascii="Times New Roman" w:hAnsi="Times New Roman"/>
          <w:b w:val="false"/>
          <w:i w:val="false"/>
          <w:color w:val="000000"/>
          <w:sz w:val="24"/>
          <w:u w:val="single"/>
        </w:rPr>
        <w:t xml:space="preserve">, and </w:t>
      </w:r>
      <w:hyperlink r:id="rId21">
        <w:r>
          <w:rPr>
            <w:rStyle w:val="Hyperlink"/>
            <w:rFonts w:ascii="Times New Roman" w:hAnsi="Times New Roman"/>
            <w:b w:val="false"/>
            <w:i w:val="false"/>
            <w:color w:val="000000"/>
            <w:sz w:val="24"/>
            <w:u w:val="single"/>
          </w:rPr>
          <w:t>506</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u w:val="single"/>
        </w:rPr>
        <w:t xml:space="preserve">This rule is intended to implement Iowa Code chapter </w:t>
      </w:r>
      <w:hyperlink r:id="rId22">
        <w:r>
          <w:rPr>
            <w:rStyle w:val="Hyperlink"/>
            <w:rFonts w:ascii="Times New Roman" w:hAnsi="Times New Roman"/>
            <w:b w:val="false"/>
            <w:i w:val="false"/>
            <w:color w:val="000000"/>
            <w:sz w:val="24"/>
            <w:u w:val="single"/>
          </w:rPr>
          <w:t>147H</w:t>
        </w:r>
      </w:hyperlink>
      <w:r>
        <w:rPr>
          <w:rFonts w:ascii="Times New Roman" w:hAnsi="Times New Roman"/>
          <w:b w:val="false"/>
          <w:i w:val="false"/>
          <w:color w:val="000000"/>
          <w:sz w:val="24"/>
          <w:u w:val="single"/>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 </w:t>
      </w:r>
      <w:r>
        <w:rPr>
          <w:rFonts w:ascii="Times New Roman" w:hAnsi="Times New Roman"/>
          <w:b/>
          <w:i w:val="false"/>
          <w:color w:val="000000"/>
          <w:sz w:val="24"/>
        </w:rPr>
        <w:t>481—880.19(154D)</w:t>
      </w:r>
      <w:r>
        <w:rPr>
          <w:rFonts w:ascii="Times New Roman" w:hAnsi="Times New Roman"/>
          <w:b w:val="false"/>
          <w:i w:val="false"/>
          <w:color w:val="000000"/>
          <w:sz w:val="24"/>
        </w:rPr>
        <w:t xml:space="preserve"> as </w:t>
      </w:r>
      <w:r>
        <w:rPr>
          <w:rFonts w:ascii="Times New Roman" w:hAnsi="Times New Roman"/>
          <w:b/>
          <w:i w:val="false"/>
          <w:color w:val="000000"/>
          <w:sz w:val="24"/>
        </w:rPr>
        <w:t>481—880.20(154D)</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481—880.19</w:t>
      </w:r>
      <w:r>
        <w:rPr>
          <w:rFonts w:ascii="Times New Roman" w:hAnsi="Times New Roman"/>
          <w:b w:val="false"/>
          <w:i w:val="false"/>
          <w:color w:val="000000"/>
          <w:sz w:val="24"/>
        </w:rPr>
        <w:t>(147):</w:t>
      </w:r>
    </w:p>
    <w:p>
      <w:pPr>
        <w:spacing w:before="0" w:after="0" w:line="480"/>
        <w:ind w:left="120"/>
        <w:jc w:val="both"/>
      </w:pPr>
      <w:r>
        <w:rPr>
          <w:rFonts w:ascii="Times New Roman" w:hAnsi="Times New Roman"/>
          <w:b/>
          <w:i w:val="false"/>
          <w:color w:val="000000"/>
          <w:sz w:val="24"/>
        </w:rPr>
        <w:t>481—880.19</w:t>
      </w:r>
      <w:r>
        <w:rPr>
          <w:rFonts w:ascii="Times New Roman" w:hAnsi="Times New Roman"/>
          <w:b/>
          <w:i w:val="false"/>
          <w:color w:val="000000"/>
          <w:sz w:val="24"/>
        </w:rPr>
        <w:t xml:space="preserve">(147) </w:t>
      </w:r>
      <w:r>
        <w:rPr>
          <w:rFonts w:ascii="Times New Roman" w:hAnsi="Times New Roman"/>
          <w:b/>
          <w:i w:val="false"/>
          <w:color w:val="000000"/>
          <w:sz w:val="24"/>
        </w:rPr>
        <w:t xml:space="preserve">Professional social work licensure compact (SWLC). </w:t>
      </w:r>
      <w:r>
        <w:rPr>
          <w:rFonts w:ascii="Times New Roman" w:hAnsi="Times New Roman"/>
          <w:b w:val="false"/>
          <w:i w:val="false"/>
          <w:color w:val="000000"/>
          <w:sz w:val="24"/>
        </w:rPr>
        <w:t xml:space="preserve">The rules of the SWLC are incorporated by reference. A social worker may engage in the practice of licensed social work in Iowa without a license issued by the board if the individual has a current compact privilege to practice in Iowa issued by the SWLC. The state fee for issuance of a compact privilege to practice in Iowa shall be $60, which will be collected by the SWLC. The state fee for issuance of a compact privilege to practice in Iowa shall be waived for an active duty military member or spouse of an individual who is an active duty military member. A social worker who practices social work in Iowa using a compact privilege is subject to the rules governing licensees in this chapter and in 481—Chapters </w:t>
      </w:r>
      <w:hyperlink r:id="rId23">
        <w:r>
          <w:rPr>
            <w:rStyle w:val="Hyperlink"/>
            <w:rFonts w:ascii="Times New Roman" w:hAnsi="Times New Roman"/>
            <w:b w:val="false"/>
            <w:i w:val="false"/>
            <w:color w:val="000000"/>
            <w:sz w:val="24"/>
          </w:rPr>
          <w:t>881</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882</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884</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885</w:t>
        </w:r>
      </w:hyperlink>
      <w:r>
        <w:rPr>
          <w:rFonts w:ascii="Times New Roman" w:hAnsi="Times New Roman"/>
          <w:b w:val="false"/>
          <w:i w:val="false"/>
          <w:color w:val="000000"/>
          <w:sz w:val="24"/>
        </w:rPr>
        <w:t xml:space="preserve">. Complaints, investigations, and disciplinary proceedings involving a compact privilege shall be handled in accordance with Iowa Code chapters </w:t>
      </w:r>
      <w:hyperlink r:id="rId2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147I</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272C</w:t>
        </w:r>
      </w:hyperlink>
      <w:r>
        <w:rPr>
          <w:rFonts w:ascii="Times New Roman" w:hAnsi="Times New Roman"/>
          <w:b w:val="false"/>
          <w:i w:val="false"/>
          <w:color w:val="000000"/>
          <w:sz w:val="24"/>
        </w:rPr>
        <w:t xml:space="preserve"> and 481—Chapters </w:t>
      </w:r>
      <w:hyperlink r:id="rId30">
        <w:r>
          <w:rPr>
            <w:rStyle w:val="Hyperlink"/>
            <w:rFonts w:ascii="Times New Roman" w:hAnsi="Times New Roman"/>
            <w:b w:val="false"/>
            <w:i w:val="false"/>
            <w:color w:val="000000"/>
            <w:sz w:val="24"/>
          </w:rPr>
          <w:t>503</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33">
        <w:r>
          <w:rPr>
            <w:rStyle w:val="Hyperlink"/>
            <w:rFonts w:ascii="Times New Roman" w:hAnsi="Times New Roman"/>
            <w:b w:val="false"/>
            <w:i w:val="false"/>
            <w:color w:val="000000"/>
            <w:sz w:val="24"/>
          </w:rPr>
          <w:t>147I</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8/3/26, effective 10/7/26]</w:t>
      </w:r>
    </w:p>
    <w:p>
      <w:pPr>
        <w:spacing w:before="0" w:after="0" w:line="480"/>
        <w:ind w:left="120"/>
        <w:jc w:val="center"/>
      </w:pPr>
      <w:r>
        <w:rPr>
          <w:rFonts w:ascii="Times New Roman" w:hAnsi="Times New Roman"/>
          <w:b w:val="false"/>
          <w:i w:val="false"/>
          <w:color w:val="000000"/>
          <w:sz w:val="24"/>
        </w:rPr>
        <w:t>[Published 9/2/26]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9/2/26.</w:t>
      </w:r>
    </w:p>
    <w:p>
      <w:pPr>
        <w:spacing w:before="0" w:after="0" w:line="480"/>
        <w:ind w:left="120"/>
        <w:jc w:val="left"/>
      </w:pPr>
      <w:bookmarkStart w:name="lastARC" w:id="2"/>
      <w:bookmarkEnd w:id="2"/>
    </w:p>
    <w:sectPr>
      <w:footerReference r:id="rId3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81.880.2.pdf" Type="http://schemas.openxmlformats.org/officeDocument/2006/relationships/hyperlink" Id="rId5"/>
    <Relationship TargetMode="External" Target="https://www.legis.iowa.gov/docs/iac/rule/481.880.2.pdf" Type="http://schemas.openxmlformats.org/officeDocument/2006/relationships/hyperlink" Id="rId6"/>
    <Relationship TargetMode="External" Target="https://www.legis.iowa.gov/docs/iac/rule/481.880.2.pdf" Type="http://schemas.openxmlformats.org/officeDocument/2006/relationships/hyperlink" Id="rId7"/>
    <Relationship TargetMode="External" Target="https://www.legis.iowa.gov/docs/iac/rule/481.880.2.pdf" Type="http://schemas.openxmlformats.org/officeDocument/2006/relationships/hyperlink" Id="rId8"/>
    <Relationship TargetMode="External" Target="https://www.legis.iowa.gov/docs/iac/chapter/481.507.pdf" Type="http://schemas.openxmlformats.org/officeDocument/2006/relationships/hyperlink" Id="rId9"/>
    <Relationship TargetMode="External" Target="https://www.legis.iowa.gov/docs/iac/rule/481.880.14.pdf" Type="http://schemas.openxmlformats.org/officeDocument/2006/relationships/hyperlink" Id="rId10"/>
    <Relationship TargetMode="External" Target="https://www.legis.iowa.gov/docs/iac/rule/481.880.14.pdf" Type="http://schemas.openxmlformats.org/officeDocument/2006/relationships/hyperlink" Id="rId11"/>
    <Relationship TargetMode="External" Target="https://www.legis.iowa.gov/docs/iac/chapter/481.881.pdf" Type="http://schemas.openxmlformats.org/officeDocument/2006/relationships/hyperlink" Id="rId12"/>
    <Relationship TargetMode="External" Target="https://www.legis.iowa.gov/docs/iac/chapter/481.882.pdf" Type="http://schemas.openxmlformats.org/officeDocument/2006/relationships/hyperlink" Id="rId13"/>
    <Relationship TargetMode="External" Target="https://www.legis.iowa.gov/docs/iac/chapter/481.884.pdf" Type="http://schemas.openxmlformats.org/officeDocument/2006/relationships/hyperlink" Id="rId14"/>
    <Relationship TargetMode="External" Target="https://www.legis.iowa.gov/docs/iac/chapter/481.885.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H.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ac/chapter/481.503.pdf" Type="http://schemas.openxmlformats.org/officeDocument/2006/relationships/hyperlink" Id="rId19"/>
    <Relationship TargetMode="External" Target="https://www.legis.iowa.gov/docs/iac/chapter/481.504.pdf" Type="http://schemas.openxmlformats.org/officeDocument/2006/relationships/hyperlink" Id="rId20"/>
    <Relationship TargetMode="External" Target="https://www.legis.iowa.gov/docs/iac/chapter/481.506.pdf" Type="http://schemas.openxmlformats.org/officeDocument/2006/relationships/hyperlink" Id="rId21"/>
    <Relationship TargetMode="External" Target="https://www.legis.iowa.gov/docs/ico/chapter/147H.pdf" Type="http://schemas.openxmlformats.org/officeDocument/2006/relationships/hyperlink" Id="rId22"/>
    <Relationship TargetMode="External" Target="https://www.legis.iowa.gov/docs/iac/chapter/481.881.pdf" Type="http://schemas.openxmlformats.org/officeDocument/2006/relationships/hyperlink" Id="rId23"/>
    <Relationship TargetMode="External" Target="https://www.legis.iowa.gov/docs/iac/chapter/481.882.pdf" Type="http://schemas.openxmlformats.org/officeDocument/2006/relationships/hyperlink" Id="rId24"/>
    <Relationship TargetMode="External" Target="https://www.legis.iowa.gov/docs/iac/chapter/481.884.pdf" Type="http://schemas.openxmlformats.org/officeDocument/2006/relationships/hyperlink" Id="rId25"/>
    <Relationship TargetMode="External" Target="https://www.legis.iowa.gov/docs/iac/chapter/481.885.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147I.pdf" Type="http://schemas.openxmlformats.org/officeDocument/2006/relationships/hyperlink" Id="rId28"/>
    <Relationship TargetMode="External" Target="https://www.legis.iowa.gov/docs/ico/chapter/272C.pdf" Type="http://schemas.openxmlformats.org/officeDocument/2006/relationships/hyperlink" Id="rId29"/>
    <Relationship TargetMode="External" Target="https://www.legis.iowa.gov/docs/iac/chapter/481.503.pdf" Type="http://schemas.openxmlformats.org/officeDocument/2006/relationships/hyperlink" Id="rId30"/>
    <Relationship TargetMode="External" Target="https://www.legis.iowa.gov/docs/iac/chapter/481.504.pdf" Type="http://schemas.openxmlformats.org/officeDocument/2006/relationships/hyperlink" Id="rId31"/>
    <Relationship TargetMode="External" Target="https://www.legis.iowa.gov/docs/iac/chapter/481.506.pdf" Type="http://schemas.openxmlformats.org/officeDocument/2006/relationships/hyperlink" Id="rId32"/>
    <Relationship TargetMode="External" Target="https://www.legis.iowa.gov/docs/ico/chapter/147I.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