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55D" w:id="1"/>
    <w:p>
      <w:pPr>
        <w:spacing w:before="0" w:after="0" w:line="480"/>
        <w:ind w:left="120"/>
        <w:jc w:val="right"/>
      </w:pPr>
      <w:r>
        <w:rPr>
          <w:rFonts w:ascii="Times New Roman" w:hAnsi="Times New Roman"/>
          <w:b/>
          <w:i w:val="false"/>
          <w:color w:val="000000"/>
          <w:sz w:val="28"/>
        </w:rPr>
        <w:t>ARC 0555D</w:t>
      </w:r>
    </w:p>
    <w:bookmarkEnd w:id="1"/>
    <w:p>
      <w:pPr>
        <w:pBdr>
          <w:top w:space="5"/>
        </w:pBdr>
        <w:spacing w:before="0" w:after="0" w:line="480"/>
        <w:ind w:left="120"/>
        <w:jc w:val="center"/>
      </w:pPr>
      <w:r>
        <w:rPr>
          <w:rFonts w:ascii="Times New Roman" w:hAnsi="Times New Roman"/>
          <w:b/>
          <w:i w:val="false"/>
          <w:color w:val="000000"/>
          <w:sz w:val="28"/>
        </w:rPr>
        <w:t>ATTORNEY GENERAL[61]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national opioid settlement distribution</w:t>
      </w:r>
    </w:p>
    <w:p>
      <w:pPr>
        <w:pBdr>
          <w:top w:space="5"/>
        </w:pBdr>
        <w:spacing w:before="0" w:after="0" w:line="480"/>
        <w:ind w:left="120"/>
        <w:jc w:val="both"/>
      </w:pPr>
      <w:r>
        <w:rPr>
          <w:rFonts w:ascii="Times New Roman" w:hAnsi="Times New Roman"/>
          <w:b w:val="false"/>
          <w:i w:val="false"/>
          <w:color w:val="000000"/>
          <w:sz w:val="24"/>
        </w:rPr>
        <w:t>    The Attorney General hereby adopts new Chapter 39, “National Opioid Settlement Distribution,”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13 and section 12.51.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2025 Iowa Acts, House File 1038, division I.</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is intended to implement 2025 Iowa Acts, House File 1038, division I, by adopting rules to outline the Office of the Attorney General’s responsibilities in the distribution of funds from the State of Iowa’s Opioid Settlement Fund.</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10, 2026, as </w:t>
      </w:r>
      <w:r>
        <w:rPr>
          <w:rFonts w:ascii="Times New Roman" w:hAnsi="Times New Roman"/>
          <w:b/>
          <w:i w:val="false"/>
          <w:color w:val="000000"/>
          <w:sz w:val="24"/>
        </w:rPr>
        <w:t>ARC 0342D</w:t>
      </w:r>
      <w:r>
        <w:rPr>
          <w:rFonts w:ascii="Times New Roman" w:hAnsi="Times New Roman"/>
          <w:b w:val="false"/>
          <w:i w:val="false"/>
          <w:color w:val="000000"/>
          <w:sz w:val="24"/>
        </w:rPr>
        <w:t>.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Attorney General on August 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This rulemaking has a fiscal impact to the State of Iowa. The financial impact of this rulemaking will be the distribution of millions of dollars to combat the opioid crisis in the State of Iowa. How this funding will be utilized remains to be determined, but the Office of the Attorney General is focused on providing funding to impactful programs that will help people dealing with this crisis statewide, with the program lasting until June 30, 2030. There will be administrative costs incurred by the Office of the Attorney General in administering the disbursement of funds. The exact costs are not easily identifiable, but these costs have been provided for in Iowa Code section 12.51(2)“b”(6).</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xml:space="preserve">    The distribution of opioid settlement dollars is likely to create new jobs across multiple industries in the State. While final allocations have not yet been determined, examples of those groups that could benefit from investment and see job growth include but are not limited to nurses, social workers, first responders, counselors, construction, telehealth, and more. </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Attorney General for a waiver of the discretionary provisions, if any.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61—Chapter 39</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39</w:t>
      </w:r>
    </w:p>
    <w:p>
      <w:pPr>
        <w:spacing w:before="0" w:after="0" w:line="480"/>
        <w:ind w:left="120"/>
        <w:jc w:val="center"/>
      </w:pPr>
      <w:r>
        <w:rPr>
          <w:rFonts w:ascii="Times New Roman" w:hAnsi="Times New Roman"/>
          <w:b w:val="false"/>
          <w:i w:val="false"/>
          <w:color w:val="000000"/>
          <w:sz w:val="21"/>
        </w:rPr>
        <w:t>NATIONAL OPIOID SETTLEMENT DISTRIBUTION</w:t>
      </w:r>
    </w:p>
    <w:p>
      <w:pPr>
        <w:spacing w:before="0" w:after="0" w:line="480"/>
        <w:ind w:left="120"/>
        <w:jc w:val="both"/>
      </w:pPr>
      <w:r>
        <w:rPr>
          <w:rFonts w:ascii="Times New Roman" w:hAnsi="Times New Roman"/>
          <w:b/>
          <w:i w:val="false"/>
          <w:color w:val="000000"/>
          <w:sz w:val="24"/>
        </w:rPr>
        <w:t>61—39.1</w:t>
      </w:r>
      <w:r>
        <w:rPr>
          <w:rFonts w:ascii="Times New Roman" w:hAnsi="Times New Roman"/>
          <w:b/>
          <w:i w:val="false"/>
          <w:color w:val="000000"/>
          <w:sz w:val="24"/>
        </w:rPr>
        <w:t xml:space="preserve">(12)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this chapter,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val="false"/>
          <w:color w:val="000000"/>
          <w:sz w:val="24"/>
        </w:rPr>
        <w:t> </w:t>
      </w:r>
      <w:r>
        <w:rPr>
          <w:rFonts w:ascii="Times New Roman" w:hAnsi="Times New Roman"/>
          <w:b w:val="false"/>
          <w:i w:val="false"/>
          <w:color w:val="000000"/>
          <w:sz w:val="24"/>
        </w:rPr>
        <w:t>means a person or entity that applies for funding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“Application process”</w:t>
      </w:r>
      <w:r>
        <w:rPr>
          <w:rFonts w:ascii="Times New Roman" w:hAnsi="Times New Roman"/>
          <w:b w:val="false"/>
          <w:i w:val="false"/>
          <w:color w:val="000000"/>
          <w:sz w:val="24"/>
        </w:rPr>
        <w:t> </w:t>
      </w:r>
      <w:r>
        <w:rPr>
          <w:rFonts w:ascii="Times New Roman" w:hAnsi="Times New Roman"/>
          <w:b w:val="false"/>
          <w:i w:val="false"/>
          <w:color w:val="000000"/>
          <w:sz w:val="24"/>
        </w:rPr>
        <w:t>means the set of rules, requirements, and procedures outlined in the notice of funding opportunity on the department’s website that applicants must follow to apply for opioid settlement funding.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department of justice and the Iowa attorney general’s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projects”</w:t>
      </w:r>
      <w:r>
        <w:rPr>
          <w:rFonts w:ascii="Times New Roman" w:hAnsi="Times New Roman"/>
          <w:b w:val="false"/>
          <w:i w:val="false"/>
          <w:color w:val="000000"/>
          <w:sz w:val="24"/>
        </w:rPr>
        <w:t> </w:t>
      </w:r>
      <w:r>
        <w:rPr>
          <w:rFonts w:ascii="Times New Roman" w:hAnsi="Times New Roman"/>
          <w:b w:val="false"/>
          <w:i w:val="false"/>
          <w:color w:val="000000"/>
          <w:sz w:val="24"/>
        </w:rPr>
        <w:t>means projects that fall within the national opioid settlement’s listed core strategies and approved uses.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“Fund”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state of Iowa’s opioid settlement fund as described in Iowa Code section </w:t>
      </w:r>
      <w:hyperlink r:id="rId5">
        <w:r>
          <w:rPr>
            <w:rStyle w:val="Hyperlink"/>
            <w:rFonts w:ascii="Times New Roman" w:hAnsi="Times New Roman"/>
            <w:b w:val="false"/>
            <w:i w:val="false"/>
            <w:color w:val="000000"/>
            <w:sz w:val="24"/>
          </w:rPr>
          <w:t>12.51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“Intended outcomes”</w:t>
      </w:r>
      <w:r>
        <w:rPr>
          <w:rFonts w:ascii="Times New Roman" w:hAnsi="Times New Roman"/>
          <w:b w:val="false"/>
          <w:i w:val="false"/>
          <w:color w:val="000000"/>
          <w:sz w:val="24"/>
        </w:rPr>
        <w:t> </w:t>
      </w:r>
      <w:r>
        <w:rPr>
          <w:rFonts w:ascii="Times New Roman" w:hAnsi="Times New Roman"/>
          <w:b w:val="false"/>
          <w:i w:val="false"/>
          <w:color w:val="000000"/>
          <w:sz w:val="24"/>
        </w:rPr>
        <w:t>means the specific goals, impacts, or measurable results that a proposed project or program aims to achieve. These outcomes include but are not limited to prevention of opioid-related deaths, reduction of opioid misuse, and increased access to opioid-use disorder medications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“Notice of funding opportunity”</w:t>
      </w:r>
      <w:r>
        <w:rPr>
          <w:rFonts w:ascii="Times New Roman" w:hAnsi="Times New Roman"/>
          <w:b w:val="false"/>
          <w:i w:val="false"/>
          <w:color w:val="000000"/>
          <w:sz w:val="24"/>
        </w:rPr>
        <w:t> </w:t>
      </w:r>
      <w:r>
        <w:rPr>
          <w:rFonts w:ascii="Times New Roman" w:hAnsi="Times New Roman"/>
          <w:b w:val="false"/>
          <w:i w:val="false"/>
          <w:color w:val="000000"/>
          <w:sz w:val="24"/>
        </w:rPr>
        <w:t>means the department’s solicitation for proposals for the use of opioid settlement dollars to support eligible projects.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“Request”</w:t>
      </w:r>
      <w:r>
        <w:rPr>
          <w:rFonts w:ascii="Times New Roman" w:hAnsi="Times New Roman"/>
          <w:b w:val="false"/>
          <w:i w:val="false"/>
          <w:color w:val="000000"/>
          <w:sz w:val="24"/>
        </w:rPr>
        <w:t> </w:t>
      </w:r>
      <w:r>
        <w:rPr>
          <w:rFonts w:ascii="Times New Roman" w:hAnsi="Times New Roman"/>
          <w:b w:val="false"/>
          <w:i w:val="false"/>
          <w:color w:val="000000"/>
          <w:sz w:val="24"/>
        </w:rPr>
        <w:t>means applications for funding submitted to the department by applicants.</w:t>
      </w:r>
    </w:p>
    <w:p>
      <w:pPr>
        <w:spacing w:before="0" w:after="0" w:line="480"/>
        <w:ind w:left="120"/>
        <w:jc w:val="both"/>
      </w:pPr>
      <w:r>
        <w:rPr>
          <w:rFonts w:ascii="Times New Roman" w:hAnsi="Times New Roman"/>
          <w:b/>
          <w:i w:val="false"/>
          <w:color w:val="000000"/>
          <w:sz w:val="24"/>
        </w:rPr>
        <w:t>61—39.2</w:t>
      </w:r>
      <w:r>
        <w:rPr>
          <w:rFonts w:ascii="Times New Roman" w:hAnsi="Times New Roman"/>
          <w:b/>
          <w:i w:val="false"/>
          <w:color w:val="000000"/>
          <w:sz w:val="24"/>
        </w:rPr>
        <w:t xml:space="preserve">(12) </w:t>
      </w:r>
      <w:r>
        <w:rPr>
          <w:rFonts w:ascii="Times New Roman" w:hAnsi="Times New Roman"/>
          <w:b/>
          <w:i w:val="false"/>
          <w:color w:val="000000"/>
          <w:sz w:val="24"/>
        </w:rPr>
        <w:t xml:space="preserve">Funding.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39.2(1)</w:t>
      </w:r>
      <w:r>
        <w:rPr>
          <w:rFonts w:ascii="Times New Roman" w:hAnsi="Times New Roman"/>
          <w:b w:val="false"/>
          <w:i w:val="false"/>
          <w:color w:val="000000"/>
          <w:sz w:val="24"/>
        </w:rPr>
        <w:t> </w:t>
      </w:r>
      <w:r>
        <w:rPr>
          <w:rFonts w:ascii="Times New Roman" w:hAnsi="Times New Roman"/>
          <w:b w:val="false"/>
          <w:i/>
          <w:color w:val="000000"/>
          <w:sz w:val="24"/>
        </w:rPr>
        <w:t xml:space="preserve">Requests. </w:t>
      </w:r>
      <w:r>
        <w:rPr>
          <w:rFonts w:ascii="Times New Roman" w:hAnsi="Times New Roman"/>
          <w:b w:val="false"/>
          <w:i w:val="false"/>
          <w:color w:val="000000"/>
          <w:sz w:val="24"/>
        </w:rPr>
        <w:t>Requests containing eligible projects shall be submitted to the department in accordance with the notice of funding opportunity and application process. Each request shall include the intended outcomes of the project or projects. The department may request additional information not listed on the notice of funding opportunity or application process from the applicants as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39.2(2)</w:t>
      </w:r>
      <w:r>
        <w:rPr>
          <w:rFonts w:ascii="Times New Roman" w:hAnsi="Times New Roman"/>
          <w:b w:val="false"/>
          <w:i w:val="false"/>
          <w:color w:val="000000"/>
          <w:sz w:val="24"/>
        </w:rPr>
        <w:t> </w:t>
      </w:r>
      <w:r>
        <w:rPr>
          <w:rFonts w:ascii="Times New Roman" w:hAnsi="Times New Roman"/>
          <w:b w:val="false"/>
          <w:i/>
          <w:color w:val="000000"/>
          <w:sz w:val="24"/>
        </w:rPr>
        <w:t xml:space="preserve">Awards. </w:t>
      </w:r>
      <w:r>
        <w:rPr>
          <w:rFonts w:ascii="Times New Roman" w:hAnsi="Times New Roman"/>
          <w:b w:val="false"/>
          <w:i w:val="false"/>
          <w:color w:val="000000"/>
          <w:sz w:val="24"/>
        </w:rPr>
        <w:t xml:space="preserve">The department reserves the right to award funds to applicants, partially award funds to applicants, or withhold distribution of opioid settlement funds from applicants.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39.2(3)</w:t>
      </w:r>
      <w:r>
        <w:rPr>
          <w:rFonts w:ascii="Times New Roman" w:hAnsi="Times New Roman"/>
          <w:b w:val="false"/>
          <w:i w:val="false"/>
          <w:color w:val="000000"/>
          <w:sz w:val="24"/>
        </w:rPr>
        <w:t> </w:t>
      </w:r>
      <w:r>
        <w:rPr>
          <w:rFonts w:ascii="Times New Roman" w:hAnsi="Times New Roman"/>
          <w:b w:val="false"/>
          <w:i/>
          <w:color w:val="000000"/>
          <w:sz w:val="24"/>
        </w:rPr>
        <w:t xml:space="preserve">Individual contract requirement. </w:t>
      </w:r>
      <w:r>
        <w:rPr>
          <w:rFonts w:ascii="Times New Roman" w:hAnsi="Times New Roman"/>
          <w:b w:val="false"/>
          <w:i w:val="false"/>
          <w:color w:val="000000"/>
          <w:sz w:val="24"/>
        </w:rPr>
        <w:t>Any applicant selected as a potential recipient of opioid settlement funds must execute an agreement with the department to complete the award. Any award of opioid settlement funds will be subject to any terms and conditions the department sets forth in that agreement. The failure to agree to contractual terms will result in no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39.2(4)</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The department is not required to notify each applicant regarding the approval or denial of the applicant’s funding request.</w:t>
      </w:r>
    </w:p>
    <w:p>
      <w:pPr>
        <w:spacing w:before="210" w:after="0" w:line="480"/>
        <w:ind w:left="120"/>
        <w:jc w:val="both"/>
      </w:pPr>
      <w:r>
        <w:rPr>
          <w:rFonts w:ascii="Times New Roman" w:hAnsi="Times New Roman"/>
          <w:b/>
          <w:i w:val="false"/>
          <w:color w:val="000000"/>
          <w:sz w:val="24"/>
        </w:rPr>
        <w:t>61—39.3</w:t>
      </w:r>
      <w:r>
        <w:rPr>
          <w:rFonts w:ascii="Times New Roman" w:hAnsi="Times New Roman"/>
          <w:b/>
          <w:i w:val="false"/>
          <w:color w:val="000000"/>
          <w:sz w:val="24"/>
        </w:rPr>
        <w:t xml:space="preserve">(12) </w:t>
      </w:r>
      <w:r>
        <w:rPr>
          <w:rFonts w:ascii="Times New Roman" w:hAnsi="Times New Roman"/>
          <w:b/>
          <w:i w:val="false"/>
          <w:color w:val="000000"/>
          <w:sz w:val="24"/>
        </w:rPr>
        <w:t xml:space="preserve">Reporting and evaluation. </w:t>
      </w:r>
      <w:r>
        <w:rPr>
          <w:rFonts w:ascii="Times New Roman" w:hAnsi="Times New Roman"/>
          <w:b w:val="false"/>
          <w:i w:val="false"/>
          <w:color w:val="000000"/>
          <w:sz w:val="24"/>
        </w:rPr>
        <w:t xml:space="preserve">Each applicant selected for an award is required to submit reports and other performance indicators following the instructions and methods requested by the department. At a minimum, each applicant selected for an award is required to submit an annual report on July 1 of each year that specifies whether the moneys awarded have achieved or are achieving the intended outcomes. </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6">
        <w:r>
          <w:rPr>
            <w:rStyle w:val="Hyperlink"/>
            <w:rFonts w:ascii="Times New Roman" w:hAnsi="Times New Roman"/>
            <w:b w:val="false"/>
            <w:i w:val="false"/>
            <w:color w:val="000000"/>
            <w:sz w:val="24"/>
          </w:rPr>
          <w:t>12.51</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8/7/26, effective 10/7/26]</w:t>
      </w:r>
    </w:p>
    <w:p>
      <w:pPr>
        <w:spacing w:before="0" w:after="0" w:line="480"/>
        <w:ind w:left="120"/>
        <w:jc w:val="center"/>
      </w:pPr>
      <w:r>
        <w:rPr>
          <w:rFonts w:ascii="Times New Roman" w:hAnsi="Times New Roman"/>
          <w:b w:val="false"/>
          <w:i w:val="false"/>
          <w:color w:val="000000"/>
          <w:sz w:val="24"/>
        </w:rPr>
        <w:t>[Published 9/2/26]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9/2/26.</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12.51.pdf" Type="http://schemas.openxmlformats.org/officeDocument/2006/relationships/hyperlink" Id="rId5"/>
    <Relationship TargetMode="External" Target="https://www.legis.iowa.gov/docs/ico/chapter/12.5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