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54D" w:id="1"/>
    <w:p>
      <w:pPr>
        <w:spacing w:before="0" w:after="0" w:line="480"/>
        <w:ind w:left="120"/>
        <w:jc w:val="right"/>
      </w:pPr>
      <w:r>
        <w:rPr>
          <w:rFonts w:ascii="Times New Roman" w:hAnsi="Times New Roman"/>
          <w:b/>
          <w:i w:val="false"/>
          <w:color w:val="000000"/>
          <w:sz w:val="28"/>
        </w:rPr>
        <w:t>ARC 0554D</w:t>
      </w:r>
    </w:p>
    <w:bookmarkEnd w:id="1"/>
    <w:p>
      <w:pPr>
        <w:pBdr>
          <w:top w:space="5"/>
        </w:pBdr>
        <w:spacing w:before="0" w:after="0" w:line="480"/>
        <w:ind w:left="120"/>
        <w:jc w:val="center"/>
      </w:pPr>
      <w:r>
        <w:rPr>
          <w:rFonts w:ascii="Times New Roman" w:hAnsi="Times New Roman"/>
          <w:b/>
          <w:i w:val="false"/>
          <w:color w:val="000000"/>
          <w:sz w:val="28"/>
        </w:rPr>
        <w:t>REGENTS BOARD[681]</w:t>
      </w:r>
    </w:p>
    <w:p>
      <w:pPr>
        <w:pBdr>
          <w:top w:space="2"/>
        </w:pBdr>
        <w:spacing w:before="0" w:after="0" w:line="480"/>
        <w:ind w:left="120"/>
        <w:jc w:val="center"/>
      </w:pPr>
      <w:r>
        <w:rPr>
          <w:rFonts w:ascii="Times New Roman" w:hAnsi="Times New Roman"/>
          <w:b/>
          <w:i w:val="false"/>
          <w:color w:val="000000"/>
          <w:sz w:val="24"/>
        </w:rPr>
        <w:t>Adopted and Filed Emergency</w:t>
      </w:r>
    </w:p>
    <w:p>
      <w:pPr>
        <w:spacing w:before="0" w:after="0" w:line="480"/>
        <w:ind w:left="120"/>
        <w:jc w:val="center"/>
      </w:pPr>
      <w:r>
        <w:rPr>
          <w:rFonts w:ascii="Times New Roman" w:hAnsi="Times New Roman"/>
          <w:b/>
          <w:i w:val="false"/>
          <w:color w:val="000000"/>
          <w:sz w:val="24"/>
        </w:rPr>
        <w:t>Rulemaking related to uniform rules on agency procedure</w:t>
      </w:r>
    </w:p>
    <w:p>
      <w:pPr>
        <w:pBdr>
          <w:top w:space="5"/>
        </w:pBdr>
        <w:spacing w:before="0" w:after="0" w:line="480"/>
        <w:ind w:left="120"/>
        <w:jc w:val="both"/>
      </w:pPr>
      <w:r>
        <w:rPr>
          <w:rFonts w:ascii="Times New Roman" w:hAnsi="Times New Roman"/>
          <w:b w:val="false"/>
          <w:i w:val="false"/>
          <w:color w:val="000000"/>
          <w:sz w:val="24"/>
        </w:rPr>
        <w:t>    The Board of Regents hereby rescinds Chapter 17, “Public Records and Fair Information Practices,” and adopts new Chapter 2505, “Fair Information Practices,” and Chapter 2506, “Contested Cases,”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chapters 17A and 262.</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Senate File 2463.</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rulemaking implements the transition to the statewide Uniform Rules on Agency Procedure as mandated by 2026 Iowa Acts, Senate File 2463. The Board has adopted the majority of the Uniform Rules on Agency Procedure to ensure consistency across the State.</w:t>
      </w:r>
    </w:p>
    <w:p>
      <w:pPr>
        <w:spacing w:before="0" w:after="0" w:line="480"/>
        <w:ind w:left="120"/>
        <w:jc w:val="both"/>
      </w:pPr>
      <w:r>
        <w:rPr>
          <w:rFonts w:ascii="Times New Roman" w:hAnsi="Times New Roman"/>
          <w:b w:val="false"/>
          <w:i w:val="false"/>
          <w:color w:val="000000"/>
          <w:sz w:val="24"/>
        </w:rPr>
        <w:t>    Pursuant to Senate File 2463, section 5, the Board has determined that the following modifications are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Item 1:</w:t>
      </w:r>
      <w:r>
        <w:rPr>
          <w:rFonts w:ascii="Times New Roman" w:hAnsi="Times New Roman"/>
          <w:b w:val="false"/>
          <w:i w:val="false"/>
          <w:color w:val="000000"/>
          <w:sz w:val="24"/>
        </w:rPr>
        <w:t xml:space="preserve"> Chapter 17, “Public Records and Fair Information Practices.” </w:t>
      </w:r>
    </w:p>
    <w:p>
      <w:pPr>
        <w:spacing w:before="0" w:after="0" w:line="480"/>
        <w:ind w:left="120"/>
        <w:jc w:val="both"/>
      </w:pPr>
      <w:r>
        <w:rPr>
          <w:rFonts w:ascii="Times New Roman" w:hAnsi="Times New Roman"/>
          <w:b w:val="false"/>
          <w:i w:val="false"/>
          <w:color w:val="000000"/>
          <w:sz w:val="24"/>
        </w:rPr>
        <w:t>    The Board is required to maintain specific information policies regarding personally identifiable information (PII) pursuant to Iowa Code section 22.11. The Board is rescinding the entirety of Chapter 17 and simultaneously adopting the mandatory PII provisions within the new Chapter 2505. This ensures all fair information practices are centralized and compliant with statutory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Item 2:</w:t>
      </w:r>
      <w:r>
        <w:rPr>
          <w:rFonts w:ascii="Times New Roman" w:hAnsi="Times New Roman"/>
          <w:b w:val="false"/>
          <w:i w:val="false"/>
          <w:color w:val="000000"/>
          <w:sz w:val="24"/>
        </w:rPr>
        <w:t xml:space="preserve"> Adopting Chapter 2505, “Fair Information Practices.”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Modification 1:</w:t>
      </w:r>
      <w:r>
        <w:rPr>
          <w:rFonts w:ascii="Times New Roman" w:hAnsi="Times New Roman"/>
          <w:b w:val="false"/>
          <w:i w:val="false"/>
          <w:color w:val="000000"/>
          <w:sz w:val="24"/>
        </w:rPr>
        <w:t xml:space="preserve"> Paragraphs 2505.3(7)“b,” regarding fees and costs, and 2505.3(7)“c,” regarding advance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Justification 1:</w:t>
      </w:r>
      <w:r>
        <w:rPr>
          <w:rFonts w:ascii="Times New Roman" w:hAnsi="Times New Roman"/>
          <w:b w:val="false"/>
          <w:i w:val="false"/>
          <w:color w:val="000000"/>
          <w:sz w:val="24"/>
        </w:rPr>
        <w:t xml:space="preserve"> The Board is opting out of the uniform three-hour free labor threshold and the $250 advance payment. These modifications are necessary because the universities and Board Office manage a high volume of complex records requests that often require extensive manual searches and highly technical confidentiality reviews by staff and legal counsel. In many instances, responsive records are often maintained across multiple colleges, departments, and offices, requiring coordination among numerous custodians and significantly increasing the time and effort needed to fulfill requests. Requiring three hours of staff or attorney labor at no charge would create a significant unfunded mandate and materially increase the administrative workload. The modified approach of providing 30 minutes of labor at no cost and requiring advance payment for estimated fees exceeding $25 is a reasonable extension of the Board’s existing practice. The $25 advance payment threshold is vital to ensure the Board can recover the actual costs of labor and to prevent the expenditure of significant staff time on requests that are later abandoned or left unpaid.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Modification 2:</w:t>
      </w:r>
      <w:r>
        <w:rPr>
          <w:rFonts w:ascii="Times New Roman" w:hAnsi="Times New Roman"/>
          <w:b w:val="false"/>
          <w:i w:val="false"/>
          <w:color w:val="000000"/>
          <w:sz w:val="24"/>
        </w:rPr>
        <w:t xml:space="preserve"> Rules 681—2505.9(17A,22) and 681—2505.10(22), regarding PII.</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Justification 2:</w:t>
      </w:r>
      <w:r>
        <w:rPr>
          <w:rFonts w:ascii="Times New Roman" w:hAnsi="Times New Roman"/>
          <w:b w:val="false"/>
          <w:i w:val="false"/>
          <w:color w:val="000000"/>
          <w:sz w:val="24"/>
        </w:rPr>
        <w:t xml:space="preserve"> The Board is reintegrating the descriptions of PII systems, formerly located in Chapter 17. This reintegration is necessary to fulfill the requirements of Iowa Code section 22.11, which mandates that State agencies describe the nature and extent of the PII State agencies collect. This modification ensures all fair information practices are centralized in a single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Item 3:</w:t>
      </w:r>
      <w:r>
        <w:rPr>
          <w:rFonts w:ascii="Times New Roman" w:hAnsi="Times New Roman"/>
          <w:b w:val="false"/>
          <w:i w:val="false"/>
          <w:color w:val="000000"/>
          <w:sz w:val="24"/>
        </w:rPr>
        <w:t xml:space="preserve"> Adopting Chapter 2506, “Contested Cases.”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Modification:</w:t>
      </w:r>
      <w:r>
        <w:rPr>
          <w:rFonts w:ascii="Times New Roman" w:hAnsi="Times New Roman"/>
          <w:b w:val="false"/>
          <w:i w:val="false"/>
          <w:color w:val="000000"/>
          <w:sz w:val="24"/>
        </w:rPr>
        <w:t xml:space="preserve"> Rules 681—2506.27(17A) and 681—2506.32(17A), regarding appeals and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Justification:</w:t>
      </w:r>
      <w:r>
        <w:rPr>
          <w:rFonts w:ascii="Times New Roman" w:hAnsi="Times New Roman"/>
          <w:b w:val="false"/>
          <w:i w:val="false"/>
          <w:color w:val="000000"/>
          <w:sz w:val="24"/>
        </w:rPr>
        <w:t xml:space="preserve"> The Board is opting out of the uniform appeals procedure for contested cases to allow for the established appellate process under which matters are first reviewed by the university president before being appealed to the Board for final agency action.</w:t>
      </w:r>
    </w:p>
    <w:p>
      <w:pPr>
        <w:pBdr>
          <w:top w:space="2"/>
        </w:pBdr>
        <w:spacing w:before="0" w:after="0" w:line="480"/>
        <w:ind w:left="120"/>
        <w:jc w:val="center"/>
      </w:pPr>
      <w:r>
        <w:rPr>
          <w:rFonts w:ascii="Times New Roman" w:hAnsi="Times New Roman"/>
          <w:b w:val="false"/>
          <w:i/>
          <w:color w:val="000000"/>
          <w:sz w:val="24"/>
        </w:rPr>
        <w:t>Reason for Adoption of Rulemaking Without</w:t>
      </w:r>
      <w:r>
        <w:br/>
      </w:r>
      <w:r>
        <w:rPr>
          <w:rFonts w:ascii="Times New Roman" w:hAnsi="Times New Roman"/>
          <w:b w:val="false"/>
          <w:i/>
          <w:color w:val="000000"/>
          <w:sz w:val="24"/>
        </w:rPr>
        <w:t>Prior Notice and Opportunity for Public Participation</w:t>
      </w:r>
    </w:p>
    <w:p>
      <w:pPr>
        <w:pBdr>
          <w:top w:space="5"/>
        </w:pBdr>
        <w:spacing w:before="0" w:after="0" w:line="480"/>
        <w:ind w:left="120"/>
        <w:jc w:val="both"/>
      </w:pPr>
      <w:r>
        <w:rPr>
          <w:rFonts w:ascii="Times New Roman" w:hAnsi="Times New Roman"/>
          <w:b w:val="false"/>
          <w:i w:val="false"/>
          <w:color w:val="000000"/>
          <w:sz w:val="24"/>
        </w:rPr>
        <w:t xml:space="preserve">    Pursuant to Iowa Code section 17A.4(3), the Board finds that notice and public participation are unnecessary or impractical because emergency adoption was approved by the Administrative Rules Review Committee. </w:t>
      </w:r>
    </w:p>
    <w:p>
      <w:pPr>
        <w:spacing w:before="0" w:after="0" w:line="480"/>
        <w:ind w:left="120"/>
        <w:jc w:val="both"/>
      </w:pPr>
      <w:r>
        <w:rPr>
          <w:rFonts w:ascii="Times New Roman" w:hAnsi="Times New Roman"/>
          <w:b w:val="false"/>
          <w:i w:val="false"/>
          <w:color w:val="000000"/>
          <w:sz w:val="24"/>
        </w:rPr>
        <w:t>    In compliance with Iowa Code section 17A.4(3)“a,” the Administrative Rules Review Committee at its August 10, 2026, meeting reviewed the Board’s determination and this rulemaking and approved the emergency adoption.</w:t>
      </w:r>
    </w:p>
    <w:p>
      <w:pPr>
        <w:pBdr>
          <w:top w:space="2"/>
        </w:pBdr>
        <w:spacing w:before="0" w:after="0" w:line="480"/>
        <w:ind w:left="120"/>
        <w:jc w:val="center"/>
      </w:pPr>
      <w:r>
        <w:rPr>
          <w:rFonts w:ascii="Times New Roman" w:hAnsi="Times New Roman"/>
          <w:b w:val="false"/>
          <w:i/>
          <w:color w:val="000000"/>
          <w:sz w:val="24"/>
        </w:rPr>
        <w:t>Reason for Waiver of Normal Effective Date</w:t>
      </w:r>
    </w:p>
    <w:p>
      <w:pPr>
        <w:pBdr>
          <w:top w:space="5"/>
        </w:pBdr>
        <w:spacing w:before="0" w:after="0" w:line="480"/>
        <w:ind w:left="120"/>
        <w:jc w:val="both"/>
      </w:pPr>
      <w:r>
        <w:rPr>
          <w:rFonts w:ascii="Times New Roman" w:hAnsi="Times New Roman"/>
          <w:b w:val="false"/>
          <w:i w:val="false"/>
          <w:color w:val="000000"/>
          <w:sz w:val="24"/>
        </w:rPr>
        <w:t>    Pursuant to Iowa Code section 17A.5(2)“b”(1)(b), the Board also finds that the normal effective date of this rulemaking, 35 days after publication, should be waived and the rulemaking made effective on August 13, 2026, since immediate implementation is necessary to prevent a gap in the Board’s regulatory framework. This confers a benefit on the public by ensuring that essential rules on agency procedure remain in effect following the statutory rescission of the Board’s current Uniform Rules on Agency Procedure.</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Board on July 29, 2026.</w:t>
      </w:r>
    </w:p>
    <w:p>
      <w:pPr>
        <w:pBdr>
          <w:top w:space="2"/>
        </w:pBdr>
        <w:spacing w:before="0" w:after="0" w:line="480"/>
        <w:ind w:left="120"/>
        <w:jc w:val="center"/>
      </w:pPr>
      <w:r>
        <w:rPr>
          <w:rFonts w:ascii="Times New Roman" w:hAnsi="Times New Roman"/>
          <w:b w:val="false"/>
          <w:i/>
          <w:color w:val="000000"/>
          <w:sz w:val="24"/>
        </w:rPr>
        <w:t>Concurrent Publication of Notice of Intended Action</w:t>
      </w:r>
    </w:p>
    <w:p>
      <w:pPr>
        <w:pBdr>
          <w:top w:space="5"/>
        </w:pBdr>
        <w:spacing w:before="0" w:after="0" w:line="480"/>
        <w:ind w:left="120"/>
        <w:jc w:val="both"/>
      </w:pPr>
      <w:r>
        <w:rPr>
          <w:rFonts w:ascii="Times New Roman" w:hAnsi="Times New Roman"/>
          <w:b w:val="false"/>
          <w:i w:val="false"/>
          <w:color w:val="000000"/>
          <w:sz w:val="24"/>
        </w:rPr>
        <w:t xml:space="preserve">    In addition to its adoption on an emergency basis, this rulemaking has been initiated through the normal rulemaking process and is published herein under Notice of Intended Action as </w:t>
      </w:r>
      <w:r>
        <w:rPr>
          <w:rFonts w:ascii="Times New Roman" w:hAnsi="Times New Roman"/>
          <w:b/>
          <w:i w:val="false"/>
          <w:color w:val="000000"/>
          <w:sz w:val="24"/>
        </w:rPr>
        <w:t>ARC 0546D</w:t>
      </w:r>
      <w:r>
        <w:rPr>
          <w:rFonts w:ascii="Times New Roman" w:hAnsi="Times New Roman"/>
          <w:b w:val="false"/>
          <w:i w:val="false"/>
          <w:color w:val="000000"/>
          <w:sz w:val="24"/>
        </w:rPr>
        <w:t xml:space="preserve"> to allow for public comment.</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Board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became effective on August 13,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681—Chapter 17</w:t>
      </w:r>
      <w:r>
        <w:rPr>
          <w:rFonts w:ascii="Times New Roman" w:hAnsi="Times New Roman"/>
          <w:b w:val="false"/>
          <w:i w:val="false"/>
          <w:color w:val="000000"/>
          <w:sz w:val="24"/>
        </w:rPr>
        <w:t>.</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681—Chapter 2505</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2505</w:t>
      </w:r>
    </w:p>
    <w:p>
      <w:pPr>
        <w:spacing w:before="0" w:after="0" w:line="480"/>
        <w:ind w:left="120"/>
        <w:jc w:val="center"/>
      </w:pPr>
      <w:r>
        <w:rPr>
          <w:rFonts w:ascii="Times New Roman" w:hAnsi="Times New Roman"/>
          <w:b w:val="false"/>
          <w:i w:val="false"/>
          <w:color w:val="000000"/>
          <w:sz w:val="21"/>
        </w:rPr>
        <w:t>FAIR INFORMATION PRACTICES</w:t>
      </w:r>
    </w:p>
    <w:p>
      <w:pPr>
        <w:spacing w:before="0" w:after="0" w:line="480"/>
        <w:ind w:left="120"/>
        <w:jc w:val="both"/>
      </w:pPr>
      <w:r>
        <w:rPr>
          <w:rFonts w:ascii="Times New Roman" w:hAnsi="Times New Roman"/>
          <w:b w:val="false"/>
          <w:i w:val="false"/>
          <w:color w:val="000000"/>
          <w:sz w:val="24"/>
        </w:rPr>
        <w:t xml:space="preserve">The Uniform Rules on Agency Procedure, </w:t>
      </w:r>
      <w:hyperlink r:id="rId5">
        <w:r>
          <w:rPr>
            <w:rStyle w:val="Hyperlink"/>
            <w:rFonts w:ascii="Times New Roman" w:hAnsi="Times New Roman"/>
            <w:b w:val="false"/>
            <w:i w:val="false"/>
            <w:color w:val="000000"/>
            <w:sz w:val="24"/>
          </w:rPr>
          <w:t>7—Chapters 2500</w:t>
        </w:r>
      </w:hyperlink>
      <w:r>
        <w:rPr>
          <w:rFonts w:ascii="Times New Roman" w:hAnsi="Times New Roman"/>
          <w:b w:val="false"/>
          <w:i w:val="false"/>
          <w:color w:val="000000"/>
          <w:sz w:val="24"/>
        </w:rPr>
        <w:t xml:space="preserve"> through </w:t>
      </w:r>
      <w:hyperlink r:id="rId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681—2505.1</w:t>
      </w:r>
      <w:r>
        <w:rPr>
          <w:rFonts w:ascii="Times New Roman" w:hAnsi="Times New Roman"/>
          <w:b/>
          <w:i w:val="false"/>
          <w:color w:val="000000"/>
          <w:sz w:val="24"/>
        </w:rPr>
        <w:t xml:space="preserve">(17A,22) </w:t>
      </w:r>
      <w:r>
        <w:rPr>
          <w:rFonts w:ascii="Times New Roman" w:hAnsi="Times New Roman"/>
          <w:b/>
          <w:i w:val="false"/>
          <w:color w:val="000000"/>
          <w:sz w:val="24"/>
        </w:rPr>
        <w:t xml:space="preserve">Definitions. </w:t>
      </w:r>
      <w:r>
        <w:rPr>
          <w:rFonts w:ascii="Times New Roman" w:hAnsi="Times New Roman"/>
          <w:b w:val="false"/>
          <w:i w:val="false"/>
          <w:color w:val="000000"/>
          <w:sz w:val="24"/>
        </w:rPr>
        <w:t>As used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“Agency”</w:t>
      </w:r>
      <w:r>
        <w:rPr>
          <w:rFonts w:ascii="Times New Roman" w:hAnsi="Times New Roman"/>
          <w:b w:val="false"/>
          <w:i w:val="false"/>
          <w:color w:val="000000"/>
          <w:sz w:val="24"/>
        </w:rPr>
        <w:t> </w:t>
      </w:r>
      <w:r>
        <w:rPr>
          <w:rFonts w:ascii="Times New Roman" w:hAnsi="Times New Roman"/>
          <w:b w:val="false"/>
          <w:i w:val="false"/>
          <w:color w:val="000000"/>
          <w:sz w:val="24"/>
        </w:rPr>
        <w:t>means the state board of regents (board) and the institutions it governs—the State University of Iowa, Iowa State University of Science and Technology, and the University of Northern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“Custodian”</w:t>
      </w:r>
      <w:r>
        <w:rPr>
          <w:rFonts w:ascii="Times New Roman" w:hAnsi="Times New Roman"/>
          <w:b w:val="false"/>
          <w:i w:val="false"/>
          <w:color w:val="000000"/>
          <w:sz w:val="24"/>
        </w:rPr>
        <w:t> </w:t>
      </w:r>
      <w:r>
        <w:rPr>
          <w:rFonts w:ascii="Times New Roman" w:hAnsi="Times New Roman"/>
          <w:b w:val="false"/>
          <w:i w:val="false"/>
          <w:color w:val="000000"/>
          <w:sz w:val="24"/>
        </w:rPr>
        <w:t>means the official delegated authority by the agency to release records or that official’s designee. Custodians are as follows: for the board, the executive director; for the State University of Iowa, the institutional secretary; for Iowa State University of Science and Technology, the institutional secretary; and for the University of Northern Iowa, the institutional secretary.</w:t>
      </w:r>
    </w:p>
    <w:p>
      <w:pPr>
        <w:spacing w:before="0" w:after="0" w:line="480"/>
        <w:ind w:left="120"/>
        <w:jc w:val="both"/>
      </w:pPr>
      <w:r>
        <w:rPr>
          <w:rFonts w:ascii="Times New Roman" w:hAnsi="Times New Roman"/>
          <w:b/>
          <w:i w:val="false"/>
          <w:color w:val="000000"/>
          <w:sz w:val="24"/>
        </w:rPr>
        <w:t>681—2505.3</w:t>
      </w:r>
      <w:r>
        <w:rPr>
          <w:rFonts w:ascii="Times New Roman" w:hAnsi="Times New Roman"/>
          <w:b/>
          <w:i w:val="false"/>
          <w:color w:val="000000"/>
          <w:sz w:val="24"/>
        </w:rPr>
        <w:t xml:space="preserve">(17A,22) </w:t>
      </w:r>
      <w:r>
        <w:rPr>
          <w:rFonts w:ascii="Times New Roman" w:hAnsi="Times New Roman"/>
          <w:b/>
          <w:i w:val="false"/>
          <w:color w:val="000000"/>
          <w:sz w:val="24"/>
        </w:rPr>
        <w:t xml:space="preserve">Requests for access to records.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2505.3(7)</w:t>
      </w:r>
      <w:r>
        <w:rPr>
          <w:rFonts w:ascii="Times New Roman" w:hAnsi="Times New Roman"/>
          <w:b w:val="false"/>
          <w:i w:val="false"/>
          <w:color w:val="000000"/>
          <w:sz w:val="24"/>
        </w:rPr>
        <w:t> </w:t>
      </w:r>
      <w:r>
        <w:rPr>
          <w:rFonts w:ascii="Times New Roman" w:hAnsi="Times New Roman"/>
          <w:b w:val="false"/>
          <w:i/>
          <w:color w:val="000000"/>
          <w:sz w:val="24"/>
        </w:rPr>
        <w:t xml:space="preserve">Fees.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Fees and costs. </w:t>
      </w:r>
      <w:r>
        <w:rPr>
          <w:rFonts w:ascii="Times New Roman" w:hAnsi="Times New Roman"/>
          <w:b w:val="false"/>
          <w:i w:val="false"/>
          <w:color w:val="000000"/>
          <w:sz w:val="24"/>
        </w:rPr>
        <w:t>The agency may charge for the actual costs of producing public records. These charges may include the actual cost of making photocopies, the actual cost of media necessary to convey electronic copies of public records, and the actual costs of mailing public records. Pricing schedules for these actual costs will be prominently posted on the agency’s website. The agency may also charge for the expense associated with supervising and searching for public records. These hourly charges will be based on the actual hourly rate of the person performing the task. The agency will ensure that the employee rate charged is as low as possible based on the circumstances. The agency may impose hourly charges only after the first 30 minutes of labor, which will be provided at no cost to the requester. For any additional review by the agency to address questions of confidentiality, the agency may charge the requestor the actual hourly rate of the attorney performing the review, although the first 30 minutes of the attorney’s time will be provided at no cost to the requester.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Advance payment. </w:t>
      </w:r>
      <w:r>
        <w:rPr>
          <w:rFonts w:ascii="Times New Roman" w:hAnsi="Times New Roman"/>
          <w:b w:val="false"/>
          <w:i w:val="false"/>
          <w:color w:val="000000"/>
          <w:sz w:val="24"/>
        </w:rPr>
        <w:t>When the estimated total fee exceeds $25, the agency may require an advance payment from the requester to cover all or part of the estimated fee before proceeding with the work of gathering and reviewing potentially relevant records. If a requester has an unpaid balance from a previous records request, the agency may require the requester to pay both the unpaid balance and the current estimate, regardless of value, before proceeding with the review of public records.</w:t>
      </w:r>
    </w:p>
    <w:p>
      <w:pPr>
        <w:spacing w:before="0" w:after="0" w:line="480"/>
        <w:ind w:left="120"/>
        <w:jc w:val="both"/>
      </w:pPr>
      <w:r>
        <w:rPr>
          <w:rFonts w:ascii="Times New Roman" w:hAnsi="Times New Roman"/>
          <w:b/>
          <w:i w:val="false"/>
          <w:color w:val="000000"/>
          <w:sz w:val="24"/>
        </w:rPr>
        <w:t>681—2505.9</w:t>
      </w:r>
      <w:r>
        <w:rPr>
          <w:rFonts w:ascii="Times New Roman" w:hAnsi="Times New Roman"/>
          <w:b/>
          <w:i w:val="false"/>
          <w:color w:val="000000"/>
          <w:sz w:val="24"/>
        </w:rPr>
        <w:t xml:space="preserve">(17A,22) </w:t>
      </w:r>
      <w:r>
        <w:rPr>
          <w:rFonts w:ascii="Times New Roman" w:hAnsi="Times New Roman"/>
          <w:b/>
          <w:i w:val="false"/>
          <w:color w:val="000000"/>
          <w:sz w:val="24"/>
        </w:rPr>
        <w:t xml:space="preserve">Personally identifiable information. </w:t>
      </w:r>
      <w:r>
        <w:rPr>
          <w:rFonts w:ascii="Times New Roman" w:hAnsi="Times New Roman"/>
          <w:b w:val="false"/>
          <w:i w:val="false"/>
          <w:color w:val="000000"/>
          <w:sz w:val="24"/>
        </w:rPr>
        <w:t>This rule describes the nature and extent of personally identifiable information that is collected, maintained, and retrieved by the agency by personal identifier in record systems. As used in this rule, “record system” means any group of records, under the control of the agency, from which a record may be retrieved by a personal identifier, such as the name of an individual, number, symbol, or other unique retriever assigned to an individual. The record systems maintained by the agency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2505.9(1)</w:t>
      </w:r>
      <w:r>
        <w:rPr>
          <w:rFonts w:ascii="Times New Roman" w:hAnsi="Times New Roman"/>
          <w:b w:val="false"/>
          <w:i w:val="false"/>
          <w:color w:val="000000"/>
          <w:sz w:val="24"/>
        </w:rPr>
        <w:t> </w:t>
      </w:r>
      <w:r>
        <w:rPr>
          <w:rFonts w:ascii="Times New Roman" w:hAnsi="Times New Roman"/>
          <w:b w:val="false"/>
          <w:i/>
          <w:color w:val="000000"/>
          <w:sz w:val="24"/>
        </w:rPr>
        <w:t xml:space="preserve">Board. </w:t>
      </w:r>
      <w:r>
        <w:rPr>
          <w:rFonts w:ascii="Times New Roman" w:hAnsi="Times New Roman"/>
          <w:b w:val="false"/>
          <w:i w:val="false"/>
          <w:color w:val="000000"/>
          <w:sz w:val="24"/>
        </w:rPr>
        <w:t xml:space="preserve">Personnel and employment management information systems. The above-listed records system is collected pursuant to the authority of Iowa Code chapter </w:t>
      </w:r>
      <w:hyperlink r:id="rId8">
        <w:r>
          <w:rPr>
            <w:rStyle w:val="Hyperlink"/>
            <w:rFonts w:ascii="Times New Roman" w:hAnsi="Times New Roman"/>
            <w:b w:val="false"/>
            <w:i w:val="false"/>
            <w:color w:val="000000"/>
            <w:sz w:val="24"/>
          </w:rPr>
          <w:t>262</w:t>
        </w:r>
      </w:hyperlink>
      <w:r>
        <w:rPr>
          <w:rFonts w:ascii="Times New Roman" w:hAnsi="Times New Roman"/>
          <w:b w:val="false"/>
          <w:i w:val="false"/>
          <w:color w:val="000000"/>
          <w:sz w:val="24"/>
        </w:rPr>
        <w:t>. Storage is in paper form, and information cannot be matched, collated and compared.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2505.9(2)</w:t>
      </w:r>
      <w:r>
        <w:rPr>
          <w:rFonts w:ascii="Times New Roman" w:hAnsi="Times New Roman"/>
          <w:b w:val="false"/>
          <w:i w:val="false"/>
          <w:color w:val="000000"/>
          <w:sz w:val="24"/>
        </w:rPr>
        <w:t> </w:t>
      </w:r>
      <w:r>
        <w:rPr>
          <w:rFonts w:ascii="Times New Roman" w:hAnsi="Times New Roman"/>
          <w:b w:val="false"/>
          <w:i/>
          <w:color w:val="000000"/>
          <w:sz w:val="24"/>
        </w:rPr>
        <w:t xml:space="preserve">State University of Iowa.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Human capital management systems covering payroll, benefits, time and attendance tracking and other human resources functions.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Job applicant tracking systems for staff and faculty.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Compliance, training, and human resources case management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Learning management, instructional technology, assessment, testing, proctoring, and course evaluation systems involving both employees and students.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Research proposal, award, campus data, and administration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Library records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Student records, registration, degree audit, academic advising, planning, tutoring, retention, and case management systems, including student conduct, health, counseling, and wellness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Budget and planning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Student admissions, recruitment, enrollment management, scholarship and financial aid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Patient and health information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Incident reporting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Purchasing, accounting, and travel management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Construction/jobs management/facilities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Event ticket sales/registration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Motor pool management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Housing, dining, residence life, student activities, recreation, and student engagement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Career services, experiential learning, field placement, internship, licensure, and professional preparation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Police information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Credit card and point-of-sale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Customer relationship management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val="false"/>
          <w:color w:val="000000"/>
          <w:sz w:val="24"/>
        </w:rPr>
        <w:t>Parking permit/registration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w:t>
      </w:r>
      <w:r>
        <w:rPr>
          <w:rFonts w:ascii="Times New Roman" w:hAnsi="Times New Roman"/>
          <w:b w:val="false"/>
          <w:i w:val="false"/>
          <w:color w:val="000000"/>
          <w:sz w:val="24"/>
        </w:rPr>
        <w:t>  </w:t>
      </w:r>
      <w:r>
        <w:rPr>
          <w:rFonts w:ascii="Times New Roman" w:hAnsi="Times New Roman"/>
          <w:b w:val="false"/>
          <w:i w:val="false"/>
          <w:color w:val="000000"/>
          <w:sz w:val="24"/>
        </w:rPr>
        <w:t>Athletic department records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w:t>
      </w:r>
      <w:r>
        <w:rPr>
          <w:rFonts w:ascii="Times New Roman" w:hAnsi="Times New Roman"/>
          <w:b w:val="false"/>
          <w:i w:val="false"/>
          <w:color w:val="000000"/>
          <w:sz w:val="24"/>
        </w:rPr>
        <w:t>  </w:t>
      </w:r>
      <w:r>
        <w:rPr>
          <w:rFonts w:ascii="Times New Roman" w:hAnsi="Times New Roman"/>
          <w:b w:val="false"/>
          <w:i w:val="false"/>
          <w:color w:val="000000"/>
          <w:sz w:val="24"/>
        </w:rPr>
        <w:t>Student legal services document management systems.</w:t>
      </w:r>
    </w:p>
    <w:p>
      <w:pPr>
        <w:spacing w:before="0" w:after="0" w:line="480"/>
        <w:ind w:left="120"/>
        <w:jc w:val="both"/>
      </w:pPr>
      <w:r>
        <w:rPr>
          <w:rFonts w:ascii="Times New Roman" w:hAnsi="Times New Roman"/>
          <w:b w:val="false"/>
          <w:i w:val="false"/>
          <w:color w:val="000000"/>
          <w:sz w:val="24"/>
        </w:rPr>
        <w:t xml:space="preserve">All of the above-listed records are collected pursuant to the authority of Iowa Code chapters </w:t>
      </w:r>
      <w:hyperlink r:id="rId9">
        <w:r>
          <w:rPr>
            <w:rStyle w:val="Hyperlink"/>
            <w:rFonts w:ascii="Times New Roman" w:hAnsi="Times New Roman"/>
            <w:b w:val="false"/>
            <w:i w:val="false"/>
            <w:color w:val="000000"/>
            <w:sz w:val="24"/>
          </w:rPr>
          <w:t>262</w:t>
        </w:r>
      </w:hyperlink>
      <w:r>
        <w:rPr>
          <w:rFonts w:ascii="Times New Roman" w:hAnsi="Times New Roman"/>
          <w:b w:val="false"/>
          <w:i w:val="false"/>
          <w:color w:val="000000"/>
          <w:sz w:val="24"/>
        </w:rPr>
        <w:t xml:space="preserve"> through </w:t>
      </w:r>
      <w:hyperlink r:id="rId10">
        <w:r>
          <w:rPr>
            <w:rStyle w:val="Hyperlink"/>
            <w:rFonts w:ascii="Times New Roman" w:hAnsi="Times New Roman"/>
            <w:b w:val="false"/>
            <w:i w:val="false"/>
            <w:color w:val="000000"/>
            <w:sz w:val="24"/>
          </w:rPr>
          <w:t>263A</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271</w:t>
        </w:r>
      </w:hyperlink>
      <w:r>
        <w:rPr>
          <w:rFonts w:ascii="Times New Roman" w:hAnsi="Times New Roman"/>
          <w:b w:val="false"/>
          <w:i w:val="false"/>
          <w:color w:val="000000"/>
          <w:sz w:val="24"/>
        </w:rPr>
        <w:t xml:space="preserve">. All are stored in electronic form. Supplementary records in these categories are stored in paper form or on microfilm or microfiche. Information from systems listed in paragraphs </w:t>
      </w:r>
      <w:hyperlink r:id="rId12">
        <w:r>
          <w:rPr>
            <w:rStyle w:val="Hyperlink"/>
            <w:rFonts w:ascii="Times New Roman" w:hAnsi="Times New Roman"/>
            <w:b w:val="false"/>
            <w:i w:val="false"/>
            <w:color w:val="000000"/>
            <w:sz w:val="24"/>
          </w:rPr>
          <w:t>2505.9(2)</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“d,”</w:t>
      </w:r>
      <w:r>
        <w:rPr>
          <w:rFonts w:ascii="Times New Roman" w:hAnsi="Times New Roman"/>
          <w:b w:val="false"/>
          <w:i w:val="false"/>
          <w:color w:val="000000"/>
          <w:sz w:val="24"/>
        </w:rPr>
        <w:t xml:space="preserve"> </w:t>
      </w:r>
      <w:r>
        <w:rPr>
          <w:rFonts w:ascii="Times New Roman" w:hAnsi="Times New Roman"/>
          <w:b w:val="false"/>
          <w:i/>
          <w:color w:val="000000"/>
          <w:sz w:val="24"/>
        </w:rPr>
        <w:t>“g,”</w:t>
      </w:r>
      <w:r>
        <w:rPr>
          <w:rFonts w:ascii="Times New Roman" w:hAnsi="Times New Roman"/>
          <w:b w:val="false"/>
          <w:i w:val="false"/>
          <w:color w:val="000000"/>
          <w:sz w:val="24"/>
        </w:rPr>
        <w:t xml:space="preserve"> and </w:t>
      </w:r>
      <w:r>
        <w:rPr>
          <w:rFonts w:ascii="Times New Roman" w:hAnsi="Times New Roman"/>
          <w:b w:val="false"/>
          <w:i/>
          <w:color w:val="000000"/>
          <w:sz w:val="24"/>
        </w:rPr>
        <w:t>“p”</w:t>
      </w:r>
      <w:r>
        <w:rPr>
          <w:rFonts w:ascii="Times New Roman" w:hAnsi="Times New Roman"/>
          <w:b w:val="false"/>
          <w:i w:val="false"/>
          <w:color w:val="000000"/>
          <w:sz w:val="24"/>
        </w:rPr>
        <w:t xml:space="preserve"> through </w:t>
      </w:r>
      <w:r>
        <w:rPr>
          <w:rFonts w:ascii="Times New Roman" w:hAnsi="Times New Roman"/>
          <w:b w:val="false"/>
          <w:i/>
          <w:color w:val="000000"/>
          <w:sz w:val="24"/>
        </w:rPr>
        <w:t>“q”</w:t>
      </w:r>
      <w:r>
        <w:rPr>
          <w:rFonts w:ascii="Times New Roman" w:hAnsi="Times New Roman"/>
          <w:b w:val="false"/>
          <w:i w:val="false"/>
          <w:color w:val="000000"/>
          <w:sz w:val="24"/>
        </w:rPr>
        <w:t xml:space="preserve"> can be matched, collated, and compared. Information in the remaining categories cannot be matched, collated, and compared.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2505.9(3)</w:t>
      </w:r>
      <w:r>
        <w:rPr>
          <w:rFonts w:ascii="Times New Roman" w:hAnsi="Times New Roman"/>
          <w:b w:val="false"/>
          <w:i w:val="false"/>
          <w:color w:val="000000"/>
          <w:sz w:val="24"/>
        </w:rPr>
        <w:t> </w:t>
      </w:r>
      <w:r>
        <w:rPr>
          <w:rFonts w:ascii="Times New Roman" w:hAnsi="Times New Roman"/>
          <w:b w:val="false"/>
          <w:i/>
          <w:color w:val="000000"/>
          <w:sz w:val="24"/>
        </w:rPr>
        <w:t xml:space="preserve">Iowa State University of Science and Technology.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Enterprise resource planning system, which includes human capital management, finance, and student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Learning management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Research proposal, award, data storage, and administration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Professional development and continuing education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Veterinary client information management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Veterinary diagnostic laboratory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Athletic department records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Library/archives records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Health, counseling, pharmacy, and wellness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Housing and dining management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Police records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Parking systems registration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Event management, registration, and ticket sales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Workplace productivity, collaboration, and communication systems.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Project/construction management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Facilities and maintenance information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Point-of-sale, billing, payment, and credit card processing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Customer relationship management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Applicant, scholarship, student discipline, student scheduling, and career services information management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Student scheduling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val="false"/>
          <w:color w:val="000000"/>
          <w:sz w:val="24"/>
        </w:rPr>
        <w:t>Motor pool and transportation reservation and management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w:t>
      </w:r>
      <w:r>
        <w:rPr>
          <w:rFonts w:ascii="Times New Roman" w:hAnsi="Times New Roman"/>
          <w:b w:val="false"/>
          <w:i w:val="false"/>
          <w:color w:val="000000"/>
          <w:sz w:val="24"/>
        </w:rPr>
        <w:t>  </w:t>
      </w:r>
      <w:r>
        <w:rPr>
          <w:rFonts w:ascii="Times New Roman" w:hAnsi="Times New Roman"/>
          <w:b w:val="false"/>
          <w:i w:val="false"/>
          <w:color w:val="000000"/>
          <w:sz w:val="24"/>
        </w:rPr>
        <w:t>Travel management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w:t>
      </w:r>
      <w:r>
        <w:rPr>
          <w:rFonts w:ascii="Times New Roman" w:hAnsi="Times New Roman"/>
          <w:b w:val="false"/>
          <w:i w:val="false"/>
          <w:color w:val="000000"/>
          <w:sz w:val="24"/>
        </w:rPr>
        <w:t>  </w:t>
      </w:r>
      <w:r>
        <w:rPr>
          <w:rFonts w:ascii="Times New Roman" w:hAnsi="Times New Roman"/>
          <w:b w:val="false"/>
          <w:i w:val="false"/>
          <w:color w:val="000000"/>
          <w:sz w:val="24"/>
        </w:rPr>
        <w:t>Student scheduling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x.</w:t>
      </w:r>
      <w:r>
        <w:rPr>
          <w:rFonts w:ascii="Times New Roman" w:hAnsi="Times New Roman"/>
          <w:b w:val="false"/>
          <w:i w:val="false"/>
          <w:color w:val="000000"/>
          <w:sz w:val="24"/>
        </w:rPr>
        <w:t>  </w:t>
      </w:r>
      <w:r>
        <w:rPr>
          <w:rFonts w:ascii="Times New Roman" w:hAnsi="Times New Roman"/>
          <w:b w:val="false"/>
          <w:i w:val="false"/>
          <w:color w:val="000000"/>
          <w:sz w:val="24"/>
        </w:rPr>
        <w:t>Legal document management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y.</w:t>
      </w:r>
      <w:r>
        <w:rPr>
          <w:rFonts w:ascii="Times New Roman" w:hAnsi="Times New Roman"/>
          <w:b w:val="false"/>
          <w:i w:val="false"/>
          <w:color w:val="000000"/>
          <w:sz w:val="24"/>
        </w:rPr>
        <w:t>  </w:t>
      </w:r>
      <w:r>
        <w:rPr>
          <w:rFonts w:ascii="Times New Roman" w:hAnsi="Times New Roman"/>
          <w:b w:val="false"/>
          <w:i w:val="false"/>
          <w:color w:val="000000"/>
          <w:sz w:val="24"/>
        </w:rPr>
        <w:t>Incident reporting systems.</w:t>
      </w:r>
    </w:p>
    <w:p>
      <w:pPr>
        <w:spacing w:before="0" w:after="0" w:line="480"/>
        <w:ind w:left="120"/>
        <w:jc w:val="both"/>
      </w:pPr>
      <w:r>
        <w:rPr>
          <w:rFonts w:ascii="Times New Roman" w:hAnsi="Times New Roman"/>
          <w:b w:val="false"/>
          <w:i w:val="false"/>
          <w:color w:val="000000"/>
          <w:sz w:val="24"/>
        </w:rPr>
        <w:t xml:space="preserve">All of the above-listed records are collected pursuant to the authority of Iowa Code chapters </w:t>
      </w:r>
      <w:hyperlink r:id="rId13">
        <w:r>
          <w:rPr>
            <w:rStyle w:val="Hyperlink"/>
            <w:rFonts w:ascii="Times New Roman" w:hAnsi="Times New Roman"/>
            <w:b w:val="false"/>
            <w:i w:val="false"/>
            <w:color w:val="000000"/>
            <w:sz w:val="24"/>
          </w:rPr>
          <w:t>262</w:t>
        </w:r>
      </w:hyperlink>
      <w:r>
        <w:rPr>
          <w:rFonts w:ascii="Times New Roman" w:hAnsi="Times New Roman"/>
          <w:b w:val="false"/>
          <w:i w:val="false"/>
          <w:color w:val="000000"/>
          <w:sz w:val="24"/>
        </w:rPr>
        <w:t xml:space="preserve"> through </w:t>
      </w:r>
      <w:hyperlink r:id="rId14">
        <w:r>
          <w:rPr>
            <w:rStyle w:val="Hyperlink"/>
            <w:rFonts w:ascii="Times New Roman" w:hAnsi="Times New Roman"/>
            <w:b w:val="false"/>
            <w:i w:val="false"/>
            <w:color w:val="000000"/>
            <w:sz w:val="24"/>
          </w:rPr>
          <w:t>262B</w:t>
        </w:r>
      </w:hyperlink>
      <w:r>
        <w:rPr>
          <w:rFonts w:ascii="Times New Roman" w:hAnsi="Times New Roman"/>
          <w:b w:val="false"/>
          <w:i w:val="false"/>
          <w:color w:val="000000"/>
          <w:sz w:val="24"/>
        </w:rPr>
        <w:t xml:space="preserve"> and </w:t>
      </w:r>
      <w:hyperlink r:id="rId15">
        <w:r>
          <w:rPr>
            <w:rStyle w:val="Hyperlink"/>
            <w:rFonts w:ascii="Times New Roman" w:hAnsi="Times New Roman"/>
            <w:b w:val="false"/>
            <w:i w:val="false"/>
            <w:color w:val="000000"/>
            <w:sz w:val="24"/>
          </w:rPr>
          <w:t>266</w:t>
        </w:r>
      </w:hyperlink>
      <w:r>
        <w:rPr>
          <w:rFonts w:ascii="Times New Roman" w:hAnsi="Times New Roman"/>
          <w:b w:val="false"/>
          <w:i w:val="false"/>
          <w:color w:val="000000"/>
          <w:sz w:val="24"/>
        </w:rPr>
        <w:t xml:space="preserve">. All are stored in electronic form. Duplicates or supplementary information of the electronically stored information may be found in some cases in hard copy or on microfilm or microfiche. Information from systems listed in paragraphs </w:t>
      </w:r>
      <w:hyperlink r:id="rId16">
        <w:r>
          <w:rPr>
            <w:rStyle w:val="Hyperlink"/>
            <w:rFonts w:ascii="Times New Roman" w:hAnsi="Times New Roman"/>
            <w:b w:val="false"/>
            <w:i w:val="false"/>
            <w:color w:val="000000"/>
            <w:sz w:val="24"/>
          </w:rPr>
          <w:t>2505.9(3)</w:t>
        </w:r>
      </w:hyperlink>
      <w:r>
        <w:rPr>
          <w:rFonts w:ascii="Times New Roman" w:hAnsi="Times New Roman"/>
          <w:b w:val="false"/>
          <w:i/>
          <w:color w:val="000000"/>
          <w:sz w:val="24"/>
        </w:rPr>
        <w:t>“a”</w:t>
      </w:r>
      <w:r>
        <w:rPr>
          <w:rFonts w:ascii="Times New Roman" w:hAnsi="Times New Roman"/>
          <w:b w:val="false"/>
          <w:i w:val="false"/>
          <w:color w:val="000000"/>
          <w:sz w:val="24"/>
        </w:rPr>
        <w:t xml:space="preserve"> through </w:t>
      </w:r>
      <w:r>
        <w:rPr>
          <w:rFonts w:ascii="Times New Roman" w:hAnsi="Times New Roman"/>
          <w:b w:val="false"/>
          <w:i/>
          <w:color w:val="000000"/>
          <w:sz w:val="24"/>
        </w:rPr>
        <w:t>“d,”</w:t>
      </w:r>
      <w:r>
        <w:rPr>
          <w:rFonts w:ascii="Times New Roman" w:hAnsi="Times New Roman"/>
          <w:b w:val="false"/>
          <w:i w:val="false"/>
          <w:color w:val="000000"/>
          <w:sz w:val="24"/>
        </w:rPr>
        <w:t xml:space="preserve"> </w:t>
      </w:r>
      <w:r>
        <w:rPr>
          <w:rFonts w:ascii="Times New Roman" w:hAnsi="Times New Roman"/>
          <w:b w:val="false"/>
          <w:i/>
          <w:color w:val="000000"/>
          <w:sz w:val="24"/>
        </w:rPr>
        <w:t>“g,”</w:t>
      </w:r>
      <w:r>
        <w:rPr>
          <w:rFonts w:ascii="Times New Roman" w:hAnsi="Times New Roman"/>
          <w:b w:val="false"/>
          <w:i w:val="false"/>
          <w:color w:val="000000"/>
          <w:sz w:val="24"/>
        </w:rPr>
        <w:t xml:space="preserve"> </w:t>
      </w:r>
      <w:r>
        <w:rPr>
          <w:rFonts w:ascii="Times New Roman" w:hAnsi="Times New Roman"/>
          <w:b w:val="false"/>
          <w:i/>
          <w:color w:val="000000"/>
          <w:sz w:val="24"/>
        </w:rPr>
        <w:t>“j,”</w:t>
      </w:r>
      <w:r>
        <w:rPr>
          <w:rFonts w:ascii="Times New Roman" w:hAnsi="Times New Roman"/>
          <w:b w:val="false"/>
          <w:i w:val="false"/>
          <w:color w:val="000000"/>
          <w:sz w:val="24"/>
        </w:rPr>
        <w:t xml:space="preserve"> </w:t>
      </w:r>
      <w:r>
        <w:rPr>
          <w:rFonts w:ascii="Times New Roman" w:hAnsi="Times New Roman"/>
          <w:b w:val="false"/>
          <w:i/>
          <w:color w:val="000000"/>
          <w:sz w:val="24"/>
        </w:rPr>
        <w:t>“m,”</w:t>
      </w:r>
      <w:r>
        <w:rPr>
          <w:rFonts w:ascii="Times New Roman" w:hAnsi="Times New Roman"/>
          <w:b w:val="false"/>
          <w:i w:val="false"/>
          <w:color w:val="000000"/>
          <w:sz w:val="24"/>
        </w:rPr>
        <w:t xml:space="preserve"> </w:t>
      </w:r>
      <w:r>
        <w:rPr>
          <w:rFonts w:ascii="Times New Roman" w:hAnsi="Times New Roman"/>
          <w:b w:val="false"/>
          <w:i/>
          <w:color w:val="000000"/>
          <w:sz w:val="24"/>
        </w:rPr>
        <w:t>“p,”</w:t>
      </w:r>
      <w:r>
        <w:rPr>
          <w:rFonts w:ascii="Times New Roman" w:hAnsi="Times New Roman"/>
          <w:b w:val="false"/>
          <w:i w:val="false"/>
          <w:color w:val="000000"/>
          <w:sz w:val="24"/>
        </w:rPr>
        <w:t xml:space="preserve"> </w:t>
      </w:r>
      <w:r>
        <w:rPr>
          <w:rFonts w:ascii="Times New Roman" w:hAnsi="Times New Roman"/>
          <w:b w:val="false"/>
          <w:i/>
          <w:color w:val="000000"/>
          <w:sz w:val="24"/>
        </w:rPr>
        <w:t>“q,”</w:t>
      </w:r>
      <w:r>
        <w:rPr>
          <w:rFonts w:ascii="Times New Roman" w:hAnsi="Times New Roman"/>
          <w:b w:val="false"/>
          <w:i w:val="false"/>
          <w:color w:val="000000"/>
          <w:sz w:val="24"/>
        </w:rPr>
        <w:t xml:space="preserve"> </w:t>
      </w:r>
      <w:r>
        <w:rPr>
          <w:rFonts w:ascii="Times New Roman" w:hAnsi="Times New Roman"/>
          <w:b w:val="false"/>
          <w:i/>
          <w:color w:val="000000"/>
          <w:sz w:val="24"/>
        </w:rPr>
        <w:t>“s,”</w:t>
      </w:r>
      <w:r>
        <w:rPr>
          <w:rFonts w:ascii="Times New Roman" w:hAnsi="Times New Roman"/>
          <w:b w:val="false"/>
          <w:i w:val="false"/>
          <w:color w:val="000000"/>
          <w:sz w:val="24"/>
        </w:rPr>
        <w:t xml:space="preserve"> </w:t>
      </w:r>
      <w:r>
        <w:rPr>
          <w:rFonts w:ascii="Times New Roman" w:hAnsi="Times New Roman"/>
          <w:b w:val="false"/>
          <w:i/>
          <w:color w:val="000000"/>
          <w:sz w:val="24"/>
        </w:rPr>
        <w:t>“t,”</w:t>
      </w:r>
      <w:r>
        <w:rPr>
          <w:rFonts w:ascii="Times New Roman" w:hAnsi="Times New Roman"/>
          <w:b w:val="false"/>
          <w:i w:val="false"/>
          <w:color w:val="000000"/>
          <w:sz w:val="24"/>
        </w:rPr>
        <w:t xml:space="preserve"> </w:t>
      </w:r>
      <w:r>
        <w:rPr>
          <w:rFonts w:ascii="Times New Roman" w:hAnsi="Times New Roman"/>
          <w:b w:val="false"/>
          <w:i/>
          <w:color w:val="000000"/>
          <w:sz w:val="24"/>
        </w:rPr>
        <w:t>“v,”</w:t>
      </w:r>
      <w:r>
        <w:rPr>
          <w:rFonts w:ascii="Times New Roman" w:hAnsi="Times New Roman"/>
          <w:b w:val="false"/>
          <w:i w:val="false"/>
          <w:color w:val="000000"/>
          <w:sz w:val="24"/>
        </w:rPr>
        <w:t xml:space="preserve"> </w:t>
      </w:r>
      <w:r>
        <w:rPr>
          <w:rFonts w:ascii="Times New Roman" w:hAnsi="Times New Roman"/>
          <w:b w:val="false"/>
          <w:i/>
          <w:color w:val="000000"/>
          <w:sz w:val="24"/>
        </w:rPr>
        <w:t>“w,”</w:t>
      </w:r>
      <w:r>
        <w:rPr>
          <w:rFonts w:ascii="Times New Roman" w:hAnsi="Times New Roman"/>
          <w:b w:val="false"/>
          <w:i w:val="false"/>
          <w:color w:val="000000"/>
          <w:sz w:val="24"/>
        </w:rPr>
        <w:t xml:space="preserve"> and </w:t>
      </w:r>
      <w:r>
        <w:rPr>
          <w:rFonts w:ascii="Times New Roman" w:hAnsi="Times New Roman"/>
          <w:b w:val="false"/>
          <w:i/>
          <w:color w:val="000000"/>
          <w:sz w:val="24"/>
        </w:rPr>
        <w:t>“y”</w:t>
      </w:r>
      <w:r>
        <w:rPr>
          <w:rFonts w:ascii="Times New Roman" w:hAnsi="Times New Roman"/>
          <w:b w:val="false"/>
          <w:i w:val="false"/>
          <w:color w:val="000000"/>
          <w:sz w:val="24"/>
        </w:rPr>
        <w:t xml:space="preserve"> can be matched, collated, and compared with other records systems, primarily with the enterprise resource planning system (more information is contained in paragraph </w:t>
      </w:r>
      <w:hyperlink r:id="rId17">
        <w:r>
          <w:rPr>
            <w:rStyle w:val="Hyperlink"/>
            <w:rFonts w:ascii="Times New Roman" w:hAnsi="Times New Roman"/>
            <w:b w:val="false"/>
            <w:i w:val="false"/>
            <w:color w:val="000000"/>
            <w:sz w:val="24"/>
          </w:rPr>
          <w:t>2505.9(3)</w:t>
        </w:r>
      </w:hyperlink>
      <w:r>
        <w:rPr>
          <w:rFonts w:ascii="Times New Roman" w:hAnsi="Times New Roman"/>
          <w:b w:val="false"/>
          <w:i/>
          <w:color w:val="000000"/>
          <w:sz w:val="24"/>
        </w:rPr>
        <w:t>“a”</w:t>
      </w:r>
      <w:r>
        <w:rPr>
          <w:rFonts w:ascii="Times New Roman" w:hAnsi="Times New Roman"/>
          <w:b w:val="false"/>
          <w:i w:val="false"/>
          <w:color w:val="000000"/>
          <w:sz w:val="24"/>
        </w:rPr>
        <w:t>). The remaining categories cannot be matched, collated, or compared.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2505.9(4)</w:t>
      </w:r>
      <w:r>
        <w:rPr>
          <w:rFonts w:ascii="Times New Roman" w:hAnsi="Times New Roman"/>
          <w:b w:val="false"/>
          <w:i w:val="false"/>
          <w:color w:val="000000"/>
          <w:sz w:val="24"/>
        </w:rPr>
        <w:t> </w:t>
      </w:r>
      <w:r>
        <w:rPr>
          <w:rFonts w:ascii="Times New Roman" w:hAnsi="Times New Roman"/>
          <w:b w:val="false"/>
          <w:i/>
          <w:color w:val="000000"/>
          <w:sz w:val="24"/>
        </w:rPr>
        <w:t xml:space="preserve">University of Northern Iowa.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Academic achievement center records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Academic advising/orientation information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Academic computing center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Accounts receivable/payable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Admissions information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Affirmative action records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Alumni foundation/development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Architect/planning/engineering records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Athletic department records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Budget management records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College of education/school of business advising center record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Continuing education/correspondence/extension records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Financial aid information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Grants and contracts records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Housing/dining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Library/archives records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Human capital management/budget/payroll/learning management information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Facilities and maintenance information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w:t>
      </w:r>
      <w:r>
        <w:rPr>
          <w:rFonts w:ascii="Times New Roman" w:hAnsi="Times New Roman"/>
          <w:b w:val="false"/>
          <w:i w:val="false"/>
          <w:color w:val="000000"/>
          <w:sz w:val="24"/>
        </w:rPr>
        <w:t>  </w:t>
      </w:r>
      <w:r>
        <w:rPr>
          <w:rFonts w:ascii="Times New Roman" w:hAnsi="Times New Roman"/>
          <w:b w:val="false"/>
          <w:i w:val="false"/>
          <w:color w:val="000000"/>
          <w:sz w:val="24"/>
        </w:rPr>
        <w:t>Purchasing/inventory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w:t>
      </w:r>
      <w:r>
        <w:rPr>
          <w:rFonts w:ascii="Times New Roman" w:hAnsi="Times New Roman"/>
          <w:b w:val="false"/>
          <w:i w:val="false"/>
          <w:color w:val="000000"/>
          <w:sz w:val="24"/>
        </w:rPr>
        <w:t>  </w:t>
      </w:r>
      <w:r>
        <w:rPr>
          <w:rFonts w:ascii="Times New Roman" w:hAnsi="Times New Roman"/>
          <w:b w:val="false"/>
          <w:i w:val="false"/>
          <w:color w:val="000000"/>
          <w:sz w:val="24"/>
        </w:rPr>
        <w:t>School of business division of external services records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w:t>
      </w:r>
      <w:r>
        <w:rPr>
          <w:rFonts w:ascii="Times New Roman" w:hAnsi="Times New Roman"/>
          <w:b w:val="false"/>
          <w:i w:val="false"/>
          <w:color w:val="000000"/>
          <w:sz w:val="24"/>
        </w:rPr>
        <w:t>  </w:t>
      </w:r>
      <w:r>
        <w:rPr>
          <w:rFonts w:ascii="Times New Roman" w:hAnsi="Times New Roman"/>
          <w:b w:val="false"/>
          <w:i w:val="false"/>
          <w:color w:val="000000"/>
          <w:sz w:val="24"/>
        </w:rPr>
        <w:t>Student information systems (student records).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v.</w:t>
      </w:r>
      <w:r>
        <w:rPr>
          <w:rFonts w:ascii="Times New Roman" w:hAnsi="Times New Roman"/>
          <w:b w:val="false"/>
          <w:i w:val="false"/>
          <w:color w:val="000000"/>
          <w:sz w:val="24"/>
        </w:rPr>
        <w:t>  </w:t>
      </w:r>
      <w:r>
        <w:rPr>
          <w:rFonts w:ascii="Times New Roman" w:hAnsi="Times New Roman"/>
          <w:b w:val="false"/>
          <w:i w:val="false"/>
          <w:color w:val="000000"/>
          <w:sz w:val="24"/>
        </w:rPr>
        <w:t>Student union/student activities records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w.</w:t>
      </w:r>
      <w:r>
        <w:rPr>
          <w:rFonts w:ascii="Times New Roman" w:hAnsi="Times New Roman"/>
          <w:b w:val="false"/>
          <w:i w:val="false"/>
          <w:color w:val="000000"/>
          <w:sz w:val="24"/>
        </w:rPr>
        <w:t>  </w:t>
      </w:r>
      <w:r>
        <w:rPr>
          <w:rFonts w:ascii="Times New Roman" w:hAnsi="Times New Roman"/>
          <w:b w:val="false"/>
          <w:i w:val="false"/>
          <w:color w:val="000000"/>
          <w:sz w:val="24"/>
        </w:rPr>
        <w:t>*Academic affairs information systems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x.</w:t>
      </w:r>
      <w:r>
        <w:rPr>
          <w:rFonts w:ascii="Times New Roman" w:hAnsi="Times New Roman"/>
          <w:b w:val="false"/>
          <w:i w:val="false"/>
          <w:color w:val="000000"/>
          <w:sz w:val="24"/>
        </w:rPr>
        <w:t>  </w:t>
      </w:r>
      <w:r>
        <w:rPr>
          <w:rFonts w:ascii="Times New Roman" w:hAnsi="Times New Roman"/>
          <w:b w:val="false"/>
          <w:i w:val="false"/>
          <w:color w:val="000000"/>
          <w:sz w:val="24"/>
        </w:rPr>
        <w:t>*Ancillary services records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y.</w:t>
      </w:r>
      <w:r>
        <w:rPr>
          <w:rFonts w:ascii="Times New Roman" w:hAnsi="Times New Roman"/>
          <w:b w:val="false"/>
          <w:i w:val="false"/>
          <w:color w:val="000000"/>
          <w:sz w:val="24"/>
        </w:rPr>
        <w:t>  </w:t>
      </w:r>
      <w:r>
        <w:rPr>
          <w:rFonts w:ascii="Times New Roman" w:hAnsi="Times New Roman"/>
          <w:b w:val="false"/>
          <w:i w:val="false"/>
          <w:color w:val="000000"/>
          <w:sz w:val="24"/>
        </w:rPr>
        <w:t>*Counseling/health/pharmacy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z.</w:t>
      </w:r>
      <w:r>
        <w:rPr>
          <w:rFonts w:ascii="Times New Roman" w:hAnsi="Times New Roman"/>
          <w:b w:val="false"/>
          <w:i w:val="false"/>
          <w:color w:val="000000"/>
          <w:sz w:val="24"/>
        </w:rPr>
        <w:t>  </w:t>
      </w:r>
      <w:r>
        <w:rPr>
          <w:rFonts w:ascii="Times New Roman" w:hAnsi="Times New Roman"/>
          <w:b w:val="false"/>
          <w:i w:val="false"/>
          <w:color w:val="000000"/>
          <w:sz w:val="24"/>
        </w:rPr>
        <w:t>*Deans/department heads/faculty advisors record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aa.</w:t>
      </w:r>
      <w:r>
        <w:rPr>
          <w:rFonts w:ascii="Times New Roman" w:hAnsi="Times New Roman"/>
          <w:b w:val="false"/>
          <w:i w:val="false"/>
          <w:color w:val="000000"/>
          <w:sz w:val="24"/>
        </w:rPr>
        <w:t>  </w:t>
      </w:r>
      <w:r>
        <w:rPr>
          <w:rFonts w:ascii="Times New Roman" w:hAnsi="Times New Roman"/>
          <w:b w:val="false"/>
          <w:i w:val="false"/>
          <w:color w:val="000000"/>
          <w:sz w:val="24"/>
        </w:rPr>
        <w:t>*Handicapped services systems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ab.</w:t>
      </w:r>
      <w:r>
        <w:rPr>
          <w:rFonts w:ascii="Times New Roman" w:hAnsi="Times New Roman"/>
          <w:b w:val="false"/>
          <w:i w:val="false"/>
          <w:color w:val="000000"/>
          <w:sz w:val="24"/>
        </w:rPr>
        <w:t>  </w:t>
      </w:r>
      <w:r>
        <w:rPr>
          <w:rFonts w:ascii="Times New Roman" w:hAnsi="Times New Roman"/>
          <w:b w:val="false"/>
          <w:i w:val="false"/>
          <w:color w:val="000000"/>
          <w:sz w:val="24"/>
        </w:rPr>
        <w:t>*Institutional officials records systems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ac.</w:t>
      </w:r>
      <w:r>
        <w:rPr>
          <w:rFonts w:ascii="Times New Roman" w:hAnsi="Times New Roman"/>
          <w:b w:val="false"/>
          <w:i w:val="false"/>
          <w:color w:val="000000"/>
          <w:sz w:val="24"/>
        </w:rPr>
        <w:t>  </w:t>
      </w:r>
      <w:r>
        <w:rPr>
          <w:rFonts w:ascii="Times New Roman" w:hAnsi="Times New Roman"/>
          <w:b w:val="false"/>
          <w:i w:val="false"/>
          <w:color w:val="000000"/>
          <w:sz w:val="24"/>
        </w:rPr>
        <w:t>*Institutional research records systems, including social/behavioral research center.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w:t>
      </w:r>
      <w:r>
        <w:rPr>
          <w:rFonts w:ascii="Times New Roman" w:hAnsi="Times New Roman"/>
          <w:b w:val="false"/>
          <w:i w:val="false"/>
          <w:color w:val="000000"/>
          <w:sz w:val="24"/>
        </w:rPr>
        <w:t>  </w:t>
      </w:r>
      <w:r>
        <w:rPr>
          <w:rFonts w:ascii="Times New Roman" w:hAnsi="Times New Roman"/>
          <w:b w:val="false"/>
          <w:i w:val="false"/>
          <w:color w:val="000000"/>
          <w:sz w:val="24"/>
        </w:rPr>
        <w:t>*Operations record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ae.</w:t>
      </w:r>
      <w:r>
        <w:rPr>
          <w:rFonts w:ascii="Times New Roman" w:hAnsi="Times New Roman"/>
          <w:b w:val="false"/>
          <w:i w:val="false"/>
          <w:color w:val="000000"/>
          <w:sz w:val="24"/>
        </w:rPr>
        <w:t>  </w:t>
      </w:r>
      <w:r>
        <w:rPr>
          <w:rFonts w:ascii="Times New Roman" w:hAnsi="Times New Roman"/>
          <w:b w:val="false"/>
          <w:i w:val="false"/>
          <w:color w:val="000000"/>
          <w:sz w:val="24"/>
        </w:rPr>
        <w:t>*Placement/career center/cooperative education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af.</w:t>
      </w:r>
      <w:r>
        <w:rPr>
          <w:rFonts w:ascii="Times New Roman" w:hAnsi="Times New Roman"/>
          <w:b w:val="false"/>
          <w:i w:val="false"/>
          <w:color w:val="000000"/>
          <w:sz w:val="24"/>
        </w:rPr>
        <w:t>  </w:t>
      </w:r>
      <w:r>
        <w:rPr>
          <w:rFonts w:ascii="Times New Roman" w:hAnsi="Times New Roman"/>
          <w:b w:val="false"/>
          <w:i w:val="false"/>
          <w:color w:val="000000"/>
          <w:sz w:val="24"/>
        </w:rPr>
        <w:t>*Public safety records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ag.</w:t>
      </w:r>
      <w:r>
        <w:rPr>
          <w:rFonts w:ascii="Times New Roman" w:hAnsi="Times New Roman"/>
          <w:b w:val="false"/>
          <w:i w:val="false"/>
          <w:color w:val="000000"/>
          <w:sz w:val="24"/>
        </w:rPr>
        <w:t>  </w:t>
      </w:r>
      <w:r>
        <w:rPr>
          <w:rFonts w:ascii="Times New Roman" w:hAnsi="Times New Roman"/>
          <w:b w:val="false"/>
          <w:i w:val="false"/>
          <w:color w:val="000000"/>
          <w:sz w:val="24"/>
        </w:rPr>
        <w:t>*Small business assistance center (hazardous waste) record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ah.</w:t>
      </w:r>
      <w:r>
        <w:rPr>
          <w:rFonts w:ascii="Times New Roman" w:hAnsi="Times New Roman"/>
          <w:b w:val="false"/>
          <w:i w:val="false"/>
          <w:color w:val="000000"/>
          <w:sz w:val="24"/>
        </w:rPr>
        <w:t>  </w:t>
      </w:r>
      <w:r>
        <w:rPr>
          <w:rFonts w:ascii="Times New Roman" w:hAnsi="Times New Roman"/>
          <w:b w:val="false"/>
          <w:i w:val="false"/>
          <w:color w:val="000000"/>
          <w:sz w:val="24"/>
        </w:rPr>
        <w:t>*Special events record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ai.</w:t>
      </w:r>
      <w:r>
        <w:rPr>
          <w:rFonts w:ascii="Times New Roman" w:hAnsi="Times New Roman"/>
          <w:b w:val="false"/>
          <w:i w:val="false"/>
          <w:color w:val="000000"/>
          <w:sz w:val="24"/>
        </w:rPr>
        <w:t>  </w:t>
      </w:r>
      <w:r>
        <w:rPr>
          <w:rFonts w:ascii="Times New Roman" w:hAnsi="Times New Roman"/>
          <w:b w:val="false"/>
          <w:i w:val="false"/>
          <w:color w:val="000000"/>
          <w:sz w:val="24"/>
        </w:rPr>
        <w:t>*Speech/hearing/reading clinics records systems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aj.</w:t>
      </w:r>
      <w:r>
        <w:rPr>
          <w:rFonts w:ascii="Times New Roman" w:hAnsi="Times New Roman"/>
          <w:b w:val="false"/>
          <w:i w:val="false"/>
          <w:color w:val="000000"/>
          <w:sz w:val="24"/>
        </w:rPr>
        <w:t>  </w:t>
      </w:r>
      <w:r>
        <w:rPr>
          <w:rFonts w:ascii="Times New Roman" w:hAnsi="Times New Roman"/>
          <w:b w:val="false"/>
          <w:i w:val="false"/>
          <w:color w:val="000000"/>
          <w:sz w:val="24"/>
        </w:rPr>
        <w:t>*Student clinical experience systems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ak.</w:t>
      </w:r>
      <w:r>
        <w:rPr>
          <w:rFonts w:ascii="Times New Roman" w:hAnsi="Times New Roman"/>
          <w:b w:val="false"/>
          <w:i w:val="false"/>
          <w:color w:val="000000"/>
          <w:sz w:val="24"/>
        </w:rPr>
        <w:t>  </w:t>
      </w:r>
      <w:r>
        <w:rPr>
          <w:rFonts w:ascii="Times New Roman" w:hAnsi="Times New Roman"/>
          <w:b w:val="false"/>
          <w:i w:val="false"/>
          <w:color w:val="000000"/>
          <w:sz w:val="24"/>
        </w:rPr>
        <w:t>*United faculty records systems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al.</w:t>
      </w:r>
      <w:r>
        <w:rPr>
          <w:rFonts w:ascii="Times New Roman" w:hAnsi="Times New Roman"/>
          <w:b w:val="false"/>
          <w:i w:val="false"/>
          <w:color w:val="000000"/>
          <w:sz w:val="24"/>
        </w:rPr>
        <w:t>  </w:t>
      </w:r>
      <w:r>
        <w:rPr>
          <w:rFonts w:ascii="Times New Roman" w:hAnsi="Times New Roman"/>
          <w:b w:val="false"/>
          <w:i w:val="false"/>
          <w:color w:val="000000"/>
          <w:sz w:val="24"/>
        </w:rPr>
        <w:t>*UNISA records systems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am.</w:t>
      </w:r>
      <w:r>
        <w:rPr>
          <w:rFonts w:ascii="Times New Roman" w:hAnsi="Times New Roman"/>
          <w:b w:val="false"/>
          <w:i w:val="false"/>
          <w:color w:val="000000"/>
          <w:sz w:val="24"/>
        </w:rPr>
        <w:t>  </w:t>
      </w:r>
      <w:r>
        <w:rPr>
          <w:rFonts w:ascii="Times New Roman" w:hAnsi="Times New Roman"/>
          <w:b w:val="false"/>
          <w:i w:val="false"/>
          <w:color w:val="000000"/>
          <w:sz w:val="24"/>
        </w:rPr>
        <w:t>Motor pool and transportation reservation and management system.</w:t>
      </w:r>
    </w:p>
    <w:p>
      <w:pPr>
        <w:spacing w:before="0" w:after="0" w:line="480"/>
        <w:ind w:left="120"/>
        <w:jc w:val="both"/>
      </w:pPr>
      <w:r>
        <w:rPr>
          <w:rFonts w:ascii="Times New Roman" w:hAnsi="Times New Roman"/>
          <w:b w:val="false"/>
          <w:i w:val="false"/>
          <w:color w:val="000000"/>
          <w:sz w:val="24"/>
        </w:rPr>
        <w:t xml:space="preserve">All of the above-listed records systems are collected pursuant to the authority of Iowa Code chapters </w:t>
      </w:r>
      <w:hyperlink r:id="rId18">
        <w:r>
          <w:rPr>
            <w:rStyle w:val="Hyperlink"/>
            <w:rFonts w:ascii="Times New Roman" w:hAnsi="Times New Roman"/>
            <w:b w:val="false"/>
            <w:i w:val="false"/>
            <w:color w:val="000000"/>
            <w:sz w:val="24"/>
          </w:rPr>
          <w:t>262</w:t>
        </w:r>
      </w:hyperlink>
      <w:r>
        <w:rPr>
          <w:rFonts w:ascii="Times New Roman" w:hAnsi="Times New Roman"/>
          <w:b w:val="false"/>
          <w:i w:val="false"/>
          <w:color w:val="000000"/>
          <w:sz w:val="24"/>
        </w:rPr>
        <w:t xml:space="preserve">, </w:t>
      </w:r>
      <w:hyperlink r:id="rId19">
        <w:r>
          <w:rPr>
            <w:rStyle w:val="Hyperlink"/>
            <w:rFonts w:ascii="Times New Roman" w:hAnsi="Times New Roman"/>
            <w:b w:val="false"/>
            <w:i w:val="false"/>
            <w:color w:val="000000"/>
            <w:sz w:val="24"/>
          </w:rPr>
          <w:t>262A</w:t>
        </w:r>
      </w:hyperlink>
      <w:r>
        <w:rPr>
          <w:rFonts w:ascii="Times New Roman" w:hAnsi="Times New Roman"/>
          <w:b w:val="false"/>
          <w:i w:val="false"/>
          <w:color w:val="000000"/>
          <w:sz w:val="24"/>
        </w:rPr>
        <w:t xml:space="preserve">, </w:t>
      </w:r>
      <w:hyperlink r:id="rId20">
        <w:r>
          <w:rPr>
            <w:rStyle w:val="Hyperlink"/>
            <w:rFonts w:ascii="Times New Roman" w:hAnsi="Times New Roman"/>
            <w:b w:val="false"/>
            <w:i w:val="false"/>
            <w:color w:val="000000"/>
            <w:sz w:val="24"/>
          </w:rPr>
          <w:t>265</w:t>
        </w:r>
      </w:hyperlink>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268</w:t>
        </w:r>
      </w:hyperlink>
      <w:r>
        <w:rPr>
          <w:rFonts w:ascii="Times New Roman" w:hAnsi="Times New Roman"/>
          <w:b w:val="false"/>
          <w:i w:val="false"/>
          <w:color w:val="000000"/>
          <w:sz w:val="24"/>
        </w:rPr>
        <w:t>. Means of storage include electronic unless otherwise noted. Moreover, some records may also be stored in micrographic or paper forms. All or parts of information in each system may be matched, collated, and compared, except for those systems noted by an asterisk (*).</w:t>
      </w:r>
    </w:p>
    <w:p>
      <w:pPr>
        <w:spacing w:before="0" w:after="0" w:line="480"/>
        <w:ind w:left="120"/>
        <w:jc w:val="both"/>
      </w:pPr>
      <w:r>
        <w:rPr>
          <w:rFonts w:ascii="Times New Roman" w:hAnsi="Times New Roman"/>
          <w:b w:val="false"/>
          <w:i w:val="false"/>
          <w:color w:val="000000"/>
          <w:sz w:val="24"/>
        </w:rPr>
        <w:t># Storage in paper or micrographic form only.</w:t>
      </w:r>
    </w:p>
    <w:p>
      <w:pPr>
        <w:spacing w:before="0" w:after="0" w:line="480"/>
        <w:ind w:left="120"/>
        <w:jc w:val="both"/>
      </w:pPr>
      <w:r>
        <w:rPr>
          <w:rFonts w:ascii="Times New Roman" w:hAnsi="Times New Roman"/>
          <w:b/>
          <w:i w:val="false"/>
          <w:color w:val="000000"/>
          <w:sz w:val="24"/>
        </w:rPr>
        <w:t>681—2505.10</w:t>
      </w:r>
      <w:r>
        <w:rPr>
          <w:rFonts w:ascii="Times New Roman" w:hAnsi="Times New Roman"/>
          <w:b/>
          <w:i w:val="false"/>
          <w:color w:val="000000"/>
          <w:sz w:val="24"/>
        </w:rPr>
        <w:t xml:space="preserve">(22) </w:t>
      </w:r>
      <w:r>
        <w:rPr>
          <w:rFonts w:ascii="Times New Roman" w:hAnsi="Times New Roman"/>
          <w:b/>
          <w:i w:val="false"/>
          <w:color w:val="000000"/>
          <w:sz w:val="24"/>
        </w:rPr>
        <w:t xml:space="preserve">Other groups of records. </w:t>
      </w:r>
      <w:r>
        <w:rPr>
          <w:rFonts w:ascii="Times New Roman" w:hAnsi="Times New Roman"/>
          <w:b w:val="false"/>
          <w:i w:val="false"/>
          <w:color w:val="000000"/>
          <w:sz w:val="24"/>
        </w:rPr>
        <w:t>This rule describes agency records not maintained in a record system. These records are routinely available to the public but may contain confidential information. In addition, some records may contain information about individuals. Unless otherwise noted, these records are available on the board’s website or at the board office and are not retrieved by personal identifier.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2505.10(1)</w:t>
      </w:r>
      <w:r>
        <w:rPr>
          <w:rFonts w:ascii="Times New Roman" w:hAnsi="Times New Roman"/>
          <w:b w:val="false"/>
          <w:i w:val="false"/>
          <w:color w:val="000000"/>
          <w:sz w:val="24"/>
        </w:rPr>
        <w:t> </w:t>
      </w:r>
      <w:r>
        <w:rPr>
          <w:rFonts w:ascii="Times New Roman" w:hAnsi="Times New Roman"/>
          <w:b w:val="false"/>
          <w:i w:val="false"/>
          <w:color w:val="000000"/>
          <w:sz w:val="24"/>
        </w:rPr>
        <w:t xml:space="preserve">Rulemaking. Rulemaking records may contain information about individuals making written or oral comments on proposed rules pursuant to Iowa Code section </w:t>
      </w:r>
      <w:hyperlink r:id="rId22">
        <w:r>
          <w:rPr>
            <w:rStyle w:val="Hyperlink"/>
            <w:rFonts w:ascii="Times New Roman" w:hAnsi="Times New Roman"/>
            <w:b w:val="false"/>
            <w:i w:val="false"/>
            <w:color w:val="000000"/>
            <w:sz w:val="24"/>
          </w:rPr>
          <w:t>17A.4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2505.10(2)</w:t>
      </w:r>
      <w:r>
        <w:rPr>
          <w:rFonts w:ascii="Times New Roman" w:hAnsi="Times New Roman"/>
          <w:b w:val="false"/>
          <w:i w:val="false"/>
          <w:color w:val="000000"/>
          <w:sz w:val="24"/>
        </w:rPr>
        <w:t> </w:t>
      </w:r>
      <w:r>
        <w:rPr>
          <w:rFonts w:ascii="Times New Roman" w:hAnsi="Times New Roman"/>
          <w:b w:val="false"/>
          <w:i w:val="false"/>
          <w:color w:val="000000"/>
          <w:sz w:val="24"/>
        </w:rPr>
        <w:t xml:space="preserve">Board records. Agendas, minutes, and materials presented to the board are available, except for records concerning closed sessions that are confidential under Iowa Code section </w:t>
      </w:r>
      <w:hyperlink r:id="rId23">
        <w:r>
          <w:rPr>
            <w:rStyle w:val="Hyperlink"/>
            <w:rFonts w:ascii="Times New Roman" w:hAnsi="Times New Roman"/>
            <w:b w:val="false"/>
            <w:i w:val="false"/>
            <w:color w:val="000000"/>
            <w:sz w:val="24"/>
          </w:rPr>
          <w:t>21.5</w:t>
        </w:r>
      </w:hyperlink>
      <w:r>
        <w:rPr>
          <w:rFonts w:ascii="Times New Roman" w:hAnsi="Times New Roman"/>
          <w:b w:val="false"/>
          <w:i w:val="false"/>
          <w:color w:val="000000"/>
          <w:sz w:val="24"/>
        </w:rPr>
        <w:t xml:space="preserve"> and other provisions of law. Board records contain information about people who participate in meetings. This information is collected pursuant to Iowa Code section </w:t>
      </w:r>
      <w:hyperlink r:id="rId24">
        <w:r>
          <w:rPr>
            <w:rStyle w:val="Hyperlink"/>
            <w:rFonts w:ascii="Times New Roman" w:hAnsi="Times New Roman"/>
            <w:b w:val="false"/>
            <w:i w:val="false"/>
            <w:color w:val="000000"/>
            <w:sz w:val="24"/>
          </w:rPr>
          <w:t>21.3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2505.10(3)</w:t>
      </w:r>
      <w:r>
        <w:rPr>
          <w:rFonts w:ascii="Times New Roman" w:hAnsi="Times New Roman"/>
          <w:b w:val="false"/>
          <w:i w:val="false"/>
          <w:color w:val="000000"/>
          <w:sz w:val="24"/>
        </w:rPr>
        <w:t> </w:t>
      </w:r>
      <w:r>
        <w:rPr>
          <w:rFonts w:ascii="Times New Roman" w:hAnsi="Times New Roman"/>
          <w:b w:val="false"/>
          <w:i w:val="false"/>
          <w:color w:val="000000"/>
          <w:sz w:val="24"/>
        </w:rPr>
        <w:t>Publications. News releases, annual reports, project reports, agency newsletters, etc., are available through the institutions’ offices for public information. Brochures describing various agency programs are available at local offices of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2505.10(4)</w:t>
      </w:r>
      <w:r>
        <w:rPr>
          <w:rFonts w:ascii="Times New Roman" w:hAnsi="Times New Roman"/>
          <w:b w:val="false"/>
          <w:i w:val="false"/>
          <w:color w:val="000000"/>
          <w:sz w:val="24"/>
        </w:rPr>
        <w:t> </w:t>
      </w:r>
      <w:r>
        <w:rPr>
          <w:rFonts w:ascii="Times New Roman" w:hAnsi="Times New Roman"/>
          <w:b w:val="false"/>
          <w:i w:val="false"/>
          <w:color w:val="000000"/>
          <w:sz w:val="24"/>
        </w:rPr>
        <w:t>Statistical reports. Periodic reports for various agency programs are available through the institutions’ offices for public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2505.10(5)</w:t>
      </w:r>
      <w:r>
        <w:rPr>
          <w:rFonts w:ascii="Times New Roman" w:hAnsi="Times New Roman"/>
          <w:b w:val="false"/>
          <w:i w:val="false"/>
          <w:color w:val="000000"/>
          <w:sz w:val="24"/>
        </w:rPr>
        <w:t> </w:t>
      </w:r>
      <w:r>
        <w:rPr>
          <w:rFonts w:ascii="Times New Roman" w:hAnsi="Times New Roman"/>
          <w:b w:val="false"/>
          <w:i w:val="false"/>
          <w:color w:val="000000"/>
          <w:sz w:val="24"/>
        </w:rPr>
        <w:t>Grants. Records on persons receiving grants are available through the institutions’ offices for public information. The records may contain information about employees of a grantee.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2505.10(6)</w:t>
      </w:r>
      <w:r>
        <w:rPr>
          <w:rFonts w:ascii="Times New Roman" w:hAnsi="Times New Roman"/>
          <w:b w:val="false"/>
          <w:i w:val="false"/>
          <w:color w:val="000000"/>
          <w:sz w:val="24"/>
        </w:rPr>
        <w:t> </w:t>
      </w:r>
      <w:r>
        <w:rPr>
          <w:rFonts w:ascii="Times New Roman" w:hAnsi="Times New Roman"/>
          <w:b w:val="false"/>
          <w:i w:val="false"/>
          <w:color w:val="000000"/>
          <w:sz w:val="24"/>
        </w:rPr>
        <w:t>Published materials. The agency uses many legal and technical publications in its work. The public may inspect these publications upon request. Some of these materials may be protected by copyright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2505.10(7)</w:t>
      </w:r>
      <w:r>
        <w:rPr>
          <w:rFonts w:ascii="Times New Roman" w:hAnsi="Times New Roman"/>
          <w:b w:val="false"/>
          <w:i w:val="false"/>
          <w:color w:val="000000"/>
          <w:sz w:val="24"/>
        </w:rPr>
        <w:t> </w:t>
      </w:r>
      <w:r>
        <w:rPr>
          <w:rFonts w:ascii="Times New Roman" w:hAnsi="Times New Roman"/>
          <w:b w:val="false"/>
          <w:i w:val="false"/>
          <w:color w:val="000000"/>
          <w:sz w:val="24"/>
        </w:rPr>
        <w:t>Policy manuals. The agency employees’ manual, containing the policies and procedures for programs administered by the agency, is available in every office of the agency. Policy manuals do not contain information about individuals.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2505.10(8)</w:t>
      </w:r>
      <w:r>
        <w:rPr>
          <w:rFonts w:ascii="Times New Roman" w:hAnsi="Times New Roman"/>
          <w:b w:val="false"/>
          <w:i w:val="false"/>
          <w:color w:val="000000"/>
          <w:sz w:val="24"/>
        </w:rPr>
        <w:t> </w:t>
      </w:r>
      <w:r>
        <w:rPr>
          <w:rFonts w:ascii="Times New Roman" w:hAnsi="Times New Roman"/>
          <w:b w:val="false"/>
          <w:i w:val="false"/>
          <w:color w:val="000000"/>
          <w:sz w:val="24"/>
        </w:rPr>
        <w:t>All other records that are not exempted from disclosure by law. The agency maintains a variety of records that do not generally contain information pertaining to named individuals.</w:t>
      </w:r>
    </w:p>
    <w:p>
      <w:pPr>
        <w:spacing w:before="0" w:after="0" w:line="480"/>
        <w:ind w:left="120"/>
        <w:jc w:val="both"/>
      </w:pPr>
      <w:r>
        <w:rPr>
          <w:rFonts w:ascii="Times New Roman" w:hAnsi="Times New Roman"/>
          <w:b w:val="false"/>
          <w:i w:val="false"/>
          <w:color w:val="000000"/>
          <w:sz w:val="24"/>
        </w:rPr>
        <w:t>All data processing systems used by the agency permit the comparison of personally identifiable information in one record system with personally identifiable information in another record system.</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w:t>
      </w:r>
      <w:r>
        <w:rPr>
          <w:rFonts w:ascii="Times New Roman" w:hAnsi="Times New Roman"/>
          <w:b w:val="false"/>
          <w:i w:val="false"/>
          <w:color w:val="000000"/>
          <w:sz w:val="24"/>
        </w:rPr>
        <w:t>681—Chapter 2506</w:t>
      </w:r>
      <w:r>
        <w:rPr>
          <w:rFonts w:ascii="Times New Roman" w:hAnsi="Times New Roman"/>
          <w:b w:val="false"/>
          <w:i w:val="false"/>
          <w:color w:val="000000"/>
          <w:sz w:val="24"/>
        </w:rPr>
        <w:t>:</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2506</w:t>
      </w:r>
    </w:p>
    <w:p>
      <w:pPr>
        <w:spacing w:before="0" w:after="0" w:line="480"/>
        <w:ind w:left="120"/>
        <w:jc w:val="center"/>
      </w:pPr>
      <w:r>
        <w:rPr>
          <w:rFonts w:ascii="Times New Roman" w:hAnsi="Times New Roman"/>
          <w:b w:val="false"/>
          <w:i w:val="false"/>
          <w:color w:val="000000"/>
          <w:sz w:val="21"/>
        </w:rPr>
        <w:t>CONTESTED CASES</w:t>
      </w:r>
    </w:p>
    <w:p>
      <w:pPr>
        <w:spacing w:before="0" w:after="0" w:line="480"/>
        <w:ind w:left="120"/>
        <w:jc w:val="both"/>
      </w:pPr>
      <w:r>
        <w:rPr>
          <w:rFonts w:ascii="Times New Roman" w:hAnsi="Times New Roman"/>
          <w:b w:val="false"/>
          <w:i w:val="false"/>
          <w:color w:val="000000"/>
          <w:sz w:val="24"/>
        </w:rPr>
        <w:t xml:space="preserve">The Uniform Rules on Agency Procedure, </w:t>
      </w:r>
      <w:hyperlink r:id="rId25">
        <w:r>
          <w:rPr>
            <w:rStyle w:val="Hyperlink"/>
            <w:rFonts w:ascii="Times New Roman" w:hAnsi="Times New Roman"/>
            <w:b w:val="false"/>
            <w:i w:val="false"/>
            <w:color w:val="000000"/>
            <w:sz w:val="24"/>
          </w:rPr>
          <w:t>7—Chapters 2500</w:t>
        </w:r>
      </w:hyperlink>
      <w:r>
        <w:rPr>
          <w:rFonts w:ascii="Times New Roman" w:hAnsi="Times New Roman"/>
          <w:b w:val="false"/>
          <w:i w:val="false"/>
          <w:color w:val="000000"/>
          <w:sz w:val="24"/>
        </w:rPr>
        <w:t xml:space="preserve"> through </w:t>
      </w:r>
      <w:hyperlink r:id="rId26">
        <w:r>
          <w:rPr>
            <w:rStyle w:val="Hyperlink"/>
            <w:rFonts w:ascii="Times New Roman" w:hAnsi="Times New Roman"/>
            <w:b w:val="false"/>
            <w:i w:val="false"/>
            <w:color w:val="000000"/>
            <w:sz w:val="24"/>
          </w:rPr>
          <w:t>2506</w:t>
        </w:r>
      </w:hyperlink>
      <w:r>
        <w:rPr>
          <w:rFonts w:ascii="Times New Roman" w:hAnsi="Times New Roman"/>
          <w:b w:val="false"/>
          <w:i w:val="false"/>
          <w:color w:val="000000"/>
          <w:sz w:val="24"/>
        </w:rPr>
        <w:t xml:space="preserve">, are rules generally applicable to agencies pursuant to Iowa Code section </w:t>
      </w:r>
      <w:hyperlink r:id="rId27">
        <w:r>
          <w:rPr>
            <w:rStyle w:val="Hyperlink"/>
            <w:rFonts w:ascii="Times New Roman" w:hAnsi="Times New Roman"/>
            <w:b w:val="false"/>
            <w:i w:val="false"/>
            <w:color w:val="000000"/>
            <w:sz w:val="24"/>
          </w:rPr>
          <w:t>17A.24</w:t>
        </w:r>
      </w:hyperlink>
      <w:r>
        <w:rPr>
          <w:rFonts w:ascii="Times New Roman" w:hAnsi="Times New Roman"/>
          <w:b w:val="false"/>
          <w:i w:val="false"/>
          <w:color w:val="000000"/>
          <w:sz w:val="24"/>
        </w:rPr>
        <w:t>. Additions, exceptions, or amendments to the corresponding chapter are below.</w:t>
      </w:r>
    </w:p>
    <w:p>
      <w:pPr>
        <w:spacing w:before="0" w:after="0" w:line="480"/>
        <w:ind w:left="120"/>
        <w:jc w:val="both"/>
      </w:pPr>
      <w:r>
        <w:rPr>
          <w:rFonts w:ascii="Times New Roman" w:hAnsi="Times New Roman"/>
          <w:b/>
          <w:i w:val="false"/>
          <w:color w:val="000000"/>
          <w:sz w:val="24"/>
        </w:rPr>
        <w:t>681—2506.27</w:t>
      </w:r>
      <w:r>
        <w:rPr>
          <w:rFonts w:ascii="Times New Roman" w:hAnsi="Times New Roman"/>
          <w:b/>
          <w:i w:val="false"/>
          <w:color w:val="000000"/>
          <w:sz w:val="24"/>
        </w:rPr>
        <w:t xml:space="preserve">(17A) </w:t>
      </w:r>
      <w:r>
        <w:rPr>
          <w:rFonts w:ascii="Times New Roman" w:hAnsi="Times New Roman"/>
          <w:b/>
          <w:i w:val="false"/>
          <w:color w:val="000000"/>
          <w:sz w:val="24"/>
        </w:rPr>
        <w:t xml:space="preserve">Appeals and review—actions by regents institution.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2506.27(1)</w:t>
      </w:r>
      <w:r>
        <w:rPr>
          <w:rFonts w:ascii="Times New Roman" w:hAnsi="Times New Roman"/>
          <w:b w:val="false"/>
          <w:i w:val="false"/>
          <w:color w:val="000000"/>
          <w:sz w:val="24"/>
        </w:rPr>
        <w:t> </w:t>
      </w:r>
      <w:r>
        <w:rPr>
          <w:rFonts w:ascii="Times New Roman" w:hAnsi="Times New Roman"/>
          <w:b w:val="false"/>
          <w:i/>
          <w:color w:val="000000"/>
          <w:sz w:val="24"/>
        </w:rPr>
        <w:t xml:space="preserve">Appeal by party. </w:t>
      </w:r>
      <w:r>
        <w:rPr>
          <w:rFonts w:ascii="Times New Roman" w:hAnsi="Times New Roman"/>
          <w:b w:val="false"/>
          <w:i w:val="false"/>
          <w:color w:val="000000"/>
          <w:sz w:val="24"/>
        </w:rPr>
        <w:t>Any adversely affected party may appeal a proposed decision in a case involving an appeal of action or proposed action by a regents institution to the president of the regents institution within 20 days after issuance of the proposed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2506.27(2)</w:t>
      </w:r>
      <w:r>
        <w:rPr>
          <w:rFonts w:ascii="Times New Roman" w:hAnsi="Times New Roman"/>
          <w:b w:val="false"/>
          <w:i w:val="false"/>
          <w:color w:val="000000"/>
          <w:sz w:val="24"/>
        </w:rPr>
        <w:t> </w:t>
      </w:r>
      <w:r>
        <w:rPr>
          <w:rFonts w:ascii="Times New Roman" w:hAnsi="Times New Roman"/>
          <w:b w:val="false"/>
          <w:i/>
          <w:color w:val="000000"/>
          <w:sz w:val="24"/>
        </w:rPr>
        <w:t xml:space="preserve">Review. </w:t>
      </w:r>
      <w:r>
        <w:rPr>
          <w:rFonts w:ascii="Times New Roman" w:hAnsi="Times New Roman"/>
          <w:b w:val="false"/>
          <w:i w:val="false"/>
          <w:color w:val="000000"/>
          <w:sz w:val="24"/>
        </w:rPr>
        <w:t>The president of the regents institution may initiate review of a proposed decision on the president’s own motion at any time within 20 days following the issuance of such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2506.27(3)</w:t>
      </w:r>
      <w:r>
        <w:rPr>
          <w:rFonts w:ascii="Times New Roman" w:hAnsi="Times New Roman"/>
          <w:b w:val="false"/>
          <w:i w:val="false"/>
          <w:color w:val="000000"/>
          <w:sz w:val="24"/>
        </w:rPr>
        <w:t> </w:t>
      </w:r>
      <w:r>
        <w:rPr>
          <w:rFonts w:ascii="Times New Roman" w:hAnsi="Times New Roman"/>
          <w:b w:val="false"/>
          <w:i/>
          <w:color w:val="000000"/>
          <w:sz w:val="24"/>
        </w:rPr>
        <w:t xml:space="preserve">Notice of appeal. </w:t>
      </w:r>
      <w:r>
        <w:rPr>
          <w:rFonts w:ascii="Times New Roman" w:hAnsi="Times New Roman"/>
          <w:b w:val="false"/>
          <w:i w:val="false"/>
          <w:color w:val="000000"/>
          <w:sz w:val="24"/>
        </w:rPr>
        <w:t>An appeal of a proposed decision is initiated by filing a timely notice of appeal with the president of the regents institution. The notice of appeal is to be signed by the appealing party or a representative of that party and contain a certificate of service. The notice will specify: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parties initiating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proposed decision or order appealed from;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specific findings or conclusions to which exception is taken and any other exceptions to the decision or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relief sought;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grounds for relief.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2506.27(4)</w:t>
      </w:r>
      <w:r>
        <w:rPr>
          <w:rFonts w:ascii="Times New Roman" w:hAnsi="Times New Roman"/>
          <w:b w:val="false"/>
          <w:i w:val="false"/>
          <w:color w:val="000000"/>
          <w:sz w:val="24"/>
        </w:rPr>
        <w:t> </w:t>
      </w:r>
      <w:r>
        <w:rPr>
          <w:rFonts w:ascii="Times New Roman" w:hAnsi="Times New Roman"/>
          <w:b w:val="false"/>
          <w:i/>
          <w:color w:val="000000"/>
          <w:sz w:val="24"/>
        </w:rPr>
        <w:t xml:space="preserve">Requests to present additional evidence. </w:t>
      </w:r>
      <w:r>
        <w:rPr>
          <w:rFonts w:ascii="Times New Roman" w:hAnsi="Times New Roman"/>
          <w:b w:val="false"/>
          <w:i w:val="false"/>
          <w:color w:val="000000"/>
          <w:sz w:val="24"/>
        </w:rPr>
        <w:t>A party may request to submit additional evidence. The request must be filed with the notice of appeal, if by an appealing party, or within ten days of service of the notice of appeal, if by a nonappealing party. The president of the regents institution will take additional evidence only if the party establishes that the evidence is material, that good cause existed for it not being presented at the hearing, and that the party has not waived the right to present evidence. The president of the regents institution may either remand a case to the presiding officer to take additional evidence or may preside at the taking of additional evidence.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2506.27(5)</w:t>
      </w:r>
      <w:r>
        <w:rPr>
          <w:rFonts w:ascii="Times New Roman" w:hAnsi="Times New Roman"/>
          <w:b w:val="false"/>
          <w:i w:val="false"/>
          <w:color w:val="000000"/>
          <w:sz w:val="24"/>
        </w:rPr>
        <w:t> </w:t>
      </w:r>
      <w:r>
        <w:rPr>
          <w:rFonts w:ascii="Times New Roman" w:hAnsi="Times New Roman"/>
          <w:b w:val="false"/>
          <w:i/>
          <w:color w:val="000000"/>
          <w:sz w:val="24"/>
        </w:rPr>
        <w:t xml:space="preserve">Scheduling. </w:t>
      </w:r>
      <w:r>
        <w:rPr>
          <w:rFonts w:ascii="Times New Roman" w:hAnsi="Times New Roman"/>
          <w:b w:val="false"/>
          <w:i w:val="false"/>
          <w:color w:val="000000"/>
          <w:sz w:val="24"/>
        </w:rPr>
        <w:t>The president of the regents institution will issue a schedule for consideration of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2506.27(6)</w:t>
      </w:r>
      <w:r>
        <w:rPr>
          <w:rFonts w:ascii="Times New Roman" w:hAnsi="Times New Roman"/>
          <w:b w:val="false"/>
          <w:i w:val="false"/>
          <w:color w:val="000000"/>
          <w:sz w:val="24"/>
        </w:rPr>
        <w:t> </w:t>
      </w:r>
      <w:r>
        <w:rPr>
          <w:rFonts w:ascii="Times New Roman" w:hAnsi="Times New Roman"/>
          <w:b w:val="false"/>
          <w:i/>
          <w:color w:val="000000"/>
          <w:sz w:val="24"/>
        </w:rPr>
        <w:t xml:space="preserve">Briefs and arguments. </w:t>
      </w:r>
      <w:r>
        <w:rPr>
          <w:rFonts w:ascii="Times New Roman" w:hAnsi="Times New Roman"/>
          <w:b w:val="false"/>
          <w:i w:val="false"/>
          <w:color w:val="000000"/>
          <w:sz w:val="24"/>
        </w:rPr>
        <w:t>Unless otherwise ordered, within 20 days of the notice of appeal or order for review, each appealing party may file exceptions and briefs. Within 20 days thereafter, any party may file a responsive brief. Briefs will include any applicable legal authority and specify relevant portions of the record in that proceeding. Written requests to present oral arguments will be filed with the briefs. The president of the regents institution may resolve the appeal on the briefs or provide an opportunity for oral argument. The president of the regents institution may shorten or extend the briefing period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2506.27(7)</w:t>
      </w:r>
      <w:r>
        <w:rPr>
          <w:rFonts w:ascii="Times New Roman" w:hAnsi="Times New Roman"/>
          <w:b w:val="false"/>
          <w:i w:val="false"/>
          <w:color w:val="000000"/>
          <w:sz w:val="24"/>
        </w:rPr>
        <w:t> </w:t>
      </w:r>
      <w:r>
        <w:rPr>
          <w:rFonts w:ascii="Times New Roman" w:hAnsi="Times New Roman"/>
          <w:b w:val="false"/>
          <w:i/>
          <w:color w:val="000000"/>
          <w:sz w:val="24"/>
        </w:rPr>
        <w:t xml:space="preserve">Appeals to the board. </w:t>
      </w:r>
      <w:r>
        <w:rPr>
          <w:rFonts w:ascii="Times New Roman" w:hAnsi="Times New Roman"/>
          <w:b w:val="false"/>
          <w:i w:val="false"/>
          <w:color w:val="000000"/>
          <w:sz w:val="24"/>
        </w:rPr>
        <w:t xml:space="preserve">Rule </w:t>
      </w:r>
      <w:hyperlink r:id="rId28">
        <w:r>
          <w:rPr>
            <w:rStyle w:val="Hyperlink"/>
            <w:rFonts w:ascii="Times New Roman" w:hAnsi="Times New Roman"/>
            <w:b w:val="false"/>
            <w:i w:val="false"/>
            <w:color w:val="000000"/>
            <w:sz w:val="24"/>
          </w:rPr>
          <w:t>681—2506.32</w:t>
        </w:r>
      </w:hyperlink>
      <w:r>
        <w:rPr>
          <w:rFonts w:ascii="Times New Roman" w:hAnsi="Times New Roman"/>
          <w:b w:val="false"/>
          <w:i w:val="false"/>
          <w:color w:val="000000"/>
          <w:sz w:val="24"/>
        </w:rPr>
        <w:t>(17A) contains procedures to appeal the president of the regents institution’s decision to the board.</w:t>
      </w:r>
    </w:p>
    <w:p>
      <w:pPr>
        <w:spacing w:before="0" w:after="0" w:line="480"/>
        <w:ind w:left="120"/>
        <w:jc w:val="both"/>
      </w:pPr>
      <w:r>
        <w:rPr>
          <w:rFonts w:ascii="Times New Roman" w:hAnsi="Times New Roman"/>
          <w:b/>
          <w:i w:val="false"/>
          <w:color w:val="000000"/>
          <w:sz w:val="24"/>
        </w:rPr>
        <w:t>681—2506.32</w:t>
      </w:r>
      <w:r>
        <w:rPr>
          <w:rFonts w:ascii="Times New Roman" w:hAnsi="Times New Roman"/>
          <w:b/>
          <w:i w:val="false"/>
          <w:color w:val="000000"/>
          <w:sz w:val="24"/>
        </w:rPr>
        <w:t xml:space="preserve">(17A) </w:t>
      </w:r>
      <w:r>
        <w:rPr>
          <w:rFonts w:ascii="Times New Roman" w:hAnsi="Times New Roman"/>
          <w:b/>
          <w:i w:val="false"/>
          <w:color w:val="000000"/>
          <w:sz w:val="24"/>
        </w:rPr>
        <w:t xml:space="preserve">Appeals to the board. </w:t>
      </w:r>
      <w:r>
        <w:rPr>
          <w:rFonts w:ascii="Times New Roman" w:hAnsi="Times New Roman"/>
          <w:b w:val="false"/>
          <w:i w:val="false"/>
          <w:color w:val="000000"/>
          <w:sz w:val="24"/>
        </w:rPr>
        <w:t xml:space="preserve">This rule incorporates rule </w:t>
      </w:r>
      <w:hyperlink r:id="rId29">
        <w:r>
          <w:rPr>
            <w:rStyle w:val="Hyperlink"/>
            <w:rFonts w:ascii="Times New Roman" w:hAnsi="Times New Roman"/>
            <w:b w:val="false"/>
            <w:i w:val="false"/>
            <w:color w:val="000000"/>
            <w:sz w:val="24"/>
          </w:rPr>
          <w:t>681—2506.27</w:t>
        </w:r>
      </w:hyperlink>
      <w:r>
        <w:rPr>
          <w:rFonts w:ascii="Times New Roman" w:hAnsi="Times New Roman"/>
          <w:b w:val="false"/>
          <w:i w:val="false"/>
          <w:color w:val="000000"/>
          <w:sz w:val="24"/>
        </w:rPr>
        <w:t xml:space="preserve">(17A) with the following exceptions and amendments. More information is contained in rule </w:t>
      </w:r>
      <w:hyperlink r:id="rId30">
        <w:r>
          <w:rPr>
            <w:rStyle w:val="Hyperlink"/>
            <w:rFonts w:ascii="Times New Roman" w:hAnsi="Times New Roman"/>
            <w:b w:val="false"/>
            <w:i w:val="false"/>
            <w:color w:val="000000"/>
            <w:sz w:val="24"/>
          </w:rPr>
          <w:t>681—2506.27</w:t>
        </w:r>
      </w:hyperlink>
      <w:r>
        <w:rPr>
          <w:rFonts w:ascii="Times New Roman" w:hAnsi="Times New Roman"/>
          <w:b w:val="false"/>
          <w:i w:val="false"/>
          <w:color w:val="000000"/>
          <w:sz w:val="24"/>
        </w:rPr>
        <w:t>(17A).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2506.32(1)</w:t>
      </w:r>
      <w:r>
        <w:rPr>
          <w:rFonts w:ascii="Times New Roman" w:hAnsi="Times New Roman"/>
          <w:b w:val="false"/>
          <w:i w:val="false"/>
          <w:color w:val="000000"/>
          <w:sz w:val="24"/>
        </w:rPr>
        <w:t> </w:t>
      </w:r>
      <w:r>
        <w:rPr>
          <w:rFonts w:ascii="Times New Roman" w:hAnsi="Times New Roman"/>
          <w:b w:val="false"/>
          <w:i/>
          <w:color w:val="000000"/>
          <w:sz w:val="24"/>
        </w:rPr>
        <w:t xml:space="preserve">Appeal by party. </w:t>
      </w:r>
      <w:r>
        <w:rPr>
          <w:rFonts w:ascii="Times New Roman" w:hAnsi="Times New Roman"/>
          <w:b w:val="false"/>
          <w:i w:val="false"/>
          <w:color w:val="000000"/>
          <w:sz w:val="24"/>
        </w:rPr>
        <w:t>Any adversely affected party may appeal the president of the regents institution’s decision to the board within ten days after issuance of the decision. In the case of an appeal of initial action by the board, any adversely affected party may appeal the proposed order of a presiding officer to the board within 20 days after issuance of the proposed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2506.32(2)</w:t>
      </w:r>
      <w:r>
        <w:rPr>
          <w:rFonts w:ascii="Times New Roman" w:hAnsi="Times New Roman"/>
          <w:b w:val="false"/>
          <w:i w:val="false"/>
          <w:color w:val="000000"/>
          <w:sz w:val="24"/>
        </w:rPr>
        <w:t> </w:t>
      </w:r>
      <w:r>
        <w:rPr>
          <w:rFonts w:ascii="Times New Roman" w:hAnsi="Times New Roman"/>
          <w:b w:val="false"/>
          <w:i/>
          <w:color w:val="000000"/>
          <w:sz w:val="24"/>
        </w:rPr>
        <w:t xml:space="preserve">Review. </w:t>
      </w:r>
      <w:r>
        <w:rPr>
          <w:rFonts w:ascii="Times New Roman" w:hAnsi="Times New Roman"/>
          <w:b w:val="false"/>
          <w:i w:val="false"/>
          <w:color w:val="000000"/>
          <w:sz w:val="24"/>
        </w:rPr>
        <w:t>The board may initiate review of the president of the regents institution’s decision or a proposed decision involving an appeal of board action on its own motion at any time within 20 days following the issuance of such a decision.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2506.32(3)</w:t>
      </w:r>
      <w:r>
        <w:rPr>
          <w:rFonts w:ascii="Times New Roman" w:hAnsi="Times New Roman"/>
          <w:b w:val="false"/>
          <w:i w:val="false"/>
          <w:color w:val="000000"/>
          <w:sz w:val="24"/>
        </w:rPr>
        <w:t> </w:t>
      </w:r>
      <w:r>
        <w:rPr>
          <w:rFonts w:ascii="Times New Roman" w:hAnsi="Times New Roman"/>
          <w:b w:val="false"/>
          <w:i/>
          <w:color w:val="000000"/>
          <w:sz w:val="24"/>
        </w:rPr>
        <w:t xml:space="preserve">Notice of appeal. </w:t>
      </w:r>
      <w:r>
        <w:rPr>
          <w:rFonts w:ascii="Times New Roman" w:hAnsi="Times New Roman"/>
          <w:b w:val="false"/>
          <w:i w:val="false"/>
          <w:color w:val="000000"/>
          <w:sz w:val="24"/>
        </w:rPr>
        <w:t>An appeal of a proposed decision is initiated by filing a timely notice of appeal with the board. In cases of appeals of action by an institution, a copy of the notice shall be sent to the president of the regents institution. The notice of appeal is to be signed by the appealing party or a representative of that party and contain a certificate of service. The notice will specify: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parties initiating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proposed decision or order appealed from;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specific findings or conclusions to which exception is taken and any other exceptions to the decision or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relief sought;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grounds for relief.</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2506.32(4)</w:t>
      </w:r>
      <w:r>
        <w:rPr>
          <w:rFonts w:ascii="Times New Roman" w:hAnsi="Times New Roman"/>
          <w:b w:val="false"/>
          <w:i w:val="false"/>
          <w:color w:val="000000"/>
          <w:sz w:val="24"/>
        </w:rPr>
        <w:t> </w:t>
      </w:r>
      <w:r>
        <w:rPr>
          <w:rFonts w:ascii="Times New Roman" w:hAnsi="Times New Roman"/>
          <w:b w:val="false"/>
          <w:i/>
          <w:color w:val="000000"/>
          <w:sz w:val="24"/>
        </w:rPr>
        <w:t xml:space="preserve">Requests to present additional evidence. </w:t>
      </w:r>
      <w:r>
        <w:rPr>
          <w:rFonts w:ascii="Times New Roman" w:hAnsi="Times New Roman"/>
          <w:b w:val="false"/>
          <w:i w:val="false"/>
          <w:color w:val="000000"/>
          <w:sz w:val="24"/>
        </w:rPr>
        <w:t>In a case that has not been reviewed by a president of a regents institution, a party may request to submit additional evidence. The request must be filed with the notice of appeal, if by an appealing party, or within ten days of service of the notice of appeal, if by a nonappealing party. The board will take additional evidence only if the party establishes that the evidence is material, that good cause existed for it not being presented at the hearing, and that the party has not waived the right to present the evidence. The board, or its executive director, may remand a case to the president of the regents institution for further hearing or the board may preside at the taking of additional evidence.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2506.32(5)</w:t>
      </w:r>
      <w:r>
        <w:rPr>
          <w:rFonts w:ascii="Times New Roman" w:hAnsi="Times New Roman"/>
          <w:b w:val="false"/>
          <w:i w:val="false"/>
          <w:color w:val="000000"/>
          <w:sz w:val="24"/>
        </w:rPr>
        <w:t> </w:t>
      </w:r>
      <w:r>
        <w:rPr>
          <w:rFonts w:ascii="Times New Roman" w:hAnsi="Times New Roman"/>
          <w:b w:val="false"/>
          <w:i/>
          <w:color w:val="000000"/>
          <w:sz w:val="24"/>
        </w:rPr>
        <w:t xml:space="preserve">Scheduling. </w:t>
      </w:r>
      <w:r>
        <w:rPr>
          <w:rFonts w:ascii="Times New Roman" w:hAnsi="Times New Roman"/>
          <w:b w:val="false"/>
          <w:i w:val="false"/>
          <w:color w:val="000000"/>
          <w:sz w:val="24"/>
        </w:rPr>
        <w:t>The board, or its executive director, will issue a schedule for consideration of the appeal.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2506.32(6)</w:t>
      </w:r>
      <w:r>
        <w:rPr>
          <w:rFonts w:ascii="Times New Roman" w:hAnsi="Times New Roman"/>
          <w:b w:val="false"/>
          <w:i w:val="false"/>
          <w:color w:val="000000"/>
          <w:sz w:val="24"/>
        </w:rPr>
        <w:t> </w:t>
      </w:r>
      <w:r>
        <w:rPr>
          <w:rFonts w:ascii="Times New Roman" w:hAnsi="Times New Roman"/>
          <w:b w:val="false"/>
          <w:i/>
          <w:color w:val="000000"/>
          <w:sz w:val="24"/>
        </w:rPr>
        <w:t xml:space="preserve">Briefs and arguments. </w:t>
      </w:r>
      <w:r>
        <w:rPr>
          <w:rFonts w:ascii="Times New Roman" w:hAnsi="Times New Roman"/>
          <w:b w:val="false"/>
          <w:i w:val="false"/>
          <w:color w:val="000000"/>
          <w:sz w:val="24"/>
        </w:rPr>
        <w:t>Unless otherwise ordered, within 20 days of the notice of appeal or order for review, each appealing party may file exceptions and briefs. Within 20 days thereafter, any party may file a responsive brief. Briefs will include any applicable legal authority and specify relevant portions of the record in that proceeding. Written requests to present oral arguments will be filed with the briefs. The board may resolve the appeal on the briefs or provide an opportunity for oral argument. The board, or its executive director, may shorten or extend the briefing period as appropriate.</w:t>
      </w:r>
    </w:p>
    <w:p>
      <w:pPr>
        <w:spacing w:before="0" w:after="0" w:line="480"/>
        <w:ind w:left="120"/>
        <w:jc w:val="center"/>
      </w:pPr>
      <w:r>
        <w:rPr>
          <w:rFonts w:ascii="Times New Roman" w:hAnsi="Times New Roman"/>
          <w:b w:val="false"/>
          <w:i w:val="false"/>
          <w:color w:val="000000"/>
          <w:sz w:val="24"/>
        </w:rPr>
        <w:t>[Filed Emergency 8/13/26, effective 8/13/26]</w:t>
      </w:r>
    </w:p>
    <w:p>
      <w:pPr>
        <w:spacing w:before="0" w:after="0" w:line="480"/>
        <w:ind w:left="120"/>
        <w:jc w:val="center"/>
      </w:pPr>
      <w:r>
        <w:rPr>
          <w:rFonts w:ascii="Times New Roman" w:hAnsi="Times New Roman"/>
          <w:b w:val="false"/>
          <w:i w:val="false"/>
          <w:color w:val="000000"/>
          <w:sz w:val="24"/>
        </w:rPr>
        <w:t>[Published 9/2/26]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9/2/26.</w:t>
      </w:r>
    </w:p>
    <w:p>
      <w:pPr>
        <w:spacing w:before="0" w:after="0" w:line="480"/>
        <w:ind w:left="120"/>
        <w:jc w:val="left"/>
      </w:pPr>
      <w:bookmarkStart w:name="lastARC" w:id="2"/>
      <w:bookmarkEnd w:id="2"/>
    </w:p>
    <w:sectPr>
      <w:footerReference r:id="rId3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co/chapter/262.pdf" Type="http://schemas.openxmlformats.org/officeDocument/2006/relationships/hyperlink" Id="rId8"/>
    <Relationship TargetMode="External" Target="https://www.legis.iowa.gov/docs/ico/chapter/262.pdf" Type="http://schemas.openxmlformats.org/officeDocument/2006/relationships/hyperlink" Id="rId9"/>
    <Relationship TargetMode="External" Target="https://www.legis.iowa.gov/docs/ico/chapter/263A.pdf" Type="http://schemas.openxmlformats.org/officeDocument/2006/relationships/hyperlink" Id="rId10"/>
    <Relationship TargetMode="External" Target="https://www.legis.iowa.gov/docs/ico/chapter/271.pdf" Type="http://schemas.openxmlformats.org/officeDocument/2006/relationships/hyperlink" Id="rId11"/>
    <Relationship TargetMode="External" Target="https://www.legis.iowa.gov/docs/iac/rule/681.2505.9.pdf" Type="http://schemas.openxmlformats.org/officeDocument/2006/relationships/hyperlink" Id="rId12"/>
    <Relationship TargetMode="External" Target="https://www.legis.iowa.gov/docs/ico/chapter/262.pdf" Type="http://schemas.openxmlformats.org/officeDocument/2006/relationships/hyperlink" Id="rId13"/>
    <Relationship TargetMode="External" Target="https://www.legis.iowa.gov/docs/ico/chapter/262B.pdf" Type="http://schemas.openxmlformats.org/officeDocument/2006/relationships/hyperlink" Id="rId14"/>
    <Relationship TargetMode="External" Target="https://www.legis.iowa.gov/docs/ico/chapter/266.pdf" Type="http://schemas.openxmlformats.org/officeDocument/2006/relationships/hyperlink" Id="rId15"/>
    <Relationship TargetMode="External" Target="https://www.legis.iowa.gov/docs/iac/rule/681.2505.9.pdf" Type="http://schemas.openxmlformats.org/officeDocument/2006/relationships/hyperlink" Id="rId16"/>
    <Relationship TargetMode="External" Target="https://www.legis.iowa.gov/docs/iac/rule/681.2505.9.pdf" Type="http://schemas.openxmlformats.org/officeDocument/2006/relationships/hyperlink" Id="rId17"/>
    <Relationship TargetMode="External" Target="https://www.legis.iowa.gov/docs/ico/chapter/262.pdf" Type="http://schemas.openxmlformats.org/officeDocument/2006/relationships/hyperlink" Id="rId18"/>
    <Relationship TargetMode="External" Target="https://www.legis.iowa.gov/docs/ico/chapter/262A.pdf" Type="http://schemas.openxmlformats.org/officeDocument/2006/relationships/hyperlink" Id="rId19"/>
    <Relationship TargetMode="External" Target="https://www.legis.iowa.gov/docs/ico/chapter/265.pdf" Type="http://schemas.openxmlformats.org/officeDocument/2006/relationships/hyperlink" Id="rId20"/>
    <Relationship TargetMode="External" Target="https://www.legis.iowa.gov/docs/ico/chapter/268.pdf" Type="http://schemas.openxmlformats.org/officeDocument/2006/relationships/hyperlink" Id="rId21"/>
    <Relationship TargetMode="External" Target="https://www.legis.iowa.gov/docs/ico/chapter/17A.4.pdf" Type="http://schemas.openxmlformats.org/officeDocument/2006/relationships/hyperlink" Id="rId22"/>
    <Relationship TargetMode="External" Target="https://www.legis.iowa.gov/docs/ico/chapter/21.5.pdf" Type="http://schemas.openxmlformats.org/officeDocument/2006/relationships/hyperlink" Id="rId23"/>
    <Relationship TargetMode="External" Target="https://www.legis.iowa.gov/docs/ico/chapter/21.3.pdf" Type="http://schemas.openxmlformats.org/officeDocument/2006/relationships/hyperlink" Id="rId24"/>
    <Relationship TargetMode="External" Target="https://www.legis.iowa.gov/docs/iac/chapter/7.2500.pdf" Type="http://schemas.openxmlformats.org/officeDocument/2006/relationships/hyperlink" Id="rId25"/>
    <Relationship TargetMode="External" Target="https://www.legis.iowa.gov/docs/iac/chapter/7.2506.pdf" Type="http://schemas.openxmlformats.org/officeDocument/2006/relationships/hyperlink" Id="rId26"/>
    <Relationship TargetMode="External" Target="https://www.legis.iowa.gov/docs/ico/chapter/17A.24.pdf" Type="http://schemas.openxmlformats.org/officeDocument/2006/relationships/hyperlink" Id="rId27"/>
    <Relationship TargetMode="External" Target="https://www.legis.iowa.gov/docs/iac/rule/681.2506.32.pdf" Type="http://schemas.openxmlformats.org/officeDocument/2006/relationships/hyperlink" Id="rId28"/>
    <Relationship TargetMode="External" Target="https://www.legis.iowa.gov/docs/iac/rule/681.2506.27.pdf" Type="http://schemas.openxmlformats.org/officeDocument/2006/relationships/hyperlink" Id="rId29"/>
    <Relationship TargetMode="External" Target="https://www.legis.iowa.gov/docs/iac/rule/681.2506.27.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