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2D" w:id="1"/>
    <w:p>
      <w:pPr>
        <w:spacing w:before="0" w:after="0" w:line="480"/>
        <w:ind w:left="120"/>
        <w:jc w:val="right"/>
      </w:pPr>
      <w:r>
        <w:rPr>
          <w:rFonts w:ascii="Times New Roman" w:hAnsi="Times New Roman"/>
          <w:b/>
          <w:i w:val="false"/>
          <w:color w:val="000000"/>
          <w:sz w:val="28"/>
        </w:rPr>
        <w:t>ARC 0552D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general accreditation standards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12, “General Accreditation Standards,”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256.7 and 256.11.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256.11 and 279.80.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Following appellate decisions allowing 2023 Iowa Acts, Senate File 496, to take effect (e.g., </w:t>
      </w:r>
      <w:r>
        <w:rPr>
          <w:rFonts w:ascii="Times New Roman" w:hAnsi="Times New Roman"/>
          <w:b w:val="false"/>
          <w:i/>
          <w:color w:val="000000"/>
          <w:sz w:val="24"/>
        </w:rPr>
        <w:t>Iowa Safe Schools v. Reynolds</w:t>
      </w:r>
      <w:r>
        <w:rPr>
          <w:rFonts w:ascii="Times New Roman" w:hAnsi="Times New Roman"/>
          <w:b w:val="false"/>
          <w:i w:val="false"/>
          <w:color w:val="000000"/>
          <w:sz w:val="24"/>
        </w:rPr>
        <w:t>, 172 F.4th 589 (8th Cir. 2026)), this proposed rulemaking provides further clarity in enforcement.</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9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 xml:space="preserve">Via videoconference: </w:t>
            </w:r>
            <w:hyperlink r:id="rId5">
              <w:r>
                <w:rPr>
                  <w:rStyle w:val="Hyperlink"/>
                  <w:rFonts w:ascii="Times New Roman" w:hAnsi="Times New Roman"/>
                  <w:b w:val="false"/>
                  <w:i w:val="false"/>
                  <w:color w:val="0000ff"/>
                  <w:sz w:val="14"/>
                </w:rPr>
                <w:t>meet.google.com/bqq-inqz-hha</w:t>
              </w:r>
            </w:hyperlink>
            <w:r>
              <w:br/>
            </w:r>
            <w:r>
              <w:rPr>
                <w:rFonts w:ascii="Times New Roman" w:hAnsi="Times New Roman"/>
                <w:b w:val="false"/>
                <w:i w:val="false"/>
                <w:color w:val="000000"/>
                <w:sz w:val="14"/>
              </w:rPr>
              <w:t>By phone: 1.609.438.1406</w:t>
            </w:r>
            <w:r>
              <w:br/>
            </w:r>
            <w:r>
              <w:rPr>
                <w:rFonts w:ascii="Times New Roman" w:hAnsi="Times New Roman"/>
                <w:b w:val="false"/>
                <w:i w:val="false"/>
                <w:color w:val="000000"/>
                <w:sz w:val="14"/>
              </w:rPr>
              <w:t>PIN: 271 490 390#</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subparagraph </w:t>
      </w:r>
      <w:r>
        <w:rPr>
          <w:rFonts w:ascii="Times New Roman" w:hAnsi="Times New Roman"/>
          <w:b/>
          <w:i w:val="false"/>
          <w:color w:val="000000"/>
          <w:sz w:val="24"/>
        </w:rPr>
        <w:t>12.3(10)“c”(5)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 any complaint about library material, a complainant must inform the department of the specific title, the specific page (or means of locating information in nonprint materials), and the nature of the content alleged to be in violation of this paragraph.</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12.3(15)“d”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This subrule applies only to mandatory portions of a district’s curriculum.</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bqq-inqz-hha"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