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549D" w:id="1"/>
    <w:p>
      <w:pPr>
        <w:spacing w:before="0" w:after="0" w:line="480"/>
        <w:ind w:left="120"/>
        <w:jc w:val="right"/>
      </w:pPr>
      <w:r>
        <w:rPr>
          <w:rFonts w:ascii="Times New Roman" w:hAnsi="Times New Roman"/>
          <w:b/>
          <w:i w:val="false"/>
          <w:color w:val="000000"/>
          <w:sz w:val="28"/>
        </w:rPr>
        <w:t>ARC 0549D</w:t>
      </w:r>
    </w:p>
    <w:bookmarkEnd w:id="1"/>
    <w:p>
      <w:pPr>
        <w:pBdr>
          <w:top w:space="5"/>
        </w:pBdr>
        <w:spacing w:before="0" w:after="0" w:line="480"/>
        <w:ind w:left="120"/>
        <w:jc w:val="center"/>
      </w:pPr>
      <w:r>
        <w:rPr>
          <w:rFonts w:ascii="Times New Roman" w:hAnsi="Times New Roman"/>
          <w:b/>
          <w:i w:val="false"/>
          <w:color w:val="000000"/>
          <w:sz w:val="28"/>
        </w:rPr>
        <w:t>INSPECTIONS AND APPEALS DEPARTMENT[481]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electrical installations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Department of Inspections, Appeals, and Licensing hereby proposes to amend Chapter 404, “Electrical Inspection Program,”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 103.6.</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 17A.7.</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amends the rules promulgated by the Department to implement Iowa Code section 17A.7. This implements the adoption by the Electrical Examining Board of the minimum standards set forth in the most current publication of the National Electrical Code (NEC) issued and adopted by the National Fire Protection Association (NFPA). The cost analysis required by Iowa Code section 103.1C as enacted by 2026 Iowa Acts, House File 2800, is published herein, following this Notice.</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July 8,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July 28,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Department for a waiver of the discretionary provisions, if any, pursuant to 7—Chapter 2504.</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comments concerning this proposed rulemaking, which must be received by the Department no later than 4:30 p.m. on September 22,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81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Sheri Howard </w:t>
            </w:r>
            <w:r>
              <w:br/>
            </w:r>
            <w:r>
              <w:rPr>
                <w:rFonts w:ascii="Times New Roman" w:hAnsi="Times New Roman"/>
                <w:b w:val="false"/>
                <w:i w:val="false"/>
                <w:color w:val="000000"/>
                <w:sz w:val="14"/>
              </w:rPr>
              <w:t>Department of Inspections, Appeals, and Licensing</w:t>
            </w:r>
            <w:r>
              <w:br/>
            </w:r>
            <w:r>
              <w:rPr>
                <w:rFonts w:ascii="Times New Roman" w:hAnsi="Times New Roman"/>
                <w:b w:val="false"/>
                <w:i w:val="false"/>
                <w:color w:val="000000"/>
                <w:sz w:val="14"/>
              </w:rPr>
              <w:t>6200 Park Avenue, Suite 100</w:t>
            </w:r>
            <w:r>
              <w:br/>
            </w:r>
            <w:r>
              <w:rPr>
                <w:rFonts w:ascii="Times New Roman" w:hAnsi="Times New Roman"/>
                <w:b w:val="false"/>
                <w:i w:val="false"/>
                <w:color w:val="000000"/>
                <w:sz w:val="14"/>
              </w:rPr>
              <w:t>Des Moines, Iowa 50321</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sheri.howard@dia.iowa.gov</w:t>
              </w:r>
            </w:hyperlink>
            <w:r>
              <w:rPr>
                <w:rFonts w:ascii="Times New Roman" w:hAnsi="Times New Roman"/>
                <w:b w:val="false"/>
                <w:i w:val="false"/>
                <w:color w:val="000000"/>
                <w:sz w:val="14"/>
              </w:rPr>
              <w:t xml:space="preserve"> </w:t>
            </w:r>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No public hearing is scheduled at this time. As provided in Iowa Code section 17A.4(1)“b,” an oral presentation regarding this rulemaking may be demanded by 25 interested persons, a governmental subdivision, the Administrative Rules Review Committee, an agency, or an association having 25 or more members.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481—404.3(103)</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481—404.3</w:t>
      </w:r>
      <w:r>
        <w:rPr>
          <w:rFonts w:ascii="Times New Roman" w:hAnsi="Times New Roman"/>
          <w:b/>
          <w:i w:val="false"/>
          <w:color w:val="000000"/>
          <w:sz w:val="24"/>
        </w:rPr>
        <w:t xml:space="preserve">(103) </w:t>
      </w:r>
      <w:r>
        <w:rPr>
          <w:rFonts w:ascii="Times New Roman" w:hAnsi="Times New Roman"/>
          <w:b/>
          <w:i w:val="false"/>
          <w:color w:val="000000"/>
          <w:sz w:val="24"/>
        </w:rPr>
        <w:t xml:space="preserve">Installation requirements. </w:t>
      </w:r>
      <w:r>
        <w:rPr>
          <w:rFonts w:ascii="Times New Roman" w:hAnsi="Times New Roman"/>
          <w:b w:val="false"/>
          <w:i w:val="false"/>
          <w:color w:val="000000"/>
          <w:sz w:val="24"/>
        </w:rPr>
        <w:t xml:space="preserve">The provisions of the National Electrical Code, </w:t>
      </w:r>
      <w:r>
        <w:rPr>
          <w:rFonts w:ascii="Times New Roman" w:hAnsi="Times New Roman"/>
          <w:b w:val="false"/>
          <w:i w:val="false"/>
          <w:strike/>
          <w:color w:val="000000"/>
          <w:sz w:val="24"/>
        </w:rPr>
        <w:t>2023</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2026</w:t>
      </w:r>
      <w:r>
        <w:rPr>
          <w:rFonts w:ascii="Times New Roman" w:hAnsi="Times New Roman"/>
          <w:b w:val="false"/>
          <w:i w:val="false"/>
          <w:color w:val="000000"/>
          <w:sz w:val="24"/>
        </w:rPr>
        <w:t xml:space="preserve"> edition, published by the National Fire Protection Association, are incorporated herein by reference as the requirements for electrical installations performed by persons subject to licensing and inspection pursuant to Iowa Code chapter </w:t>
      </w:r>
      <w:hyperlink r:id="rId6">
        <w:r>
          <w:rPr>
            <w:rStyle w:val="Hyperlink"/>
            <w:rFonts w:ascii="Times New Roman" w:hAnsi="Times New Roman"/>
            <w:b w:val="false"/>
            <w:i w:val="false"/>
            <w:color w:val="000000"/>
            <w:sz w:val="24"/>
          </w:rPr>
          <w:t>103</w:t>
        </w:r>
      </w:hyperlink>
      <w:r>
        <w:rPr>
          <w:rFonts w:ascii="Times New Roman" w:hAnsi="Times New Roman"/>
          <w:b w:val="false"/>
          <w:i w:val="false"/>
          <w:color w:val="000000"/>
          <w:sz w:val="24"/>
          <w:u w:val="single"/>
        </w:rPr>
        <w:t>.</w:t>
      </w:r>
      <w:r>
        <w:rPr>
          <w:rFonts w:ascii="Times New Roman" w:hAnsi="Times New Roman"/>
          <w:b w:val="false"/>
          <w:i w:val="false"/>
          <w:color w:val="000000"/>
          <w:sz w:val="24"/>
        </w:rPr>
        <w:t xml:space="preserve"> </w:t>
      </w:r>
      <w:r>
        <w:rPr>
          <w:rFonts w:ascii="Times New Roman" w:hAnsi="Times New Roman"/>
          <w:b w:val="false"/>
          <w:i w:val="false"/>
          <w:strike/>
          <w:color w:val="000000"/>
          <w:sz w:val="24"/>
        </w:rPr>
        <w:t>and rules promulgated thereunder, with the following amendments: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strike/>
          <w:color w:val="000000"/>
          <w:sz w:val="24"/>
        </w:rPr>
        <w:t>404.3(1)</w:t>
      </w:r>
      <w:r>
        <w:rPr>
          <w:rFonts w:ascii="Times New Roman" w:hAnsi="Times New Roman"/>
          <w:b w:val="false"/>
          <w:i w:val="false"/>
          <w:strike/>
          <w:color w:val="000000"/>
          <w:sz w:val="24"/>
        </w:rPr>
        <w:t> </w:t>
      </w:r>
      <w:r>
        <w:rPr>
          <w:rFonts w:ascii="Times New Roman" w:hAnsi="Times New Roman"/>
          <w:b w:val="false"/>
          <w:i w:val="false"/>
          <w:strike/>
          <w:color w:val="000000"/>
          <w:sz w:val="24"/>
        </w:rPr>
        <w:t>Delete article 210.8(A), “Dwelling Units,” and insert in lieu thereof the following new section:</w:t>
      </w:r>
    </w:p>
    <w:p>
      <w:pPr>
        <w:spacing w:before="0" w:after="0" w:line="480"/>
        <w:ind w:left="120"/>
        <w:jc w:val="both"/>
      </w:pPr>
      <w:r>
        <w:rPr>
          <w:rFonts w:ascii="Times New Roman" w:hAnsi="Times New Roman"/>
          <w:b w:val="false"/>
          <w:i w:val="false"/>
          <w:strike/>
          <w:color w:val="000000"/>
          <w:sz w:val="24"/>
        </w:rPr>
        <w:t>“210.8(A) Dwelling Units.</w:t>
      </w:r>
      <w:r>
        <w:rPr>
          <w:rFonts w:ascii="Times New Roman" w:hAnsi="Times New Roman"/>
          <w:b w:val="false"/>
          <w:i w:val="false"/>
          <w:color w:val="000000"/>
          <w:sz w:val="24"/>
        </w:rPr>
        <w:t xml:space="preserve"> </w:t>
      </w:r>
    </w:p>
    <w:p>
      <w:pPr>
        <w:spacing w:before="0" w:after="0" w:line="480"/>
        <w:ind w:left="120"/>
        <w:jc w:val="both"/>
      </w:pPr>
      <w:r>
        <w:rPr>
          <w:rFonts w:ascii="Times New Roman" w:hAnsi="Times New Roman"/>
          <w:b w:val="false"/>
          <w:i w:val="false"/>
          <w:strike/>
          <w:color w:val="000000"/>
          <w:sz w:val="24"/>
        </w:rPr>
        <w:t>All 125-volt, 15- and 20-ampere receptacles installed in the following locations and supplied by single-phase branch circuits rated 150 volts or less to ground shall have ground-fault circuit-interrupter protection for personnel: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strike/>
          <w:color w:val="000000"/>
          <w:sz w:val="24"/>
        </w:rPr>
        <w:t>(1)</w:t>
      </w:r>
      <w:r>
        <w:rPr>
          <w:rFonts w:ascii="Times New Roman" w:hAnsi="Times New Roman"/>
          <w:b w:val="false"/>
          <w:i w:val="false"/>
          <w:color w:val="000000"/>
          <w:sz w:val="24"/>
        </w:rPr>
        <w:t>  </w:t>
      </w:r>
      <w:r>
        <w:rPr>
          <w:rFonts w:ascii="Times New Roman" w:hAnsi="Times New Roman"/>
          <w:b w:val="false"/>
          <w:i w:val="false"/>
          <w:strike/>
          <w:color w:val="000000"/>
          <w:sz w:val="24"/>
        </w:rPr>
        <w:t> </w:t>
      </w:r>
      <w:r>
        <w:rPr>
          <w:rFonts w:ascii="Times New Roman" w:hAnsi="Times New Roman"/>
          <w:b w:val="false"/>
          <w:i w:val="false"/>
          <w:strike/>
          <w:color w:val="000000"/>
          <w:sz w:val="24"/>
        </w:rPr>
        <w:t>Bathrooms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strike/>
          <w:color w:val="000000"/>
          <w:sz w:val="24"/>
        </w:rPr>
        <w:t>(2)</w:t>
      </w:r>
      <w:r>
        <w:rPr>
          <w:rFonts w:ascii="Times New Roman" w:hAnsi="Times New Roman"/>
          <w:b w:val="false"/>
          <w:i w:val="false"/>
          <w:color w:val="000000"/>
          <w:sz w:val="24"/>
        </w:rPr>
        <w:t>  </w:t>
      </w:r>
      <w:r>
        <w:rPr>
          <w:rFonts w:ascii="Times New Roman" w:hAnsi="Times New Roman"/>
          <w:b w:val="false"/>
          <w:i w:val="false"/>
          <w:strike/>
          <w:color w:val="000000"/>
          <w:sz w:val="24"/>
        </w:rPr>
        <w:t> </w:t>
      </w:r>
      <w:r>
        <w:rPr>
          <w:rFonts w:ascii="Times New Roman" w:hAnsi="Times New Roman"/>
          <w:b w:val="false"/>
          <w:i w:val="false"/>
          <w:strike/>
          <w:color w:val="000000"/>
          <w:sz w:val="24"/>
        </w:rPr>
        <w:t>Garages and also accessory buildings that have a floor located at or below grade level not intended as habitable rooms and limited to storage areas, work areas, and areas of similar 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strike/>
          <w:color w:val="000000"/>
          <w:sz w:val="24"/>
        </w:rPr>
        <w:t>(3)</w:t>
      </w:r>
      <w:r>
        <w:rPr>
          <w:rFonts w:ascii="Times New Roman" w:hAnsi="Times New Roman"/>
          <w:b w:val="false"/>
          <w:i w:val="false"/>
          <w:color w:val="000000"/>
          <w:sz w:val="24"/>
        </w:rPr>
        <w:t>  </w:t>
      </w:r>
      <w:r>
        <w:rPr>
          <w:rFonts w:ascii="Times New Roman" w:hAnsi="Times New Roman"/>
          <w:b w:val="false"/>
          <w:i w:val="false"/>
          <w:strike/>
          <w:color w:val="000000"/>
          <w:sz w:val="24"/>
        </w:rPr>
        <w:t> </w:t>
      </w:r>
      <w:r>
        <w:rPr>
          <w:rFonts w:ascii="Times New Roman" w:hAnsi="Times New Roman"/>
          <w:b w:val="false"/>
          <w:i w:val="false"/>
          <w:strike/>
          <w:color w:val="000000"/>
          <w:sz w:val="24"/>
        </w:rPr>
        <w:t>Outdoors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strike/>
          <w:color w:val="000000"/>
          <w:sz w:val="24"/>
        </w:rPr>
        <w:t>(4)</w:t>
      </w:r>
      <w:r>
        <w:rPr>
          <w:rFonts w:ascii="Times New Roman" w:hAnsi="Times New Roman"/>
          <w:b w:val="false"/>
          <w:i w:val="false"/>
          <w:color w:val="000000"/>
          <w:sz w:val="24"/>
        </w:rPr>
        <w:t>  </w:t>
      </w:r>
      <w:r>
        <w:rPr>
          <w:rFonts w:ascii="Times New Roman" w:hAnsi="Times New Roman"/>
          <w:b w:val="false"/>
          <w:i w:val="false"/>
          <w:strike/>
          <w:color w:val="000000"/>
          <w:sz w:val="24"/>
        </w:rPr>
        <w:t> </w:t>
      </w:r>
      <w:r>
        <w:rPr>
          <w:rFonts w:ascii="Times New Roman" w:hAnsi="Times New Roman"/>
          <w:b w:val="false"/>
          <w:i w:val="false"/>
          <w:strike/>
          <w:color w:val="000000"/>
          <w:sz w:val="24"/>
        </w:rPr>
        <w:t>Crawl spaces – at or below grade level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strike/>
          <w:color w:val="000000"/>
          <w:sz w:val="24"/>
        </w:rPr>
        <w:t>(5)</w:t>
      </w:r>
      <w:r>
        <w:rPr>
          <w:rFonts w:ascii="Times New Roman" w:hAnsi="Times New Roman"/>
          <w:b w:val="false"/>
          <w:i w:val="false"/>
          <w:color w:val="000000"/>
          <w:sz w:val="24"/>
        </w:rPr>
        <w:t>  </w:t>
      </w:r>
      <w:r>
        <w:rPr>
          <w:rFonts w:ascii="Times New Roman" w:hAnsi="Times New Roman"/>
          <w:b w:val="false"/>
          <w:i w:val="false"/>
          <w:strike/>
          <w:color w:val="000000"/>
          <w:sz w:val="24"/>
        </w:rPr>
        <w:t> </w:t>
      </w:r>
      <w:r>
        <w:rPr>
          <w:rFonts w:ascii="Times New Roman" w:hAnsi="Times New Roman"/>
          <w:b w:val="false"/>
          <w:i w:val="false"/>
          <w:strike/>
          <w:color w:val="000000"/>
          <w:sz w:val="24"/>
        </w:rPr>
        <w:t xml:space="preserve">Basements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strike/>
          <w:color w:val="000000"/>
          <w:sz w:val="24"/>
        </w:rPr>
        <w:t>(6)</w:t>
      </w:r>
      <w:r>
        <w:rPr>
          <w:rFonts w:ascii="Times New Roman" w:hAnsi="Times New Roman"/>
          <w:b w:val="false"/>
          <w:i w:val="false"/>
          <w:color w:val="000000"/>
          <w:sz w:val="24"/>
        </w:rPr>
        <w:t>  </w:t>
      </w:r>
      <w:r>
        <w:rPr>
          <w:rFonts w:ascii="Times New Roman" w:hAnsi="Times New Roman"/>
          <w:b w:val="false"/>
          <w:i w:val="false"/>
          <w:strike/>
          <w:color w:val="000000"/>
          <w:sz w:val="24"/>
        </w:rPr>
        <w:t> </w:t>
      </w:r>
      <w:r>
        <w:rPr>
          <w:rFonts w:ascii="Times New Roman" w:hAnsi="Times New Roman"/>
          <w:b w:val="false"/>
          <w:i w:val="false"/>
          <w:strike/>
          <w:color w:val="000000"/>
          <w:sz w:val="24"/>
        </w:rPr>
        <w:t xml:space="preserve">Kitchens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strike/>
          <w:color w:val="000000"/>
          <w:sz w:val="24"/>
        </w:rPr>
        <w:t>(7)</w:t>
      </w:r>
      <w:r>
        <w:rPr>
          <w:rFonts w:ascii="Times New Roman" w:hAnsi="Times New Roman"/>
          <w:b w:val="false"/>
          <w:i w:val="false"/>
          <w:color w:val="000000"/>
          <w:sz w:val="24"/>
        </w:rPr>
        <w:t>  </w:t>
      </w:r>
      <w:r>
        <w:rPr>
          <w:rFonts w:ascii="Times New Roman" w:hAnsi="Times New Roman"/>
          <w:b w:val="false"/>
          <w:i w:val="false"/>
          <w:strike/>
          <w:color w:val="000000"/>
          <w:sz w:val="24"/>
        </w:rPr>
        <w:t> </w:t>
      </w:r>
      <w:r>
        <w:rPr>
          <w:rFonts w:ascii="Times New Roman" w:hAnsi="Times New Roman"/>
          <w:b w:val="false"/>
          <w:i w:val="false"/>
          <w:strike/>
          <w:color w:val="000000"/>
          <w:sz w:val="24"/>
        </w:rPr>
        <w:t>Areas with sinks and permanent provisions for food preparation, beverage preparation, or cooking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strike/>
          <w:color w:val="000000"/>
          <w:sz w:val="24"/>
        </w:rPr>
        <w:t>(8)</w:t>
      </w:r>
      <w:r>
        <w:rPr>
          <w:rFonts w:ascii="Times New Roman" w:hAnsi="Times New Roman"/>
          <w:b w:val="false"/>
          <w:i w:val="false"/>
          <w:color w:val="000000"/>
          <w:sz w:val="24"/>
        </w:rPr>
        <w:t>  </w:t>
      </w:r>
      <w:r>
        <w:rPr>
          <w:rFonts w:ascii="Times New Roman" w:hAnsi="Times New Roman"/>
          <w:b w:val="false"/>
          <w:i w:val="false"/>
          <w:strike/>
          <w:color w:val="000000"/>
          <w:sz w:val="24"/>
        </w:rPr>
        <w:t> </w:t>
      </w:r>
      <w:r>
        <w:rPr>
          <w:rFonts w:ascii="Times New Roman" w:hAnsi="Times New Roman"/>
          <w:b w:val="false"/>
          <w:i w:val="false"/>
          <w:strike/>
          <w:color w:val="000000"/>
          <w:sz w:val="24"/>
        </w:rPr>
        <w:t xml:space="preserve">Sinks – where receptacles are installed within 1.8 m (6 ft) from the top inside edge of the bowl of the sink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strike/>
          <w:color w:val="000000"/>
          <w:sz w:val="24"/>
        </w:rPr>
        <w:t>(9)</w:t>
      </w:r>
      <w:r>
        <w:rPr>
          <w:rFonts w:ascii="Times New Roman" w:hAnsi="Times New Roman"/>
          <w:b w:val="false"/>
          <w:i w:val="false"/>
          <w:color w:val="000000"/>
          <w:sz w:val="24"/>
        </w:rPr>
        <w:t>  </w:t>
      </w:r>
      <w:r>
        <w:rPr>
          <w:rFonts w:ascii="Times New Roman" w:hAnsi="Times New Roman"/>
          <w:b w:val="false"/>
          <w:i w:val="false"/>
          <w:strike/>
          <w:color w:val="000000"/>
          <w:sz w:val="24"/>
        </w:rPr>
        <w:t> </w:t>
      </w:r>
      <w:r>
        <w:rPr>
          <w:rFonts w:ascii="Times New Roman" w:hAnsi="Times New Roman"/>
          <w:b w:val="false"/>
          <w:i w:val="false"/>
          <w:strike/>
          <w:color w:val="000000"/>
          <w:sz w:val="24"/>
        </w:rPr>
        <w:t xml:space="preserve">Boathouses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strike/>
          <w:color w:val="000000"/>
          <w:sz w:val="24"/>
        </w:rPr>
        <w:t>(10)</w:t>
      </w:r>
      <w:r>
        <w:rPr>
          <w:rFonts w:ascii="Times New Roman" w:hAnsi="Times New Roman"/>
          <w:b w:val="false"/>
          <w:i w:val="false"/>
          <w:color w:val="000000"/>
          <w:sz w:val="24"/>
        </w:rPr>
        <w:t>  </w:t>
      </w:r>
      <w:r>
        <w:rPr>
          <w:rFonts w:ascii="Times New Roman" w:hAnsi="Times New Roman"/>
          <w:b w:val="false"/>
          <w:i w:val="false"/>
          <w:strike/>
          <w:color w:val="000000"/>
          <w:sz w:val="24"/>
        </w:rPr>
        <w:t> </w:t>
      </w:r>
      <w:r>
        <w:rPr>
          <w:rFonts w:ascii="Times New Roman" w:hAnsi="Times New Roman"/>
          <w:b w:val="false"/>
          <w:i w:val="false"/>
          <w:strike/>
          <w:color w:val="000000"/>
          <w:sz w:val="24"/>
        </w:rPr>
        <w:t xml:space="preserve">Bathtubs or shower stalls – where receptacles are installed within 1.8 m (6 ft) of the outside edge of the bathtub or shower stall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strike/>
          <w:color w:val="000000"/>
          <w:sz w:val="24"/>
        </w:rPr>
        <w:t>(11)</w:t>
      </w:r>
      <w:r>
        <w:rPr>
          <w:rFonts w:ascii="Times New Roman" w:hAnsi="Times New Roman"/>
          <w:b w:val="false"/>
          <w:i w:val="false"/>
          <w:color w:val="000000"/>
          <w:sz w:val="24"/>
        </w:rPr>
        <w:t>  </w:t>
      </w:r>
      <w:r>
        <w:rPr>
          <w:rFonts w:ascii="Times New Roman" w:hAnsi="Times New Roman"/>
          <w:b w:val="false"/>
          <w:i w:val="false"/>
          <w:strike/>
          <w:color w:val="000000"/>
          <w:sz w:val="24"/>
        </w:rPr>
        <w:t> </w:t>
      </w:r>
      <w:r>
        <w:rPr>
          <w:rFonts w:ascii="Times New Roman" w:hAnsi="Times New Roman"/>
          <w:b w:val="false"/>
          <w:i w:val="false"/>
          <w:strike/>
          <w:color w:val="000000"/>
          <w:sz w:val="24"/>
        </w:rPr>
        <w:t>Laundry areas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strike/>
          <w:color w:val="000000"/>
          <w:sz w:val="24"/>
        </w:rPr>
        <w:t>(12)</w:t>
      </w:r>
      <w:r>
        <w:rPr>
          <w:rFonts w:ascii="Times New Roman" w:hAnsi="Times New Roman"/>
          <w:b w:val="false"/>
          <w:i w:val="false"/>
          <w:color w:val="000000"/>
          <w:sz w:val="24"/>
        </w:rPr>
        <w:t>  </w:t>
      </w:r>
      <w:r>
        <w:rPr>
          <w:rFonts w:ascii="Times New Roman" w:hAnsi="Times New Roman"/>
          <w:b w:val="false"/>
          <w:i w:val="false"/>
          <w:strike/>
          <w:color w:val="000000"/>
          <w:sz w:val="24"/>
        </w:rPr>
        <w:t> </w:t>
      </w:r>
      <w:r>
        <w:rPr>
          <w:rFonts w:ascii="Times New Roman" w:hAnsi="Times New Roman"/>
          <w:b w:val="false"/>
          <w:i w:val="false"/>
          <w:strike/>
          <w:color w:val="000000"/>
          <w:sz w:val="24"/>
        </w:rPr>
        <w:t>Indoor damp and wet locations.”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strike/>
          <w:color w:val="000000"/>
          <w:sz w:val="24"/>
        </w:rPr>
        <w:t>404.3(2)</w:t>
      </w:r>
      <w:r>
        <w:rPr>
          <w:rFonts w:ascii="Times New Roman" w:hAnsi="Times New Roman"/>
          <w:b w:val="false"/>
          <w:i w:val="false"/>
          <w:strike/>
          <w:color w:val="000000"/>
          <w:sz w:val="24"/>
        </w:rPr>
        <w:t> </w:t>
      </w:r>
      <w:r>
        <w:rPr>
          <w:rFonts w:ascii="Times New Roman" w:hAnsi="Times New Roman"/>
          <w:b w:val="false"/>
          <w:i w:val="false"/>
          <w:strike/>
          <w:color w:val="000000"/>
          <w:sz w:val="24"/>
        </w:rPr>
        <w:t>Delete article 210.8(D), “Specific Appliances,” and insert in lieu thereof the following new section:</w:t>
      </w:r>
    </w:p>
    <w:p>
      <w:pPr>
        <w:spacing w:before="0" w:after="0" w:line="480"/>
        <w:ind w:left="120"/>
        <w:jc w:val="both"/>
      </w:pPr>
      <w:r>
        <w:rPr>
          <w:rFonts w:ascii="Times New Roman" w:hAnsi="Times New Roman"/>
          <w:b w:val="false"/>
          <w:i w:val="false"/>
          <w:strike/>
          <w:color w:val="000000"/>
          <w:sz w:val="24"/>
        </w:rPr>
        <w:t>“210.8(D) Specific Appliances.</w:t>
      </w:r>
    </w:p>
    <w:p>
      <w:pPr>
        <w:spacing w:before="0" w:after="0" w:line="480"/>
        <w:ind w:left="120"/>
        <w:jc w:val="both"/>
      </w:pPr>
      <w:r>
        <w:rPr>
          <w:rFonts w:ascii="Times New Roman" w:hAnsi="Times New Roman"/>
          <w:b w:val="false"/>
          <w:i w:val="false"/>
          <w:strike/>
          <w:color w:val="000000"/>
          <w:sz w:val="24"/>
        </w:rPr>
        <w:t>GFCI protection shall be provided for the branch circuit or outlet supplying the following appliances rated 150 volts or less to ground and 60 amperes or less, single- or 3-phase:</w:t>
      </w:r>
      <w:r>
        <w:rPr>
          <w:rFonts w:ascii="Times New Roman" w:hAnsi="Times New Roman"/>
          <w:b w:val="false"/>
          <w:i w:val="false"/>
          <w:color w:val="000000"/>
          <w:sz w:val="24"/>
        </w:rPr>
        <w:t xml:space="preserv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strike/>
          <w:color w:val="000000"/>
          <w:sz w:val="24"/>
        </w:rPr>
        <w:t>(1)</w:t>
      </w:r>
      <w:r>
        <w:rPr>
          <w:rFonts w:ascii="Times New Roman" w:hAnsi="Times New Roman"/>
          <w:b w:val="false"/>
          <w:i w:val="false"/>
          <w:color w:val="000000"/>
          <w:sz w:val="24"/>
        </w:rPr>
        <w:t>  </w:t>
      </w:r>
      <w:r>
        <w:rPr>
          <w:rFonts w:ascii="Times New Roman" w:hAnsi="Times New Roman"/>
          <w:b w:val="false"/>
          <w:i w:val="false"/>
          <w:strike/>
          <w:color w:val="000000"/>
          <w:sz w:val="24"/>
        </w:rPr>
        <w:t> </w:t>
      </w:r>
      <w:r>
        <w:rPr>
          <w:rFonts w:ascii="Times New Roman" w:hAnsi="Times New Roman"/>
          <w:b w:val="false"/>
          <w:i w:val="false"/>
          <w:strike/>
          <w:color w:val="000000"/>
          <w:sz w:val="24"/>
        </w:rPr>
        <w:t>Automotive vacuum machines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strike/>
          <w:color w:val="000000"/>
          <w:sz w:val="24"/>
        </w:rPr>
        <w:t>(2)</w:t>
      </w:r>
      <w:r>
        <w:rPr>
          <w:rFonts w:ascii="Times New Roman" w:hAnsi="Times New Roman"/>
          <w:b w:val="false"/>
          <w:i w:val="false"/>
          <w:color w:val="000000"/>
          <w:sz w:val="24"/>
        </w:rPr>
        <w:t>  </w:t>
      </w:r>
      <w:r>
        <w:rPr>
          <w:rFonts w:ascii="Times New Roman" w:hAnsi="Times New Roman"/>
          <w:b w:val="false"/>
          <w:i w:val="false"/>
          <w:strike/>
          <w:color w:val="000000"/>
          <w:sz w:val="24"/>
        </w:rPr>
        <w:t> </w:t>
      </w:r>
      <w:r>
        <w:rPr>
          <w:rFonts w:ascii="Times New Roman" w:hAnsi="Times New Roman"/>
          <w:b w:val="false"/>
          <w:i w:val="false"/>
          <w:strike/>
          <w:color w:val="000000"/>
          <w:sz w:val="24"/>
        </w:rPr>
        <w:t>Drinking water coolers and bottle fill stations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strike/>
          <w:color w:val="000000"/>
          <w:sz w:val="24"/>
        </w:rPr>
        <w:t>(3)</w:t>
      </w:r>
      <w:r>
        <w:rPr>
          <w:rFonts w:ascii="Times New Roman" w:hAnsi="Times New Roman"/>
          <w:b w:val="false"/>
          <w:i w:val="false"/>
          <w:color w:val="000000"/>
          <w:sz w:val="24"/>
        </w:rPr>
        <w:t>  </w:t>
      </w:r>
      <w:r>
        <w:rPr>
          <w:rFonts w:ascii="Times New Roman" w:hAnsi="Times New Roman"/>
          <w:b w:val="false"/>
          <w:i w:val="false"/>
          <w:strike/>
          <w:color w:val="000000"/>
          <w:sz w:val="24"/>
        </w:rPr>
        <w:t> </w:t>
      </w:r>
      <w:r>
        <w:rPr>
          <w:rFonts w:ascii="Times New Roman" w:hAnsi="Times New Roman"/>
          <w:b w:val="false"/>
          <w:i w:val="false"/>
          <w:strike/>
          <w:color w:val="000000"/>
          <w:sz w:val="24"/>
        </w:rPr>
        <w:t>High-pressure spray washing machines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strike/>
          <w:color w:val="000000"/>
          <w:sz w:val="24"/>
        </w:rPr>
        <w:t>(4)</w:t>
      </w:r>
      <w:r>
        <w:rPr>
          <w:rFonts w:ascii="Times New Roman" w:hAnsi="Times New Roman"/>
          <w:b w:val="false"/>
          <w:i w:val="false"/>
          <w:color w:val="000000"/>
          <w:sz w:val="24"/>
        </w:rPr>
        <w:t>  </w:t>
      </w:r>
      <w:r>
        <w:rPr>
          <w:rFonts w:ascii="Times New Roman" w:hAnsi="Times New Roman"/>
          <w:b w:val="false"/>
          <w:i w:val="false"/>
          <w:strike/>
          <w:color w:val="000000"/>
          <w:sz w:val="24"/>
        </w:rPr>
        <w:t> </w:t>
      </w:r>
      <w:r>
        <w:rPr>
          <w:rFonts w:ascii="Times New Roman" w:hAnsi="Times New Roman"/>
          <w:b w:val="false"/>
          <w:i w:val="false"/>
          <w:strike/>
          <w:color w:val="000000"/>
          <w:sz w:val="24"/>
        </w:rPr>
        <w:t>Tire inflation machines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strike/>
          <w:color w:val="000000"/>
          <w:sz w:val="24"/>
        </w:rPr>
        <w:t>(5)</w:t>
      </w:r>
      <w:r>
        <w:rPr>
          <w:rFonts w:ascii="Times New Roman" w:hAnsi="Times New Roman"/>
          <w:b w:val="false"/>
          <w:i w:val="false"/>
          <w:color w:val="000000"/>
          <w:sz w:val="24"/>
        </w:rPr>
        <w:t>  </w:t>
      </w:r>
      <w:r>
        <w:rPr>
          <w:rFonts w:ascii="Times New Roman" w:hAnsi="Times New Roman"/>
          <w:b w:val="false"/>
          <w:i w:val="false"/>
          <w:strike/>
          <w:color w:val="000000"/>
          <w:sz w:val="24"/>
        </w:rPr>
        <w:t> </w:t>
      </w:r>
      <w:r>
        <w:rPr>
          <w:rFonts w:ascii="Times New Roman" w:hAnsi="Times New Roman"/>
          <w:b w:val="false"/>
          <w:i w:val="false"/>
          <w:strike/>
          <w:color w:val="000000"/>
          <w:sz w:val="24"/>
        </w:rPr>
        <w:t>Vending machines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strike/>
          <w:color w:val="000000"/>
          <w:sz w:val="24"/>
        </w:rPr>
        <w:t>(6)</w:t>
      </w:r>
      <w:r>
        <w:rPr>
          <w:rFonts w:ascii="Times New Roman" w:hAnsi="Times New Roman"/>
          <w:b w:val="false"/>
          <w:i w:val="false"/>
          <w:color w:val="000000"/>
          <w:sz w:val="24"/>
        </w:rPr>
        <w:t>  </w:t>
      </w:r>
      <w:r>
        <w:rPr>
          <w:rFonts w:ascii="Times New Roman" w:hAnsi="Times New Roman"/>
          <w:b w:val="false"/>
          <w:i w:val="false"/>
          <w:strike/>
          <w:color w:val="000000"/>
          <w:sz w:val="24"/>
        </w:rPr>
        <w:t> </w:t>
      </w:r>
      <w:r>
        <w:rPr>
          <w:rFonts w:ascii="Times New Roman" w:hAnsi="Times New Roman"/>
          <w:b w:val="false"/>
          <w:i w:val="false"/>
          <w:strike/>
          <w:color w:val="000000"/>
          <w:sz w:val="24"/>
        </w:rPr>
        <w:t>Sump pumps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strike/>
          <w:color w:val="000000"/>
          <w:sz w:val="24"/>
        </w:rPr>
        <w:t>(7)</w:t>
      </w:r>
      <w:r>
        <w:rPr>
          <w:rFonts w:ascii="Times New Roman" w:hAnsi="Times New Roman"/>
          <w:b w:val="false"/>
          <w:i w:val="false"/>
          <w:color w:val="000000"/>
          <w:sz w:val="24"/>
        </w:rPr>
        <w:t>  </w:t>
      </w:r>
      <w:r>
        <w:rPr>
          <w:rFonts w:ascii="Times New Roman" w:hAnsi="Times New Roman"/>
          <w:b w:val="false"/>
          <w:i w:val="false"/>
          <w:strike/>
          <w:color w:val="000000"/>
          <w:sz w:val="24"/>
        </w:rPr>
        <w:t> </w:t>
      </w:r>
      <w:r>
        <w:rPr>
          <w:rFonts w:ascii="Times New Roman" w:hAnsi="Times New Roman"/>
          <w:b w:val="false"/>
          <w:i w:val="false"/>
          <w:strike/>
          <w:color w:val="000000"/>
          <w:sz w:val="24"/>
        </w:rPr>
        <w:t>Dishwashers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strike/>
          <w:color w:val="000000"/>
          <w:sz w:val="24"/>
        </w:rPr>
        <w:t>(8)</w:t>
      </w:r>
      <w:r>
        <w:rPr>
          <w:rFonts w:ascii="Times New Roman" w:hAnsi="Times New Roman"/>
          <w:b w:val="false"/>
          <w:i w:val="false"/>
          <w:color w:val="000000"/>
          <w:sz w:val="24"/>
        </w:rPr>
        <w:t>  </w:t>
      </w:r>
      <w:r>
        <w:rPr>
          <w:rFonts w:ascii="Times New Roman" w:hAnsi="Times New Roman"/>
          <w:b w:val="false"/>
          <w:i w:val="false"/>
          <w:strike/>
          <w:color w:val="000000"/>
          <w:sz w:val="24"/>
        </w:rPr>
        <w:t> </w:t>
      </w:r>
      <w:r>
        <w:rPr>
          <w:rFonts w:ascii="Times New Roman" w:hAnsi="Times New Roman"/>
          <w:b w:val="false"/>
          <w:i w:val="false"/>
          <w:strike/>
          <w:color w:val="000000"/>
          <w:sz w:val="24"/>
        </w:rPr>
        <w:t>Microwave ovens.”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strike/>
          <w:color w:val="000000"/>
          <w:sz w:val="24"/>
        </w:rPr>
        <w:t>404.3(3)</w:t>
      </w:r>
      <w:r>
        <w:rPr>
          <w:rFonts w:ascii="Times New Roman" w:hAnsi="Times New Roman"/>
          <w:b w:val="false"/>
          <w:i w:val="false"/>
          <w:strike/>
          <w:color w:val="000000"/>
          <w:sz w:val="24"/>
        </w:rPr>
        <w:t> </w:t>
      </w:r>
      <w:r>
        <w:rPr>
          <w:rFonts w:ascii="Times New Roman" w:hAnsi="Times New Roman"/>
          <w:b w:val="false"/>
          <w:i w:val="false"/>
          <w:strike/>
          <w:color w:val="000000"/>
          <w:sz w:val="24"/>
        </w:rPr>
        <w:t>Delete article 210.8(F), “Outdoor Outlets.”</w:t>
      </w:r>
    </w:p>
    <w:p>
      <w:pPr>
        <w:spacing w:before="0" w:after="0" w:line="240"/>
        <w:ind w:left="120"/>
        <w:jc w:val="both"/>
      </w:pPr>
    </w:p>
    <w:p>
      <w:pPr>
        <w:spacing w:before="0" w:after="0" w:line="480"/>
        <w:ind w:left="120"/>
        <w:jc w:val="left"/>
      </w:pPr>
      <w:bookmarkStart w:name="lastARC" w:id="2"/>
      <w:bookmarkEnd w:id="2"/>
    </w:p>
    <w:sectPr>
      <w:footerReference r:id="rId7"/>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sheri.howard@dia.iowa.gov"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Mode="External" Target="https://www.legis.iowa.gov/docs/ico/chapter/103.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