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48D" w:id="1"/>
    <w:p>
      <w:pPr>
        <w:spacing w:before="0" w:after="0" w:line="480"/>
        <w:ind w:left="120"/>
        <w:jc w:val="right"/>
      </w:pPr>
      <w:r>
        <w:rPr>
          <w:rFonts w:ascii="Times New Roman" w:hAnsi="Times New Roman"/>
          <w:b/>
          <w:i w:val="false"/>
          <w:color w:val="000000"/>
          <w:sz w:val="28"/>
        </w:rPr>
        <w:t>ARC 0548D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small game hunting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proposes to amend Chapter 96, “Small Game Hunting,”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481A.38, 481A.39 and 481A.48.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481A.38, 481A.39 and 481A.48.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96 governs small game hunting by residents and nonresidents in Iowa. Specifically, this chapter regulates small game hunting and sets forth season dates, bag limits, possession limits, shooting hours, areas open to hunting, and transportation requirements.</w:t>
      </w:r>
    </w:p>
    <w:p>
      <w:pPr>
        <w:spacing w:before="0" w:after="0" w:line="480"/>
        <w:ind w:left="120"/>
        <w:jc w:val="both"/>
      </w:pPr>
      <w:r>
        <w:rPr>
          <w:rFonts w:ascii="Times New Roman" w:hAnsi="Times New Roman"/>
          <w:b w:val="false"/>
          <w:i w:val="false"/>
          <w:color w:val="000000"/>
          <w:sz w:val="24"/>
        </w:rPr>
        <w:t>    The proposed rule defines annual nonresident small game hunting license parameters and designates resident-only hunting periods on public lands. In more detail, the proposed rule designates a few blocks of time as resident-only for public lands, namely the opening week of the pheasant season and a four-week block in late fall for rabbit, squirrel, and grouse. Importantly, nonresidents visiting Iowa to hunt small game on private land by themselves or with family or friends will not be impacted by this proposed change. The proposed resident-only portions of the rule will only apply on public lands.</w:t>
      </w:r>
    </w:p>
    <w:p>
      <w:pPr>
        <w:spacing w:before="0" w:after="0" w:line="480"/>
        <w:ind w:left="120"/>
        <w:jc w:val="both"/>
      </w:pPr>
      <w:r>
        <w:rPr>
          <w:rFonts w:ascii="Times New Roman" w:hAnsi="Times New Roman"/>
          <w:b w:val="false"/>
          <w:i w:val="false"/>
          <w:color w:val="000000"/>
          <w:sz w:val="24"/>
        </w:rPr>
        <w:t>    The proposed rule will more evenly distribute small game hunting pressure on public land providing for a safer and more enjoyable experience for resident and nonresident hunters alike. Additionally, a typical nonresident hunter spends five days or fewer hunting small game in Iowa annually. The proposed rule provides for up to 14 days of hunting on an annual nonresident license, with the option to purchase multiple annual licenses. In other words, this proposed change allows nonresident small game hunters to visit and hunt in Iowa for more days than they have historically been able to. Finally, and importantly, the proposed rule does not change the fees for small game hunting licenses for either residents or nonresidents.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As noted above, the proposed rule does not change the fees for small game hunting licenses. No change in license sales is expected from this rulemaking. As noted above, this proposed change allows nonresident small game hunters to visit and hunt in Iowa for more days than they have historically been able to.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comments concerning this proposed rulemaking, which must be received by the Department of Natural Resources (Department) no later than 4:30 p.m. on September 22, 2026. Comments should be directed to:</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Chris Ensminger </w:t>
            </w:r>
            <w:r>
              <w:br/>
            </w:r>
            <w:r>
              <w:rPr>
                <w:rFonts w:ascii="Times New Roman" w:hAnsi="Times New Roman"/>
                <w:b w:val="false"/>
                <w:i w:val="false"/>
                <w:color w:val="000000"/>
                <w:sz w:val="14"/>
              </w:rPr>
              <w:t xml:space="preserve">Iowa Department of Natural Resources </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chris.ensminger@dnr.iowa.gov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of Natural Resources (Department) at </w:t>
      </w:r>
      <w:hyperlink r:id="rId5">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or </w:t>
      </w:r>
      <w:hyperlink r:id="rId6">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515.250.6886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7">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 </w:t>
      </w:r>
      <w:hyperlink r:id="rId8">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515.250.6886 al menos siete días antes del evento.</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22, 2026</w:t>
            </w:r>
            <w:r>
              <w:br/>
            </w:r>
            <w:r>
              <w:rPr>
                <w:rFonts w:ascii="Times New Roman" w:hAnsi="Times New Roman"/>
                <w:b w:val="false"/>
                <w:i w:val="false"/>
                <w:color w:val="000000"/>
                <w:sz w:val="14"/>
              </w:rPr>
              <w:t xml:space="preserve"> 1 to 2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Suite 200</w:t>
            </w:r>
            <w:r>
              <w:br/>
            </w:r>
            <w:r>
              <w:rPr>
                <w:rFonts w:ascii="Times New Roman" w:hAnsi="Times New Roman"/>
                <w:b w:val="false"/>
                <w:i w:val="false"/>
                <w:color w:val="000000"/>
                <w:sz w:val="14"/>
              </w:rPr>
              <w:t xml:space="preserve"> 6200 Park Avenue</w:t>
            </w:r>
            <w:r>
              <w:br/>
            </w:r>
            <w:r>
              <w:rPr>
                <w:rFonts w:ascii="Times New Roman" w:hAnsi="Times New Roman"/>
                <w:b w:val="false"/>
                <w:i w:val="false"/>
                <w:color w:val="000000"/>
                <w:sz w:val="14"/>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 Any persons who intend to attend the hearing and have special requirements, such as those related to hearing or mobility impairments, should contact the Department and advise of specific needs.</w:t>
      </w:r>
    </w:p>
    <w:p>
      <w:pP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at </w:t>
      </w:r>
      <w:hyperlink r:id="rId9">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or </w:t>
      </w:r>
      <w:hyperlink r:id="rId10">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515.250.6886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11">
        <w:r>
          <w:rPr>
            <w:rStyle w:val="Hyperlink"/>
            <w:rFonts w:ascii="Times New Roman" w:hAnsi="Times New Roman"/>
            <w:b w:val="false"/>
            <w:i w:val="false"/>
            <w:color w:val="0000ff"/>
            <w:sz w:val="24"/>
          </w:rPr>
          <w:t>chris.ensminger@dnr.iowa.gov</w:t>
        </w:r>
      </w:hyperlink>
      <w:r>
        <w:rPr>
          <w:rFonts w:ascii="Times New Roman" w:hAnsi="Times New Roman"/>
          <w:b w:val="false"/>
          <w:i w:val="false"/>
          <w:color w:val="000000"/>
          <w:sz w:val="24"/>
        </w:rPr>
        <w:t xml:space="preserve"> o </w:t>
      </w:r>
      <w:hyperlink r:id="rId12">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515.250.6886 al menos siete días antes del evento.</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13">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571—96.10</w:t>
      </w:r>
      <w:r>
        <w:rPr>
          <w:rFonts w:ascii="Times New Roman" w:hAnsi="Times New Roman"/>
          <w:b w:val="false"/>
          <w:i w:val="false"/>
          <w:color w:val="000000"/>
          <w:sz w:val="24"/>
        </w:rPr>
        <w:t>(481A):</w:t>
      </w:r>
    </w:p>
    <w:p>
      <w:pPr>
        <w:spacing w:before="0" w:after="0" w:line="480"/>
        <w:ind w:left="120"/>
        <w:jc w:val="both"/>
      </w:pPr>
      <w:r>
        <w:rPr>
          <w:rFonts w:ascii="Times New Roman" w:hAnsi="Times New Roman"/>
          <w:b/>
          <w:i w:val="false"/>
          <w:color w:val="000000"/>
          <w:sz w:val="24"/>
        </w:rPr>
        <w:t>571—96.10</w:t>
      </w:r>
      <w:r>
        <w:rPr>
          <w:rFonts w:ascii="Times New Roman" w:hAnsi="Times New Roman"/>
          <w:b/>
          <w:i w:val="false"/>
          <w:color w:val="000000"/>
          <w:sz w:val="24"/>
        </w:rPr>
        <w:t xml:space="preserve">(481A) </w:t>
      </w:r>
      <w:r>
        <w:rPr>
          <w:rFonts w:ascii="Times New Roman" w:hAnsi="Times New Roman"/>
          <w:b/>
          <w:i w:val="false"/>
          <w:color w:val="000000"/>
          <w:sz w:val="24"/>
        </w:rPr>
        <w:t xml:space="preserve">Small game hunting by nonresidents.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96.10(1)</w:t>
      </w:r>
      <w:r>
        <w:rPr>
          <w:rFonts w:ascii="Times New Roman" w:hAnsi="Times New Roman"/>
          <w:b w:val="false"/>
          <w:i w:val="false"/>
          <w:color w:val="000000"/>
          <w:sz w:val="24"/>
        </w:rPr>
        <w:t> </w:t>
      </w:r>
      <w:r>
        <w:rPr>
          <w:rFonts w:ascii="Times New Roman" w:hAnsi="Times New Roman"/>
          <w:b w:val="false"/>
          <w:i w:val="false"/>
          <w:color w:val="000000"/>
          <w:sz w:val="24"/>
        </w:rPr>
        <w:t>Small game species for nonresident hunting include pheasant, quail, partridge, grouse, dove, rabbit, and squirrel.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96.10(2)</w:t>
      </w:r>
      <w:r>
        <w:rPr>
          <w:rFonts w:ascii="Times New Roman" w:hAnsi="Times New Roman"/>
          <w:b w:val="false"/>
          <w:i w:val="false"/>
          <w:color w:val="000000"/>
          <w:sz w:val="24"/>
        </w:rPr>
        <w:t> </w:t>
      </w:r>
      <w:r>
        <w:rPr>
          <w:rFonts w:ascii="Times New Roman" w:hAnsi="Times New Roman"/>
          <w:b w:val="false"/>
          <w:i w:val="false"/>
          <w:color w:val="000000"/>
          <w:sz w:val="24"/>
        </w:rPr>
        <w:t>Nonresident small game hunters purchasing a nonresident annual hunting license shall be limited to two 7-day periods totaling not more than 14 days per annual license purchased. Multiple nonresident annual hunting licenses may be purchased.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two seven-day periods must be designated at the time the annual license is purchased and may be consecutive. The seven-day periods must fall within the season dates defined in rules </w:t>
      </w:r>
      <w:hyperlink r:id="rId14">
        <w:r>
          <w:rPr>
            <w:rStyle w:val="Hyperlink"/>
            <w:rFonts w:ascii="Times New Roman" w:hAnsi="Times New Roman"/>
            <w:b w:val="false"/>
            <w:i w:val="false"/>
            <w:color w:val="000000"/>
            <w:sz w:val="24"/>
          </w:rPr>
          <w:t>571—96.1</w:t>
        </w:r>
      </w:hyperlink>
      <w:r>
        <w:rPr>
          <w:rFonts w:ascii="Times New Roman" w:hAnsi="Times New Roman"/>
          <w:b w:val="false"/>
          <w:i w:val="false"/>
          <w:color w:val="000000"/>
          <w:sz w:val="24"/>
        </w:rPr>
        <w:t xml:space="preserve">(481A) through </w:t>
      </w:r>
      <w:hyperlink r:id="rId15">
        <w:r>
          <w:rPr>
            <w:rStyle w:val="Hyperlink"/>
            <w:rFonts w:ascii="Times New Roman" w:hAnsi="Times New Roman"/>
            <w:b w:val="false"/>
            <w:i w:val="false"/>
            <w:color w:val="000000"/>
            <w:sz w:val="24"/>
          </w:rPr>
          <w:t>571—96.4</w:t>
        </w:r>
      </w:hyperlink>
      <w:r>
        <w:rPr>
          <w:rFonts w:ascii="Times New Roman" w:hAnsi="Times New Roman"/>
          <w:b w:val="false"/>
          <w:i w:val="false"/>
          <w:color w:val="000000"/>
          <w:sz w:val="24"/>
        </w:rPr>
        <w:t>(481A) and this rule, except: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Small game hunting by nonresidents is not allowed on public land during the first seven days of the pheasant season as defined in subrule</w:t>
      </w:r>
      <w:hyperlink r:id="rId16">
        <w:r>
          <w:rPr>
            <w:rStyle w:val="Hyperlink"/>
            <w:rFonts w:ascii="Times New Roman" w:hAnsi="Times New Roman"/>
            <w:b w:val="false"/>
            <w:i w:val="false"/>
            <w:color w:val="000000"/>
            <w:sz w:val="24"/>
          </w:rPr>
          <w:t>96.1(1)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Rabbit, squirrel, and grouse hunting by nonresidents is not allowed on public land from the third Saturday in October through the third Saturday in November.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96.10(4)</w:t>
      </w:r>
      <w:r>
        <w:rPr>
          <w:rFonts w:ascii="Times New Roman" w:hAnsi="Times New Roman"/>
          <w:b w:val="false"/>
          <w:i w:val="false"/>
          <w:color w:val="000000"/>
          <w:sz w:val="24"/>
        </w:rPr>
        <w:t> </w:t>
      </w:r>
      <w:r>
        <w:rPr>
          <w:rFonts w:ascii="Times New Roman" w:hAnsi="Times New Roman"/>
          <w:b w:val="false"/>
          <w:i w:val="false"/>
          <w:color w:val="000000"/>
          <w:sz w:val="24"/>
        </w:rPr>
        <w:t>A designated period may be changed prior to the beginning date of the period by contacting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96.10(5)</w:t>
      </w:r>
      <w:r>
        <w:rPr>
          <w:rFonts w:ascii="Times New Roman" w:hAnsi="Times New Roman"/>
          <w:b w:val="false"/>
          <w:i w:val="false"/>
          <w:color w:val="000000"/>
          <w:sz w:val="24"/>
        </w:rPr>
        <w:t> </w:t>
      </w:r>
      <w:r>
        <w:rPr>
          <w:rFonts w:ascii="Times New Roman" w:hAnsi="Times New Roman"/>
          <w:b w:val="false"/>
          <w:i w:val="false"/>
          <w:color w:val="000000"/>
          <w:sz w:val="24"/>
        </w:rPr>
        <w:t>The nonresident five-day hunting license may be purchased independently or in conjunction with a nonresident annual hunting license.</w:t>
      </w:r>
    </w:p>
    <w:p>
      <w:pPr>
        <w:spacing w:before="0" w:after="0" w:line="480"/>
        <w:ind w:left="120"/>
        <w:jc w:val="left"/>
      </w:pPr>
      <w:bookmarkStart w:name="lastARC" w:id="2"/>
      <w:bookmarkEnd w:id="2"/>
    </w:p>
    <w:sectPr>
      <w:footerReference r:id="rId1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hris.ensminger@dnr.iowa.gov" Type="http://schemas.openxmlformats.org/officeDocument/2006/relationships/hyperlink" Id="rId4"/>
    <Relationship TargetMode="External" Target="mailto:chris.ensminger@dnr.iowa.gov" Type="http://schemas.openxmlformats.org/officeDocument/2006/relationships/hyperlink" Id="rId5"/>
    <Relationship TargetMode="External" Target="mailto:civilrights@dnr.iowa.gov" Type="http://schemas.openxmlformats.org/officeDocument/2006/relationships/hyperlink" Id="rId6"/>
    <Relationship TargetMode="External" Target="mailto:chris.ensminger@dnr.iowa.gov" Type="http://schemas.openxmlformats.org/officeDocument/2006/relationships/hyperlink" Id="rId7"/>
    <Relationship TargetMode="External" Target="mailto:civilrights@dnr.iowa.gov" Type="http://schemas.openxmlformats.org/officeDocument/2006/relationships/hyperlink" Id="rId8"/>
    <Relationship TargetMode="External" Target="mailto:chris.ensminger@dnr.iowa.gov" Type="http://schemas.openxmlformats.org/officeDocument/2006/relationships/hyperlink" Id="rId9"/>
    <Relationship TargetMode="External" Target="mailto:civilrights@dnr.iowa.gov" Type="http://schemas.openxmlformats.org/officeDocument/2006/relationships/hyperlink" Id="rId10"/>
    <Relationship TargetMode="External" Target="mailto:chris.ensminger@dnr.iowa.gov" Type="http://schemas.openxmlformats.org/officeDocument/2006/relationships/hyperlink" Id="rId11"/>
    <Relationship TargetMode="External" Target="mailto:civilrights@dnr.iowa.gov" Type="http://schemas.openxmlformats.org/officeDocument/2006/relationships/hyperlink" Id="rId12"/>
    <Relationship TargetMode="External" Target="https://www.legis.iowa.gov/committees/meetings/meetingsListComm?groupID=705&amp;ga=91" Type="http://schemas.openxmlformats.org/officeDocument/2006/relationships/hyperlink" Id="rId13"/>
    <Relationship TargetMode="External" Target="https://www.legis.iowa.gov/docs/iac/rule/571.96.1.pdf" Type="http://schemas.openxmlformats.org/officeDocument/2006/relationships/hyperlink" Id="rId14"/>
    <Relationship TargetMode="External" Target="https://www.legis.iowa.gov/docs/iac/rule/571.96.4.pdf" Type="http://schemas.openxmlformats.org/officeDocument/2006/relationships/hyperlink" Id="rId15"/>
    <Relationship TargetMode="External" Target="https://www.legis.iowa.gov/docs/iac/rule/571.96.1.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