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7D" w:id="1"/>
    <w:p>
      <w:pPr>
        <w:spacing w:before="0" w:after="0" w:line="480"/>
        <w:ind w:left="120"/>
        <w:jc w:val="right"/>
      </w:pPr>
      <w:r>
        <w:rPr>
          <w:rFonts w:ascii="Times New Roman" w:hAnsi="Times New Roman"/>
          <w:b/>
          <w:i w:val="false"/>
          <w:color w:val="000000"/>
          <w:sz w:val="28"/>
        </w:rPr>
        <w:t>ARC 0547D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special education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41, “Special Education,”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256.7 and 256B.3.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256B and 34 CFR Part 300.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These proposed technical corrections provide additional support for students with disabilities who are placed outside of their building or district of residence.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9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 xml:space="preserve">Via videoconference: </w:t>
            </w:r>
            <w:hyperlink r:id="rId5">
              <w:r>
                <w:rPr>
                  <w:rStyle w:val="Hyperlink"/>
                  <w:rFonts w:ascii="Times New Roman" w:hAnsi="Times New Roman"/>
                  <w:b w:val="false"/>
                  <w:i w:val="false"/>
                  <w:color w:val="0000ff"/>
                  <w:sz w:val="14"/>
                </w:rPr>
                <w:t>meet.google.com/bqq-inqz-hha</w:t>
              </w:r>
            </w:hyperlink>
            <w:r>
              <w:br/>
            </w:r>
            <w:r>
              <w:rPr>
                <w:rFonts w:ascii="Times New Roman" w:hAnsi="Times New Roman"/>
                <w:b w:val="false"/>
                <w:i w:val="false"/>
                <w:color w:val="000000"/>
                <w:sz w:val="14"/>
              </w:rPr>
              <w:t>By phone at 1.609.438.1406</w:t>
            </w:r>
            <w:r>
              <w:br/>
            </w:r>
            <w:r>
              <w:rPr>
                <w:rFonts w:ascii="Times New Roman" w:hAnsi="Times New Roman"/>
                <w:b w:val="false"/>
                <w:i w:val="false"/>
                <w:color w:val="000000"/>
                <w:sz w:val="14"/>
              </w:rPr>
              <w:t>PIN: 271 490 390#</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41.116(4)“b”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Additional questions concerning special school placement. </w:t>
      </w:r>
      <w:r>
        <w:rPr>
          <w:rFonts w:ascii="Times New Roman" w:hAnsi="Times New Roman"/>
          <w:b w:val="false"/>
          <w:i w:val="false"/>
          <w:color w:val="000000"/>
          <w:sz w:val="24"/>
        </w:rPr>
        <w:t>When some or all of an eligible individual’s special education is to be provided in a special school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(which, for purposes of this rule, is defined as an educational environment for students with disabilities, including anything labeled as a special school, special program, or separate location, outside of the public school building that the child would otherwise attend)</w:t>
      </w:r>
      <w:r>
        <w:rPr>
          <w:rFonts w:ascii="Times New Roman" w:hAnsi="Times New Roman"/>
          <w:b w:val="false"/>
          <w:i w:val="false"/>
          <w:color w:val="000000"/>
          <w:sz w:val="24"/>
        </w:rPr>
        <w:t>, the individual’s IEP, or an associated or attached document, shall include specific answers to the following additional four questions: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41.903(2)“a”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Ensuring that all the requirements related to the development of each eligible individual’s IEP are met</w:t>
      </w:r>
      <w:r>
        <w:rPr>
          <w:rFonts w:ascii="Times New Roman" w:hAnsi="Times New Roman"/>
          <w:b w:val="false"/>
          <w:i w:val="false"/>
          <w:color w:val="000000"/>
          <w:sz w:val="24"/>
          <w:u w:val="single"/>
        </w:rPr>
        <w:t>, including attending or otherwise participating in each eligible individual’s IEP team meetings</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bqq-inqz-hha"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