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5D" w:id="1"/>
    <w:p>
      <w:pPr>
        <w:spacing w:before="0" w:after="0" w:line="480"/>
        <w:ind w:left="120"/>
        <w:jc w:val="right"/>
      </w:pPr>
      <w:r>
        <w:rPr>
          <w:rFonts w:ascii="Times New Roman" w:hAnsi="Times New Roman"/>
          <w:b/>
          <w:i w:val="false"/>
          <w:color w:val="000000"/>
          <w:sz w:val="28"/>
        </w:rPr>
        <w:t>ARC 0535D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minimum standards for law enforcement and </w:t>
      </w:r>
      <w:r>
        <w:br/>
      </w:r>
      <w:r>
        <w:rPr>
          <w:rFonts w:ascii="Times New Roman" w:hAnsi="Times New Roman"/>
          <w:b/>
          <w:i w:val="false"/>
          <w:color w:val="000000"/>
          <w:sz w:val="24"/>
        </w:rPr>
        <w:t>reserve officers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2, “Minimum Standards for Iowa Law Enforcement Officers,” and to adopt a new Chapter 2, “Minimum Standards for Law Enforcement and Reserve Officers,”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2 consolidates prior 501—Chapter 10 and describes the minimum standards that all law enforcement officers and reserve officers must meet before serving in a law enforcement capacity, as well as the hiring standards for certified officers with a break in law enforcement service or a change in level of service.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public comments were received. After discussion with a panel of psychologists who perform psychological evaluations of law enforcement candidates, paragraph 2.2(3)“c” was updated to require a clinical interview and paragraph 2.2(3)“f” was updated to clarify that a hiring authority and not an applicant may request a second opinion on a psychological evaluation. After discussion with the panel of psychologists, paragraph 2.5(2)“b” was updated to clarify the evaluation is a psychological test.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29,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8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29,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us06web.zoom.us/j/81460009795</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29,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at: 7105 NW 70th Avenue </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us06web.zoom.us/j/89108465173</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MINIMUM STANDARDS FOR LAW ENFORCEMENT AND RESERVE OFFICERS</w:t>
      </w:r>
    </w:p>
    <w:p>
      <w:pPr>
        <w:spacing w:before="0" w:after="0" w:line="480"/>
        <w:ind w:left="120"/>
        <w:jc w:val="both"/>
      </w:pPr>
      <w:r>
        <w:rPr>
          <w:rFonts w:ascii="Times New Roman" w:hAnsi="Times New Roman"/>
          <w:b/>
          <w:i w:val="false"/>
          <w:color w:val="000000"/>
          <w:sz w:val="24"/>
        </w:rPr>
        <w:t>501—2.1</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hiring standards for non-Iowa certified law enforcement and reserve applicants. </w:t>
      </w:r>
      <w:r>
        <w:rPr>
          <w:rFonts w:ascii="Times New Roman" w:hAnsi="Times New Roman"/>
          <w:b w:val="false"/>
          <w:i w:val="false"/>
          <w:color w:val="000000"/>
          <w:sz w:val="24"/>
        </w:rPr>
        <w:t>All non-Iowa certified law enforcement and reserve applicants must meet the following minimum standards before serving in a law enforcement capacity or attending a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w:t>
      </w:r>
      <w:r>
        <w:rPr>
          <w:rFonts w:ascii="Times New Roman" w:hAnsi="Times New Roman"/>
          <w:b w:val="false"/>
          <w:i w:val="false"/>
          <w:color w:val="000000"/>
          <w:sz w:val="24"/>
        </w:rPr>
        <w:t> </w:t>
      </w:r>
      <w:r>
        <w:rPr>
          <w:rFonts w:ascii="Times New Roman" w:hAnsi="Times New Roman"/>
          <w:b w:val="false"/>
          <w:i w:val="false"/>
          <w:color w:val="000000"/>
          <w:sz w:val="24"/>
        </w:rPr>
        <w:t>Be a United States citizen.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w:t>
      </w:r>
      <w:r>
        <w:rPr>
          <w:rFonts w:ascii="Times New Roman" w:hAnsi="Times New Roman"/>
          <w:b w:val="false"/>
          <w:i w:val="false"/>
          <w:color w:val="000000"/>
          <w:sz w:val="24"/>
        </w:rPr>
        <w:t> </w:t>
      </w:r>
      <w:r>
        <w:rPr>
          <w:rFonts w:ascii="Times New Roman" w:hAnsi="Times New Roman"/>
          <w:b w:val="false"/>
          <w:i w:val="false"/>
          <w:color w:val="000000"/>
          <w:sz w:val="24"/>
        </w:rPr>
        <w:t xml:space="preserve">Be 18 years of 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w:t>
      </w:r>
      <w:r>
        <w:rPr>
          <w:rFonts w:ascii="Times New Roman" w:hAnsi="Times New Roman"/>
          <w:b w:val="false"/>
          <w:i w:val="false"/>
          <w:color w:val="000000"/>
          <w:sz w:val="24"/>
        </w:rPr>
        <w:t> </w:t>
      </w:r>
      <w:r>
        <w:rPr>
          <w:rFonts w:ascii="Times New Roman" w:hAnsi="Times New Roman"/>
          <w:b w:val="false"/>
          <w:i w:val="false"/>
          <w:color w:val="000000"/>
          <w:sz w:val="24"/>
        </w:rPr>
        <w:t xml:space="preserve">Hold a valid driver’s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w:t>
      </w:r>
      <w:r>
        <w:rPr>
          <w:rFonts w:ascii="Times New Roman" w:hAnsi="Times New Roman"/>
          <w:b w:val="false"/>
          <w:i w:val="false"/>
          <w:color w:val="000000"/>
          <w:sz w:val="24"/>
        </w:rPr>
        <w:t> </w:t>
      </w:r>
      <w:r>
        <w:rPr>
          <w:rFonts w:ascii="Times New Roman" w:hAnsi="Times New Roman"/>
          <w:b w:val="false"/>
          <w:i w:val="false"/>
          <w:color w:val="000000"/>
          <w:sz w:val="24"/>
        </w:rPr>
        <w:t>Not be addicted to drugs or alcohol. An individual who has been convicted of a crime involving drugs or alcohol within two years or who has been charged more than once of operating a motor vehicle while intoxicated (OWI) does not meet this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the background investigation approved by the academy. A person is not of good moral character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Legally prohibited from possessing a firearm.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Convicted or adjudicated delinquent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sex offense or any offense that could result in placement on the sex offender registry;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offense in which a dangerous or offensive weapon was used in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Convicted of a serious misdemeanor, or higher, that caused physical or emotional harm to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Convicted of possessing with the intent to deliver or manufacture, delivering, or manufacturing a controlled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Convicted of a crime involving dishonesty. This provision excludes convictions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Purchasing or possessing alcohol or tobacco while underage;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Unlawfully possessing or controlling a driver’s license or nonoperator ID card while under 21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Charged with a felony regardless of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Engaged in any act of domestic violence or other domestic abuse, including other offenses or lesser included offenses stemming from domestic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Engaged in any act involving threats, harassment, or stalking of another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Placed on the child or dependent adult abuse registries.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w:t>
      </w:r>
      <w:r>
        <w:rPr>
          <w:rFonts w:ascii="Times New Roman" w:hAnsi="Times New Roman"/>
          <w:b w:val="false"/>
          <w:i w:val="false"/>
          <w:color w:val="000000"/>
          <w:sz w:val="24"/>
        </w:rPr>
        <w:t> </w:t>
      </w:r>
      <w:r>
        <w:rPr>
          <w:rFonts w:ascii="Times New Roman" w:hAnsi="Times New Roman"/>
          <w:b w:val="false"/>
          <w:i w:val="false"/>
          <w:color w:val="000000"/>
          <w:sz w:val="24"/>
        </w:rPr>
        <w:t>Be free of personal conscience or belief that would oppose the use of reasonable force, including deadly force, when necessary for law enforcement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w:t>
      </w:r>
      <w:r>
        <w:rPr>
          <w:rFonts w:ascii="Times New Roman" w:hAnsi="Times New Roman"/>
          <w:b w:val="false"/>
          <w:i w:val="false"/>
          <w:color w:val="000000"/>
          <w:sz w:val="24"/>
        </w:rPr>
        <w:t> </w:t>
      </w:r>
      <w:r>
        <w:rPr>
          <w:rFonts w:ascii="Times New Roman" w:hAnsi="Times New Roman"/>
          <w:b w:val="false"/>
          <w:i w:val="false"/>
          <w:color w:val="000000"/>
          <w:sz w:val="24"/>
        </w:rPr>
        <w:t xml:space="preserve">Be eligible to secure a professional permit to possess a firearm.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2.1(8)</w:t>
      </w:r>
      <w:r>
        <w:rPr>
          <w:rFonts w:ascii="Times New Roman" w:hAnsi="Times New Roman"/>
          <w:b w:val="false"/>
          <w:i w:val="false"/>
          <w:color w:val="000000"/>
          <w:sz w:val="24"/>
        </w:rPr>
        <w:t> </w:t>
      </w:r>
      <w:r>
        <w:rPr>
          <w:rFonts w:ascii="Times New Roman" w:hAnsi="Times New Roman"/>
          <w:b w:val="false"/>
          <w:i w:val="false"/>
          <w:color w:val="000000"/>
          <w:sz w:val="24"/>
        </w:rPr>
        <w:t>Possess a high school diploma, general education development (GED), high school equivalency diploma (HSED), or a home school certificate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2.1(9)</w:t>
      </w:r>
      <w:r>
        <w:rPr>
          <w:rFonts w:ascii="Times New Roman" w:hAnsi="Times New Roman"/>
          <w:b w:val="false"/>
          <w:i w:val="false"/>
          <w:color w:val="000000"/>
          <w:sz w:val="24"/>
        </w:rPr>
        <w:t> </w:t>
      </w:r>
      <w:r>
        <w:rPr>
          <w:rFonts w:ascii="Times New Roman" w:hAnsi="Times New Roman"/>
          <w:b w:val="false"/>
          <w:i w:val="false"/>
          <w:color w:val="000000"/>
          <w:sz w:val="24"/>
        </w:rPr>
        <w:t xml:space="preserve">Have vision of, or corrected to, 20/20 and pass a color vision test without the aid of color corrective lenses as determined by a qualified licensed provider. As determined through testing, individuals with anomalous trichromatism or monochromasy color vision are not eligible to be hired as law enforcement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2.1(10)</w:t>
      </w:r>
      <w:r>
        <w:rPr>
          <w:rFonts w:ascii="Times New Roman" w:hAnsi="Times New Roman"/>
          <w:b w:val="false"/>
          <w:i w:val="false"/>
          <w:color w:val="000000"/>
          <w:sz w:val="24"/>
        </w:rPr>
        <w:t> </w:t>
      </w:r>
      <w:r>
        <w:rPr>
          <w:rFonts w:ascii="Times New Roman" w:hAnsi="Times New Roman"/>
          <w:b w:val="false"/>
          <w:i w:val="false"/>
          <w:color w:val="000000"/>
          <w:sz w:val="24"/>
        </w:rPr>
        <w:t xml:space="preserve">Have normal hearing, or aided hearing that meets the hearing standard, in each ear as determined by a qualified licensed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Normal hearing. </w:t>
      </w:r>
      <w:r>
        <w:rPr>
          <w:rFonts w:ascii="Times New Roman" w:hAnsi="Times New Roman"/>
          <w:b w:val="false"/>
          <w:i w:val="false"/>
          <w:color w:val="000000"/>
          <w:sz w:val="24"/>
        </w:rPr>
        <w:t xml:space="preserve">Hearing is normal when, tested by an audiometer, hearing sensitivity thresholds are within 25 dB measured at 500 Hz, 1,000 Hz, 2,000 Hz and 3,000 Hz averaged together.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Aided hearing. </w:t>
      </w:r>
      <w:r>
        <w:rPr>
          <w:rFonts w:ascii="Times New Roman" w:hAnsi="Times New Roman"/>
          <w:b w:val="false"/>
          <w:i w:val="false"/>
          <w:color w:val="000000"/>
          <w:sz w:val="24"/>
        </w:rPr>
        <w:t>An individual who fails to meet the hearing standard will have an evaluation by a qualified licensed provider to determine if the individual meets the hearing standard with the use of a prescribed hearing aid. The hearing standard is met if the individual demonstrates pure tone average of 25 dB hearing loss aided and is determined to have acceptable functional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2.1(11)</w:t>
      </w:r>
      <w:r>
        <w:rPr>
          <w:rFonts w:ascii="Times New Roman" w:hAnsi="Times New Roman"/>
          <w:b w:val="false"/>
          <w:i w:val="false"/>
          <w:color w:val="000000"/>
          <w:sz w:val="24"/>
        </w:rPr>
        <w:t> </w:t>
      </w:r>
      <w:r>
        <w:rPr>
          <w:rFonts w:ascii="Times New Roman" w:hAnsi="Times New Roman"/>
          <w:b w:val="false"/>
          <w:i w:val="false"/>
          <w:color w:val="000000"/>
          <w:sz w:val="24"/>
        </w:rPr>
        <w:t>Have not had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revocation or suspension of a certification or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Any action taken impacting a certification 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Denial of a path to certification or license;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Dismissal from a basic training program due to a violation of the program handbook or an academic or skill failure.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2.1(12)</w:t>
      </w:r>
      <w:r>
        <w:rPr>
          <w:rFonts w:ascii="Times New Roman" w:hAnsi="Times New Roman"/>
          <w:b w:val="false"/>
          <w:i w:val="false"/>
          <w:color w:val="000000"/>
          <w:sz w:val="24"/>
        </w:rPr>
        <w:t> </w:t>
      </w:r>
      <w:r>
        <w:rPr>
          <w:rFonts w:ascii="Times New Roman" w:hAnsi="Times New Roman"/>
          <w:b w:val="false"/>
          <w:i w:val="false"/>
          <w:color w:val="000000"/>
          <w:sz w:val="24"/>
        </w:rPr>
        <w:t>Have not been charged with any criminal offense while certified or licensed as a law enforcement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of physical fitness, cognitive, and psychological testing for non-Iowa certified law enforcement and reserve applicants. </w:t>
      </w:r>
      <w:r>
        <w:rPr>
          <w:rFonts w:ascii="Times New Roman" w:hAnsi="Times New Roman"/>
          <w:b w:val="false"/>
          <w:i w:val="false"/>
          <w:color w:val="000000"/>
          <w:sz w:val="24"/>
        </w:rPr>
        <w:t>All non-Iowa certified law enforcement and reserve applicants must meet the following minimum testing standards before serving in a law enforcement capacity or attending a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w:t>
      </w:r>
      <w:r>
        <w:rPr>
          <w:rFonts w:ascii="Times New Roman" w:hAnsi="Times New Roman"/>
          <w:b w:val="false"/>
          <w:i w:val="false"/>
          <w:color w:val="000000"/>
          <w:sz w:val="24"/>
        </w:rPr>
        <w:t> </w:t>
      </w:r>
      <w:r>
        <w:rPr>
          <w:rFonts w:ascii="Times New Roman" w:hAnsi="Times New Roman"/>
          <w:b w:val="false"/>
          <w:i w:val="false"/>
          <w:color w:val="000000"/>
          <w:sz w:val="24"/>
        </w:rPr>
        <w:t>Physical fitness. Achieve a passing score on a physical fitness test approved by the council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w:t>
      </w:r>
      <w:r>
        <w:rPr>
          <w:rFonts w:ascii="Times New Roman" w:hAnsi="Times New Roman"/>
          <w:b w:val="false"/>
          <w:i w:val="false"/>
          <w:color w:val="000000"/>
          <w:sz w:val="24"/>
        </w:rPr>
        <w:t> </w:t>
      </w:r>
      <w:r>
        <w:rPr>
          <w:rFonts w:ascii="Times New Roman" w:hAnsi="Times New Roman"/>
          <w:b w:val="false"/>
          <w:i w:val="false"/>
          <w:color w:val="000000"/>
          <w:sz w:val="24"/>
        </w:rPr>
        <w:t>Cognitive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Achieve a validated, passing score on a cognitive test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cognitive test is administered by an approved academy proctor or by the academy consistent with the testing protocols detailed by the cognitive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cognitive test score is valid for one year from the date of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w:t>
      </w:r>
      <w:r>
        <w:rPr>
          <w:rFonts w:ascii="Times New Roman" w:hAnsi="Times New Roman"/>
          <w:b w:val="false"/>
          <w:i w:val="false"/>
          <w:color w:val="000000"/>
          <w:sz w:val="24"/>
        </w:rPr>
        <w:t> </w:t>
      </w:r>
      <w:r>
        <w:rPr>
          <w:rFonts w:ascii="Times New Roman" w:hAnsi="Times New Roman"/>
          <w:b w:val="false"/>
          <w:i w:val="false"/>
          <w:color w:val="000000"/>
          <w:sz w:val="24"/>
        </w:rPr>
        <w:t>Psychological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determined to be psychologically suitable based on a psychological test approved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Tests will be ordered through the academy and the orders forwarded to an approved psychologist selected by the agency.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psychologist will review the background investigation, the score report, and any prior evaluations and will complete a clinical interview.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psychologist will return the clinic results form and evaluation directly to the academy.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psychological test outcome specific to a position as a law enforcement or reserve officer stands for one year from the date of testing unless stated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hiring authority may request one second opinion from a psychological test. To be valid, the second opinion will be provided by an approved psychologist who has reviewed the background investigation, the score report, any prior evaluations, and the report from which the second opinion is requested.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501—2.3</w:t>
      </w:r>
      <w:r>
        <w:rPr>
          <w:rFonts w:ascii="Times New Roman" w:hAnsi="Times New Roman"/>
          <w:b/>
          <w:i w:val="false"/>
          <w:color w:val="000000"/>
          <w:sz w:val="24"/>
        </w:rPr>
        <w:t xml:space="preserve">(80B,80D) </w:t>
      </w:r>
      <w:r>
        <w:rPr>
          <w:rFonts w:ascii="Times New Roman" w:hAnsi="Times New Roman"/>
          <w:b/>
          <w:i w:val="false"/>
          <w:color w:val="000000"/>
          <w:sz w:val="24"/>
        </w:rPr>
        <w:t xml:space="preserve">Psychologist approval and test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2.3(1)</w:t>
      </w:r>
      <w:r>
        <w:rPr>
          <w:rFonts w:ascii="Times New Roman" w:hAnsi="Times New Roman"/>
          <w:b w:val="false"/>
          <w:i w:val="false"/>
          <w:color w:val="000000"/>
          <w:sz w:val="24"/>
        </w:rPr>
        <w:t> </w:t>
      </w:r>
      <w:r>
        <w:rPr>
          <w:rFonts w:ascii="Times New Roman" w:hAnsi="Times New Roman"/>
          <w:b w:val="false"/>
          <w:i w:val="false"/>
          <w:color w:val="000000"/>
          <w:sz w:val="24"/>
        </w:rPr>
        <w:t>Approval process for psychologists.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psychologist will submit the academy’s application for approval providing evidence of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valid Iowa license to practice psychology and at least five full-time years of experience in the diagnosis and treatment of emotional and mental disorders, including three full-time years of post-doctoral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Approval as a qualified user by the assessment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Competence to conduct pre-employment psychological screenings of officers consistent with the guidelines set forth in the police psychological services section of the international association of chiefs of police.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maintain approval, a psychologist will complete at least eight hours of continuing education annually related to pre-employment officer psychological evaluations and provide verification to the academy upon request. Psychologists may choose from activities approved by the academy or traditional continuing education, with at least 40 percent of the hours completed through nontraditional continuing educational programming.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2.3(2)</w:t>
      </w:r>
      <w:r>
        <w:rPr>
          <w:rFonts w:ascii="Times New Roman" w:hAnsi="Times New Roman"/>
          <w:b w:val="false"/>
          <w:i w:val="false"/>
          <w:color w:val="000000"/>
          <w:sz w:val="24"/>
        </w:rPr>
        <w:t> </w:t>
      </w:r>
      <w:r>
        <w:rPr>
          <w:rFonts w:ascii="Times New Roman" w:hAnsi="Times New Roman"/>
          <w:b w:val="false"/>
          <w:i w:val="false"/>
          <w:color w:val="000000"/>
          <w:sz w:val="24"/>
        </w:rPr>
        <w:t>Test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academy will have prescheduled cognitive and psychological testing dates. Nonscheduled testing may also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Cognitive or psychological test results will be provided by the academy to a hiring authority upon request as long as the applicant is not the hiring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2.3(3)</w:t>
      </w:r>
      <w:r>
        <w:rPr>
          <w:rFonts w:ascii="Times New Roman" w:hAnsi="Times New Roman"/>
          <w:b w:val="false"/>
          <w:i w:val="false"/>
          <w:color w:val="000000"/>
          <w:sz w:val="24"/>
        </w:rPr>
        <w:t> </w:t>
      </w:r>
      <w:r>
        <w:rPr>
          <w:rFonts w:ascii="Times New Roman" w:hAnsi="Times New Roman"/>
          <w:b w:val="false"/>
          <w:i w:val="false"/>
          <w:color w:val="000000"/>
          <w:sz w:val="24"/>
        </w:rPr>
        <w:t>Cost of tests. The academy will establish and post fee schedules for testing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2.3(4)</w:t>
      </w:r>
      <w:r>
        <w:rPr>
          <w:rFonts w:ascii="Times New Roman" w:hAnsi="Times New Roman"/>
          <w:b w:val="false"/>
          <w:i w:val="false"/>
          <w:color w:val="000000"/>
          <w:sz w:val="24"/>
        </w:rPr>
        <w:t> </w:t>
      </w:r>
      <w:r>
        <w:rPr>
          <w:rFonts w:ascii="Times New Roman" w:hAnsi="Times New Roman"/>
          <w:b w:val="false"/>
          <w:i w:val="false"/>
          <w:color w:val="000000"/>
          <w:sz w:val="24"/>
        </w:rPr>
        <w:t>Test integrity.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issues related to testing integrity must be immediately reported to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Test integrity violations will result in the invalidation of scores, the revocation of proctor status, and the revocation of academy approval for test administration.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501—2.4</w:t>
      </w:r>
      <w:r>
        <w:rPr>
          <w:rFonts w:ascii="Times New Roman" w:hAnsi="Times New Roman"/>
          <w:b/>
          <w:i w:val="false"/>
          <w:color w:val="000000"/>
          <w:sz w:val="24"/>
        </w:rPr>
        <w:t xml:space="preserve">(80B,80D) </w:t>
      </w:r>
      <w:r>
        <w:rPr>
          <w:rFonts w:ascii="Times New Roman" w:hAnsi="Times New Roman"/>
          <w:b/>
          <w:i w:val="false"/>
          <w:color w:val="000000"/>
          <w:sz w:val="24"/>
        </w:rPr>
        <w:t xml:space="preserve">Status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color w:val="000000"/>
          <w:sz w:val="24"/>
        </w:rPr>
        <w:t xml:space="preserve">Report of hire. </w:t>
      </w:r>
      <w:r>
        <w:rPr>
          <w:rFonts w:ascii="Times New Roman" w:hAnsi="Times New Roman"/>
          <w:b w:val="false"/>
          <w:i w:val="false"/>
          <w:color w:val="000000"/>
          <w:sz w:val="24"/>
        </w:rPr>
        <w:t>The academy will be provided with a fully completed report of hire once all requirements have been met. Upon receipt of the signed attestation, the hiring authority will be notified if the hire meets minimum hiring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Consistent with Iowa Code chapter </w:t>
      </w:r>
      <w:hyperlink r:id="rId14">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and section </w:t>
      </w:r>
      <w:hyperlink r:id="rId15">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academy will be provided with a fully completed notice of election prior to a sheriff taking office. Upon confirmation by the academy that minimum standards have been met, the sheriff will be notified that the sheriff’s Iowa peace officer certification is approved for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2.4(3)</w:t>
      </w:r>
      <w:r>
        <w:rPr>
          <w:rFonts w:ascii="Times New Roman" w:hAnsi="Times New Roman"/>
          <w:b w:val="false"/>
          <w:i w:val="false"/>
          <w:color w:val="000000"/>
          <w:sz w:val="24"/>
        </w:rPr>
        <w:t> </w:t>
      </w:r>
      <w:r>
        <w:rPr>
          <w:rFonts w:ascii="Times New Roman" w:hAnsi="Times New Roman"/>
          <w:b w:val="false"/>
          <w:i/>
          <w:color w:val="000000"/>
          <w:sz w:val="24"/>
        </w:rPr>
        <w:t xml:space="preserve">Separation. </w:t>
      </w:r>
      <w:r>
        <w:rPr>
          <w:rFonts w:ascii="Times New Roman" w:hAnsi="Times New Roman"/>
          <w:b w:val="false"/>
          <w:i w:val="false"/>
          <w:color w:val="000000"/>
          <w:sz w:val="24"/>
        </w:rPr>
        <w:t>The academy will be provided with the approved form within ten days of separation.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80B.13A(4)</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501—2.5</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hiring standards for an individual with an Iowa law enforcement or reserve certification. </w:t>
      </w:r>
      <w:r>
        <w:rPr>
          <w:rFonts w:ascii="Times New Roman" w:hAnsi="Times New Roman"/>
          <w:b w:val="false"/>
          <w:i w:val="false"/>
          <w:color w:val="000000"/>
          <w:sz w:val="24"/>
        </w:rPr>
        <w:t>An individual with an Iowa law enforcement or reserve certification must meet the following minimum standards before using the individual’s certification when moving to a new or additional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2.5(1)</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180 days or less, complete a timely report of hire attesting there has not been a break in service of more than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2.5(2)</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more than 180 days but less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of good moral character as determined by a background investigation approved by the academy;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 psychological test consistent with the protocols detailed in rule </w:t>
      </w:r>
      <w:hyperlink r:id="rId20">
        <w:r>
          <w:rPr>
            <w:rStyle w:val="Hyperlink"/>
            <w:rFonts w:ascii="Times New Roman" w:hAnsi="Times New Roman"/>
            <w:b w:val="false"/>
            <w:i w:val="false"/>
            <w:color w:val="000000"/>
            <w:sz w:val="24"/>
          </w:rPr>
          <w:t>501—2.2</w:t>
        </w:r>
      </w:hyperlink>
      <w:r>
        <w:rPr>
          <w:rFonts w:ascii="Times New Roman" w:hAnsi="Times New Roman"/>
          <w:b w:val="false"/>
          <w:i w:val="false"/>
          <w:color w:val="000000"/>
          <w:sz w:val="24"/>
        </w:rPr>
        <w:t>(80B,80D).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w:t>
      </w:r>
      <w:r>
        <w:rPr>
          <w:rFonts w:ascii="Times New Roman" w:hAnsi="Times New Roman"/>
          <w:b w:val="false"/>
          <w:i w:val="false"/>
          <w:color w:val="000000"/>
          <w:sz w:val="24"/>
        </w:rPr>
        <w:t> </w:t>
      </w:r>
      <w:r>
        <w:rPr>
          <w:rFonts w:ascii="Times New Roman" w:hAnsi="Times New Roman"/>
          <w:b w:val="false"/>
          <w:i w:val="false"/>
          <w:color w:val="000000"/>
          <w:sz w:val="24"/>
        </w:rPr>
        <w:t>If the break from Iowa law enforcement service is between one and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the requirements of rule </w:t>
      </w:r>
      <w:hyperlink r:id="rId21">
        <w:r>
          <w:rPr>
            <w:rStyle w:val="Hyperlink"/>
            <w:rFonts w:ascii="Times New Roman" w:hAnsi="Times New Roman"/>
            <w:b w:val="false"/>
            <w:i w:val="false"/>
            <w:color w:val="000000"/>
            <w:sz w:val="24"/>
          </w:rPr>
          <w:t>501—2.1</w:t>
        </w:r>
      </w:hyperlink>
      <w:r>
        <w:rPr>
          <w:rFonts w:ascii="Times New Roman" w:hAnsi="Times New Roman"/>
          <w:b w:val="false"/>
          <w:i w:val="false"/>
          <w:color w:val="000000"/>
          <w:sz w:val="24"/>
        </w:rPr>
        <w:t xml:space="preserve">(80B,80D) and paragraph </w:t>
      </w:r>
      <w:hyperlink r:id="rId22">
        <w:r>
          <w:rPr>
            <w:rStyle w:val="Hyperlink"/>
            <w:rFonts w:ascii="Times New Roman" w:hAnsi="Times New Roman"/>
            <w:b w:val="false"/>
            <w:i w:val="false"/>
            <w:color w:val="000000"/>
            <w:sz w:val="24"/>
          </w:rPr>
          <w:t>2.5(2)</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all required professional development training requirements of subrule </w:t>
      </w:r>
      <w:hyperlink r:id="rId23">
        <w:r>
          <w:rPr>
            <w:rStyle w:val="Hyperlink"/>
            <w:rFonts w:ascii="Times New Roman" w:hAnsi="Times New Roman"/>
            <w:b w:val="false"/>
            <w:i w:val="false"/>
            <w:color w:val="000000"/>
            <w:sz w:val="24"/>
          </w:rPr>
          <w:t>4.1(4)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from Iowa law enforcement service is longer than three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the requirements of subrule </w:t>
      </w:r>
      <w:hyperlink r:id="rId24">
        <w:r>
          <w:rPr>
            <w:rStyle w:val="Hyperlink"/>
            <w:rFonts w:ascii="Times New Roman" w:hAnsi="Times New Roman"/>
            <w:b w:val="false"/>
            <w:i w:val="false"/>
            <w:color w:val="000000"/>
            <w:sz w:val="24"/>
          </w:rPr>
          <w:t>2.5(3)</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an in-person skills course at the academy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w:t>
      </w:r>
      <w:r>
        <w:rPr>
          <w:rFonts w:ascii="Times New Roman" w:hAnsi="Times New Roman"/>
          <w:b w:val="false"/>
          <w:i w:val="false"/>
          <w:color w:val="000000"/>
          <w:sz w:val="24"/>
        </w:rPr>
        <w:t> </w:t>
      </w:r>
      <w:r>
        <w:rPr>
          <w:rFonts w:ascii="Times New Roman" w:hAnsi="Times New Roman"/>
          <w:b w:val="false"/>
          <w:i w:val="false"/>
          <w:color w:val="000000"/>
          <w:sz w:val="24"/>
        </w:rPr>
        <w:t>A certified officer who left active Iowa law enforcement service to work at the academy will not be deemed to have a break in service if the individual complies with all annual professional development requirements beginning January 1, 2027, during the officer’s employment at the academy.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 “f,”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501—2.6</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hiring standards for an Iowa-certified reserve officer applying to become a law enforcement officer. </w:t>
      </w:r>
      <w:r>
        <w:rPr>
          <w:rFonts w:ascii="Times New Roman" w:hAnsi="Times New Roman"/>
          <w:b w:val="false"/>
          <w:i w:val="false"/>
          <w:color w:val="000000"/>
          <w:sz w:val="24"/>
        </w:rPr>
        <w:t xml:space="preserve">A certified reserve officer who has not previously met the requirements of rules </w:t>
      </w:r>
      <w:hyperlink r:id="rId27">
        <w:r>
          <w:rPr>
            <w:rStyle w:val="Hyperlink"/>
            <w:rFonts w:ascii="Times New Roman" w:hAnsi="Times New Roman"/>
            <w:b w:val="false"/>
            <w:i w:val="false"/>
            <w:color w:val="000000"/>
            <w:sz w:val="24"/>
          </w:rPr>
          <w:t>501—2.1</w:t>
        </w:r>
      </w:hyperlink>
      <w:r>
        <w:rPr>
          <w:rFonts w:ascii="Times New Roman" w:hAnsi="Times New Roman"/>
          <w:b w:val="false"/>
          <w:i w:val="false"/>
          <w:color w:val="000000"/>
          <w:sz w:val="24"/>
        </w:rPr>
        <w:t xml:space="preserve">(80B,80D) and </w:t>
      </w:r>
      <w:hyperlink r:id="rId28">
        <w:r>
          <w:rPr>
            <w:rStyle w:val="Hyperlink"/>
            <w:rFonts w:ascii="Times New Roman" w:hAnsi="Times New Roman"/>
            <w:b w:val="false"/>
            <w:i w:val="false"/>
            <w:color w:val="000000"/>
            <w:sz w:val="24"/>
          </w:rPr>
          <w:t>501—2.2</w:t>
        </w:r>
      </w:hyperlink>
      <w:r>
        <w:rPr>
          <w:rFonts w:ascii="Times New Roman" w:hAnsi="Times New Roman"/>
          <w:b w:val="false"/>
          <w:i w:val="false"/>
          <w:color w:val="000000"/>
          <w:sz w:val="24"/>
        </w:rPr>
        <w:t xml:space="preserve">(80B,80D) must meet the minimum requirements of both rules before serving as a law enforcement officer.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 “f,”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i w:val="false"/>
          <w:color w:val="000000"/>
          <w:sz w:val="24"/>
        </w:rPr>
        <w:t>501—2.7</w:t>
      </w:r>
      <w:r>
        <w:rPr>
          <w:rFonts w:ascii="Times New Roman" w:hAnsi="Times New Roman"/>
          <w:b/>
          <w:i w:val="false"/>
          <w:color w:val="000000"/>
          <w:sz w:val="24"/>
        </w:rPr>
        <w:t xml:space="preserve">(80B,80D) </w:t>
      </w:r>
      <w:r>
        <w:rPr>
          <w:rFonts w:ascii="Times New Roman" w:hAnsi="Times New Roman"/>
          <w:b/>
          <w:i w:val="false"/>
          <w:color w:val="000000"/>
          <w:sz w:val="24"/>
        </w:rPr>
        <w:t xml:space="preserve">Officers in agencies under intergovernmental agreements. </w:t>
      </w:r>
      <w:r>
        <w:rPr>
          <w:rFonts w:ascii="Times New Roman" w:hAnsi="Times New Roman"/>
          <w:b w:val="false"/>
          <w:i w:val="false"/>
          <w:color w:val="000000"/>
          <w:sz w:val="24"/>
        </w:rPr>
        <w:t xml:space="preserve">A jurisdiction entering into an intergovernmental agreement under the provisions of Iowa Code chapter </w:t>
      </w:r>
      <w:hyperlink r:id="rId30">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xml:space="preserve"> for the sharing of law enforcement services and officers does not need to verify minimum hiring standards for law enforcement personnel if an agreement is filed and recorded as required by Iowa law and a certified copy is provided to the director. Minimum hiring standards must be met when a unified law enforcement district is established as defined in Iowa Code section </w:t>
      </w:r>
      <w:hyperlink r:id="rId31">
        <w:r>
          <w:rPr>
            <w:rStyle w:val="Hyperlink"/>
            <w:rFonts w:ascii="Times New Roman" w:hAnsi="Times New Roman"/>
            <w:b w:val="false"/>
            <w:i w:val="false"/>
            <w:color w:val="000000"/>
            <w:sz w:val="24"/>
          </w:rPr>
          <w:t>28E.21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80D.1(1)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501—2.8</w:t>
      </w:r>
      <w:r>
        <w:rPr>
          <w:rFonts w:ascii="Times New Roman" w:hAnsi="Times New Roman"/>
          <w:b/>
          <w:i w:val="false"/>
          <w:color w:val="000000"/>
          <w:sz w:val="24"/>
        </w:rPr>
        <w:t xml:space="preserve">(80B,80D) </w:t>
      </w:r>
      <w:r>
        <w:rPr>
          <w:rFonts w:ascii="Times New Roman" w:hAnsi="Times New Roman"/>
          <w:b/>
          <w:i w:val="false"/>
          <w:color w:val="000000"/>
          <w:sz w:val="24"/>
        </w:rPr>
        <w:t xml:space="preserve">Higher standards permitted. </w:t>
      </w:r>
      <w:r>
        <w:rPr>
          <w:rFonts w:ascii="Times New Roman" w:hAnsi="Times New Roman"/>
          <w:b w:val="false"/>
          <w:i w:val="false"/>
          <w:color w:val="000000"/>
          <w:sz w:val="24"/>
        </w:rPr>
        <w:t>Although an individual may not serve in a law enforcement capacity without meeting these minimum standards, civil service commissions or agencies may establish additional standards.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80D.2</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1460009795" Type="http://schemas.openxmlformats.org/officeDocument/2006/relationships/hyperlink" Id="rId5"/>
    <Relationship TargetMode="External" Target="http://us06web.zoom.us/j/89108465173"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80B.11.pdf" Type="http://schemas.openxmlformats.org/officeDocument/2006/relationships/hyperlink" Id="rId8"/>
    <Relationship TargetMode="External" Target="https://www.legis.iowa.gov/docs/ico/chapter/80D.2.pdf" Type="http://schemas.openxmlformats.org/officeDocument/2006/relationships/hyperlink" Id="rId9"/>
    <Relationship TargetMode="External" Target="https://www.legis.iowa.gov/docs/ico/chapter/80B.11.pdf" Type="http://schemas.openxmlformats.org/officeDocument/2006/relationships/hyperlink" Id="rId10"/>
    <Relationship TargetMode="External" Target="https://www.legis.iowa.gov/docs/ico/chapter/80D.2.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D.2.pdf" Type="http://schemas.openxmlformats.org/officeDocument/2006/relationships/hyperlink" Id="rId13"/>
    <Relationship TargetMode="External" Target="https://www.legis.iowa.gov/docs/ico/chapter/80B.pdf" Type="http://schemas.openxmlformats.org/officeDocument/2006/relationships/hyperlink" Id="rId14"/>
    <Relationship TargetMode="External" Target="https://www.legis.iowa.gov/docs/ico/chapter/331.651.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3A.pdf" Type="http://schemas.openxmlformats.org/officeDocument/2006/relationships/hyperlink" Id="rId17"/>
    <Relationship TargetMode="External" Target="https://www.legis.iowa.gov/docs/ico/chapter/80D.2.pdf" Type="http://schemas.openxmlformats.org/officeDocument/2006/relationships/hyperlink" Id="rId18"/>
    <Relationship TargetMode="External" Target="https://www.legis.iowa.gov/docs/ico/chapter/331.651.pdf" Type="http://schemas.openxmlformats.org/officeDocument/2006/relationships/hyperlink" Id="rId19"/>
    <Relationship TargetMode="External" Target="https://www.legis.iowa.gov/docs/iac/rule/501.2.2.pdf" Type="http://schemas.openxmlformats.org/officeDocument/2006/relationships/hyperlink" Id="rId20"/>
    <Relationship TargetMode="External" Target="https://www.legis.iowa.gov/docs/iac/rule/501.2.1.pdf" Type="http://schemas.openxmlformats.org/officeDocument/2006/relationships/hyperlink" Id="rId21"/>
    <Relationship TargetMode="External" Target="https://www.legis.iowa.gov/docs/iac/rule/501.2.5.pdf" Type="http://schemas.openxmlformats.org/officeDocument/2006/relationships/hyperlink" Id="rId22"/>
    <Relationship TargetMode="External" Target="https://www.legis.iowa.gov/docs/iac/rule/501.4.1.pdf" Type="http://schemas.openxmlformats.org/officeDocument/2006/relationships/hyperlink" Id="rId23"/>
    <Relationship TargetMode="External" Target="https://www.legis.iowa.gov/docs/iac/rule/501.2.5.pdf" Type="http://schemas.openxmlformats.org/officeDocument/2006/relationships/hyperlink" Id="rId24"/>
    <Relationship TargetMode="External" Target="https://www.legis.iowa.gov/docs/ico/chapter/80B.11.pdf" Type="http://schemas.openxmlformats.org/officeDocument/2006/relationships/hyperlink" Id="rId25"/>
    <Relationship TargetMode="External" Target="https://www.legis.iowa.gov/docs/ico/chapter/80D.2.pdf" Type="http://schemas.openxmlformats.org/officeDocument/2006/relationships/hyperlink" Id="rId26"/>
    <Relationship TargetMode="External" Target="https://www.legis.iowa.gov/docs/iac/rule/501.2.1.pdf" Type="http://schemas.openxmlformats.org/officeDocument/2006/relationships/hyperlink" Id="rId27"/>
    <Relationship TargetMode="External" Target="https://www.legis.iowa.gov/docs/iac/rule/501.2.2.pdf" Type="http://schemas.openxmlformats.org/officeDocument/2006/relationships/hyperlink" Id="rId28"/>
    <Relationship TargetMode="External" Target="https://www.legis.iowa.gov/docs/ico/chapter/80B.11.pdf" Type="http://schemas.openxmlformats.org/officeDocument/2006/relationships/hyperlink" Id="rId29"/>
    <Relationship TargetMode="External" Target="https://www.legis.iowa.gov/docs/ico/chapter/28E.pdf" Type="http://schemas.openxmlformats.org/officeDocument/2006/relationships/hyperlink" Id="rId30"/>
    <Relationship TargetMode="External" Target="https://www.legis.iowa.gov/docs/ico/chapter/28E.21.pdf" Type="http://schemas.openxmlformats.org/officeDocument/2006/relationships/hyperlink" Id="rId31"/>
    <Relationship TargetMode="External" Target="https://www.legis.iowa.gov/docs/ico/chapter/80B.11.pdf" Type="http://schemas.openxmlformats.org/officeDocument/2006/relationships/hyperlink" Id="rId32"/>
    <Relationship TargetMode="External" Target="https://www.legis.iowa.gov/docs/ico/chapter/80D.1.pdf" Type="http://schemas.openxmlformats.org/officeDocument/2006/relationships/hyperlink" Id="rId33"/>
    <Relationship TargetMode="External" Target="https://www.legis.iowa.gov/docs/ico/chapter/80B.11.pdf" Type="http://schemas.openxmlformats.org/officeDocument/2006/relationships/hyperlink" Id="rId34"/>
    <Relationship TargetMode="External" Target="https://www.legis.iowa.gov/docs/ico/chapter/80D.2.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