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3D" w:id="1"/>
    <w:p>
      <w:pPr>
        <w:spacing w:before="0" w:after="0" w:line="480"/>
        <w:ind w:left="120"/>
        <w:jc w:val="right"/>
      </w:pPr>
      <w:r>
        <w:rPr>
          <w:rFonts w:ascii="Times New Roman" w:hAnsi="Times New Roman"/>
          <w:b/>
          <w:i w:val="false"/>
          <w:color w:val="000000"/>
          <w:sz w:val="28"/>
        </w:rPr>
        <w:t>ARC 0533D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disposition of seized and forfeited weapons </w:t>
      </w:r>
      <w:r>
        <w:br/>
      </w:r>
      <w:r>
        <w:rPr>
          <w:rFonts w:ascii="Times New Roman" w:hAnsi="Times New Roman"/>
          <w:b/>
          <w:i w:val="false"/>
          <w:color w:val="000000"/>
          <w:sz w:val="24"/>
        </w:rPr>
        <w:t>and ammunition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95, “Disposition of Seized and Forfeited Weapons and Ammunition,” Iowa Administrative Code, and to adopt a new Chapter 95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809A.17 and 809A.25.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809.21 and 809A.17.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95 and adopt a new chapter in lieu thereof. The proposed chapter outlines the disposition of seized and forfeited weapons and ammunition that are deposited with the Department.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 9:30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 2:30 to 3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95</w:t>
      </w:r>
    </w:p>
    <w:p>
      <w:pPr>
        <w:spacing w:before="0" w:after="0" w:line="480"/>
        <w:ind w:left="120"/>
        <w:jc w:val="center"/>
      </w:pPr>
      <w:r>
        <w:rPr>
          <w:rFonts w:ascii="Times New Roman" w:hAnsi="Times New Roman"/>
          <w:b w:val="false"/>
          <w:i w:val="false"/>
          <w:color w:val="000000"/>
          <w:sz w:val="21"/>
        </w:rPr>
        <w:t>DISPOSITION OF SEIZED AND FORFEITED WEAPONS AND AMMUNITION</w:t>
      </w:r>
    </w:p>
    <w:p>
      <w:pPr>
        <w:spacing w:before="0" w:after="0" w:line="480"/>
        <w:ind w:left="120"/>
        <w:jc w:val="both"/>
      </w:pPr>
      <w:r>
        <w:rPr>
          <w:rFonts w:ascii="Times New Roman" w:hAnsi="Times New Roman"/>
          <w:b/>
          <w:i w:val="false"/>
          <w:color w:val="000000"/>
          <w:sz w:val="24"/>
        </w:rPr>
        <w:t>661—95.1</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“Ammunition reference file”</w:t>
      </w:r>
      <w:r>
        <w:rPr>
          <w:rFonts w:ascii="Times New Roman" w:hAnsi="Times New Roman"/>
          <w:b w:val="false"/>
          <w:i w:val="false"/>
          <w:color w:val="000000"/>
          <w:sz w:val="24"/>
        </w:rPr>
        <w:t> </w:t>
      </w:r>
      <w:r>
        <w:rPr>
          <w:rFonts w:ascii="Times New Roman" w:hAnsi="Times New Roman"/>
          <w:b w:val="false"/>
          <w:i w:val="false"/>
          <w:color w:val="000000"/>
          <w:sz w:val="24"/>
        </w:rPr>
        <w:t>means the physical collection of ammunition received, collected and maintained by the division of criminal investigation criminalistics laboratory for testing and evaluation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inventory”</w:t>
      </w:r>
      <w:r>
        <w:rPr>
          <w:rFonts w:ascii="Times New Roman" w:hAnsi="Times New Roman"/>
          <w:b w:val="false"/>
          <w:i w:val="false"/>
          <w:color w:val="000000"/>
          <w:sz w:val="24"/>
        </w:rPr>
        <w:t> </w:t>
      </w:r>
      <w:r>
        <w:rPr>
          <w:rFonts w:ascii="Times New Roman" w:hAnsi="Times New Roman"/>
          <w:b w:val="false"/>
          <w:i w:val="false"/>
          <w:color w:val="000000"/>
          <w:sz w:val="24"/>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reference file”</w:t>
      </w:r>
      <w:r>
        <w:rPr>
          <w:rFonts w:ascii="Times New Roman" w:hAnsi="Times New Roman"/>
          <w:b w:val="false"/>
          <w:i w:val="false"/>
          <w:color w:val="000000"/>
          <w:sz w:val="24"/>
        </w:rPr>
        <w:t> </w:t>
      </w:r>
      <w:r>
        <w:rPr>
          <w:rFonts w:ascii="Times New Roman" w:hAnsi="Times New Roman"/>
          <w:b w:val="false"/>
          <w:i w:val="false"/>
          <w:color w:val="000000"/>
          <w:sz w:val="24"/>
        </w:rPr>
        <w:t>means the physical collection of firearms received, collected and maintained by the division of criminal investigation criminalistics laboratory for comparison and identification purposes.</w:t>
      </w:r>
    </w:p>
    <w:p>
      <w:pPr>
        <w:spacing w:before="210" w:after="0" w:line="480"/>
        <w:ind w:left="120"/>
        <w:jc w:val="both"/>
      </w:pPr>
      <w:r>
        <w:rPr>
          <w:rFonts w:ascii="Times New Roman" w:hAnsi="Times New Roman"/>
          <w:b/>
          <w:i w:val="false"/>
          <w:color w:val="000000"/>
          <w:sz w:val="24"/>
        </w:rPr>
        <w:t>661—95.2</w:t>
      </w:r>
      <w:r>
        <w:rPr>
          <w:rFonts w:ascii="Times New Roman" w:hAnsi="Times New Roman"/>
          <w:b/>
          <w:i w:val="false"/>
          <w:color w:val="000000"/>
          <w:sz w:val="24"/>
        </w:rPr>
        <w:t xml:space="preserve">(809,809A) </w:t>
      </w:r>
      <w:r>
        <w:rPr>
          <w:rFonts w:ascii="Times New Roman" w:hAnsi="Times New Roman"/>
          <w:b/>
          <w:i w:val="false"/>
          <w:color w:val="000000"/>
          <w:sz w:val="24"/>
        </w:rPr>
        <w:t xml:space="preserve">Ammunition and firearms. </w:t>
      </w:r>
      <w:r>
        <w:rPr>
          <w:rFonts w:ascii="Times New Roman" w:hAnsi="Times New Roman"/>
          <w:b w:val="false"/>
          <w:i w:val="false"/>
          <w:color w:val="000000"/>
          <w:sz w:val="24"/>
        </w:rPr>
        <w:t xml:space="preserve">The division of criminal investigation criminalistics laboratory shall examine and evaluate all firearms and ammunition submitted to the laboratory pursuant to Iowa Code section </w:t>
      </w:r>
      <w:hyperlink r:id="rId6">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All firearms submitted to the laboratory shall be evaluated and disposed of as provided in Iowa Code sections </w:t>
      </w:r>
      <w:hyperlink r:id="rId7">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and these rules. Any ammunition submitted to the laboratory may be entered into the laboratory’s ammunition reference file and may be utilized by the laboratory for testing and evaluation purposes.</w:t>
      </w:r>
    </w:p>
    <w:p>
      <w:pPr>
        <w:spacing w:before="210" w:after="0" w:line="480"/>
        <w:ind w:left="120"/>
        <w:jc w:val="both"/>
      </w:pPr>
      <w:r>
        <w:rPr>
          <w:rFonts w:ascii="Times New Roman" w:hAnsi="Times New Roman"/>
          <w:b/>
          <w:i w:val="false"/>
          <w:color w:val="000000"/>
          <w:sz w:val="24"/>
        </w:rPr>
        <w:t>661—95.3</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Firearms inventory. </w:t>
      </w:r>
      <w:r>
        <w:rPr>
          <w:rFonts w:ascii="Times New Roman" w:hAnsi="Times New Roman"/>
          <w:b w:val="false"/>
          <w:i w:val="false"/>
          <w:color w:val="000000"/>
          <w:sz w:val="24"/>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that refer to firearms retained in the firearms reference file shall be maintained permanently.</w:t>
      </w:r>
    </w:p>
    <w:p>
      <w:pPr>
        <w:spacing w:before="210" w:after="0" w:line="480"/>
        <w:ind w:left="120"/>
        <w:jc w:val="both"/>
      </w:pPr>
      <w:r>
        <w:rPr>
          <w:rFonts w:ascii="Times New Roman" w:hAnsi="Times New Roman"/>
          <w:b/>
          <w:i w:val="false"/>
          <w:color w:val="000000"/>
          <w:sz w:val="24"/>
        </w:rPr>
        <w:t>661—95.4</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Deposit of firearms in the firearms reference file. </w:t>
      </w:r>
      <w:r>
        <w:rPr>
          <w:rFonts w:ascii="Times New Roman" w:hAnsi="Times New Roman"/>
          <w:b w:val="false"/>
          <w:i w:val="false"/>
          <w:color w:val="000000"/>
          <w:sz w:val="24"/>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210" w:after="0" w:line="480"/>
        <w:ind w:left="120"/>
        <w:jc w:val="both"/>
      </w:pPr>
      <w:r>
        <w:rPr>
          <w:rFonts w:ascii="Times New Roman" w:hAnsi="Times New Roman"/>
          <w:b/>
          <w:i w:val="false"/>
          <w:color w:val="000000"/>
          <w:sz w:val="24"/>
        </w:rPr>
        <w:t>661—95.5</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(interstate). </w:t>
      </w:r>
      <w:r>
        <w:rPr>
          <w:rFonts w:ascii="Times New Roman" w:hAnsi="Times New Roman"/>
          <w:b w:val="false"/>
          <w:i w:val="false"/>
          <w:color w:val="000000"/>
          <w:sz w:val="24"/>
        </w:rPr>
        <w:t xml:space="preserve">Any firearm in the possession of the division of criminal investigation criminalistics laboratory pursuant to Iowa Code section </w:t>
      </w:r>
      <w:hyperlink r:id="rId9">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into the firearms reference file pursuant to the provisions of rule </w:t>
      </w:r>
      <w:hyperlink r:id="rId10">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(809,809A) and that the commissioner of public safety deems appropriate for distribution to other crime laboratories may be offered to them.</w:t>
      </w:r>
    </w:p>
    <w:p>
      <w:pPr>
        <w:spacing w:before="210" w:after="0" w:line="480"/>
        <w:ind w:left="120"/>
        <w:jc w:val="both"/>
      </w:pPr>
      <w:r>
        <w:rPr>
          <w:rFonts w:ascii="Times New Roman" w:hAnsi="Times New Roman"/>
          <w:b/>
          <w:i w:val="false"/>
          <w:color w:val="000000"/>
          <w:sz w:val="24"/>
        </w:rPr>
        <w:t>661—95.6</w:t>
      </w:r>
      <w:r>
        <w:rPr>
          <w:rFonts w:ascii="Times New Roman" w:hAnsi="Times New Roman"/>
          <w:b/>
          <w:i w:val="false"/>
          <w:color w:val="000000"/>
          <w:sz w:val="24"/>
        </w:rPr>
        <w:t xml:space="preserve">(809A) </w:t>
      </w:r>
      <w:r>
        <w:rPr>
          <w:rFonts w:ascii="Times New Roman" w:hAnsi="Times New Roman"/>
          <w:b/>
          <w:i w:val="false"/>
          <w:color w:val="000000"/>
          <w:sz w:val="24"/>
        </w:rPr>
        <w:t xml:space="preserve">Transfer of rifles and shotguns to the department of natural resources. </w:t>
      </w:r>
      <w:r>
        <w:rPr>
          <w:rFonts w:ascii="Times New Roman" w:hAnsi="Times New Roman"/>
          <w:b w:val="false"/>
          <w:i w:val="false"/>
          <w:color w:val="000000"/>
          <w:sz w:val="24"/>
        </w:rPr>
        <w:t xml:space="preserve">Any rifle or shotgun in the possession of the division of criminal investigation criminalistics laboratory pursuant to Iowa Code section </w:t>
      </w:r>
      <w:hyperlink r:id="rId11">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 the firearms reference file pursuant to rule </w:t>
      </w:r>
      <w:hyperlink r:id="rId12">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or distributed to another crime laboratory pursuant to rule </w:t>
      </w:r>
      <w:hyperlink r:id="rId13">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(809,809A) may be transferred to the department of natural resources for disposition pursuant to the rules of that department.</w:t>
      </w:r>
    </w:p>
    <w:p>
      <w:pPr>
        <w:spacing w:before="210" w:after="0" w:line="480"/>
        <w:ind w:left="120"/>
        <w:jc w:val="both"/>
      </w:pPr>
      <w:r>
        <w:rPr>
          <w:rFonts w:ascii="Times New Roman" w:hAnsi="Times New Roman"/>
          <w:b/>
          <w:i w:val="false"/>
          <w:color w:val="000000"/>
          <w:sz w:val="24"/>
        </w:rPr>
        <w:t>661—95.7</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(intrastate). </w:t>
      </w:r>
      <w:r>
        <w:rPr>
          <w:rFonts w:ascii="Times New Roman" w:hAnsi="Times New Roman"/>
          <w:b w:val="false"/>
          <w:i w:val="false"/>
          <w:color w:val="000000"/>
          <w:sz w:val="24"/>
        </w:rPr>
        <w:t xml:space="preserve">Any firearm not entered in the firearms reference file pursuant to rule </w:t>
      </w:r>
      <w:hyperlink r:id="rId14">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and still in the possession of the division of criminal investigation criminalistics laboratory pursuant to Iowa Code section </w:t>
      </w:r>
      <w:hyperlink r:id="rId15">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subsequent to the procedures set out in rules </w:t>
      </w:r>
      <w:hyperlink r:id="rId16">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 xml:space="preserve">(809,809A) and </w:t>
      </w:r>
      <w:hyperlink r:id="rId17">
        <w:r>
          <w:rPr>
            <w:rStyle w:val="Hyperlink"/>
            <w:rFonts w:ascii="Times New Roman" w:hAnsi="Times New Roman"/>
            <w:b w:val="false"/>
            <w:i w:val="false"/>
            <w:color w:val="000000"/>
            <w:sz w:val="24"/>
          </w:rPr>
          <w:t>661—95.6</w:t>
        </w:r>
      </w:hyperlink>
      <w:r>
        <w:rPr>
          <w:rFonts w:ascii="Times New Roman" w:hAnsi="Times New Roman"/>
          <w:b w:val="false"/>
          <w:i w:val="false"/>
          <w:color w:val="000000"/>
          <w:sz w:val="24"/>
        </w:rPr>
        <w:t>(809A), shall be evaluated for usefulness to Iowa law enforcement agencies. Any firearm that is deemed suitable for law enforcement purposes may be distributed to an Iowa law enforcement agency that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cannot be resold or otherwise distributed outside of the receiving agency, other than to be returned to the division of criminal investigation criminalistics laboratory.</w:t>
      </w:r>
    </w:p>
    <w:p>
      <w:pPr>
        <w:spacing w:before="210" w:after="0" w:line="480"/>
        <w:ind w:left="120"/>
        <w:jc w:val="both"/>
      </w:pPr>
      <w:r>
        <w:rPr>
          <w:rFonts w:ascii="Times New Roman" w:hAnsi="Times New Roman"/>
          <w:b/>
          <w:i w:val="false"/>
          <w:color w:val="000000"/>
          <w:sz w:val="24"/>
        </w:rPr>
        <w:t>661—95.8</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Final disposition and destruction of firearms. </w:t>
      </w:r>
      <w:r>
        <w:rPr>
          <w:rFonts w:ascii="Times New Roman" w:hAnsi="Times New Roman"/>
          <w:b w:val="false"/>
          <w:i w:val="false"/>
          <w:color w:val="000000"/>
          <w:sz w:val="24"/>
        </w:rPr>
        <w:t xml:space="preserve">All firearms in the possession of the division of criminal investigation criminalistics laboratory pursuant to Iowa Code section </w:t>
      </w:r>
      <w:hyperlink r:id="rId18">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are not disposed of by the procedures provided in rules </w:t>
      </w:r>
      <w:hyperlink r:id="rId19">
        <w:r>
          <w:rPr>
            <w:rStyle w:val="Hyperlink"/>
            <w:rFonts w:ascii="Times New Roman" w:hAnsi="Times New Roman"/>
            <w:b w:val="false"/>
            <w:i w:val="false"/>
            <w:color w:val="000000"/>
            <w:sz w:val="24"/>
          </w:rPr>
          <w:t>661—95.2</w:t>
        </w:r>
      </w:hyperlink>
      <w:r>
        <w:rPr>
          <w:rFonts w:ascii="Times New Roman" w:hAnsi="Times New Roman"/>
          <w:b w:val="false"/>
          <w:i w:val="false"/>
          <w:color w:val="000000"/>
          <w:sz w:val="24"/>
        </w:rPr>
        <w:t xml:space="preserve">(809,809A) through </w:t>
      </w:r>
      <w:hyperlink r:id="rId20">
        <w:r>
          <w:rPr>
            <w:rStyle w:val="Hyperlink"/>
            <w:rFonts w:ascii="Times New Roman" w:hAnsi="Times New Roman"/>
            <w:b w:val="false"/>
            <w:i w:val="false"/>
            <w:color w:val="000000"/>
            <w:sz w:val="24"/>
          </w:rPr>
          <w:t>661—95.7</w:t>
        </w:r>
      </w:hyperlink>
      <w:r>
        <w:rPr>
          <w:rFonts w:ascii="Times New Roman" w:hAnsi="Times New Roman"/>
          <w:b w:val="false"/>
          <w:i w:val="false"/>
          <w:color w:val="000000"/>
          <w:sz w:val="24"/>
        </w:rPr>
        <w:t>(809,809A) shall be destroyed and documented as such. Destruction shall be accomplished by grinding and chopping at a scrap metal facility or meltdown at a suitable foundry operation. All destruction shall be supervised and conducted by the staff of the division of criminal investigation criminalistics laboratory.</w:t>
      </w:r>
    </w:p>
    <w:p>
      <w:pPr>
        <w:spacing w:before="210" w:after="0" w:line="480"/>
        <w:ind w:left="120"/>
        <w:jc w:val="both"/>
      </w:pPr>
      <w:r>
        <w:rPr>
          <w:rFonts w:ascii="Times New Roman" w:hAnsi="Times New Roman"/>
          <w:b/>
          <w:i w:val="false"/>
          <w:color w:val="000000"/>
          <w:sz w:val="24"/>
        </w:rPr>
        <w:t>661—95.9</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explosives. </w:t>
      </w:r>
      <w:r>
        <w:rPr>
          <w:rFonts w:ascii="Times New Roman" w:hAnsi="Times New Roman"/>
          <w:b w:val="false"/>
          <w:i w:val="false"/>
          <w:color w:val="000000"/>
          <w:sz w:val="24"/>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210" w:after="0" w:line="480"/>
        <w:ind w:left="120"/>
        <w:jc w:val="both"/>
      </w:pPr>
      <w:r>
        <w:rPr>
          <w:rFonts w:ascii="Times New Roman" w:hAnsi="Times New Roman"/>
          <w:b/>
          <w:i w:val="false"/>
          <w:color w:val="000000"/>
          <w:sz w:val="24"/>
        </w:rPr>
        <w:t>661—95.10</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weapons other than firearms and explosives. </w:t>
      </w:r>
      <w:r>
        <w:rPr>
          <w:rFonts w:ascii="Times New Roman" w:hAnsi="Times New Roman"/>
          <w:b w:val="false"/>
          <w:i w:val="false"/>
          <w:color w:val="000000"/>
          <w:sz w:val="24"/>
        </w:rPr>
        <w:t>Any law enforcement agency in the possession of a forfeited weapon other than a firearm, ammunition, or explosives may contact the division of criminal investigation criminalistics laboratory for instructions regarding the disposition of the forfeited weapons.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1">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809A.17.pdf" Type="http://schemas.openxmlformats.org/officeDocument/2006/relationships/hyperlink" Id="rId6"/>
    <Relationship TargetMode="External" Target="https://www.legis.iowa.gov/docs/ico/chapter/809.21.pdf" Type="http://schemas.openxmlformats.org/officeDocument/2006/relationships/hyperlink" Id="rId7"/>
    <Relationship TargetMode="External" Target="https://www.legis.iowa.gov/docs/ico/chapter/809A.17.pdf" Type="http://schemas.openxmlformats.org/officeDocument/2006/relationships/hyperlink" Id="rId8"/>
    <Relationship TargetMode="External" Target="https://www.legis.iowa.gov/docs/ico/chapter/809A.17.pdf" Type="http://schemas.openxmlformats.org/officeDocument/2006/relationships/hyperlink" Id="rId9"/>
    <Relationship TargetMode="External" Target="https://www.legis.iowa.gov/docs/iac/rule/661.95.4.pdf" Type="http://schemas.openxmlformats.org/officeDocument/2006/relationships/hyperlink" Id="rId10"/>
    <Relationship TargetMode="External" Target="https://www.legis.iowa.gov/docs/ico/chapter/809A.17.pdf" Type="http://schemas.openxmlformats.org/officeDocument/2006/relationships/hyperlink" Id="rId11"/>
    <Relationship TargetMode="External" Target="https://www.legis.iowa.gov/docs/iac/rule/661.95.4.pdf" Type="http://schemas.openxmlformats.org/officeDocument/2006/relationships/hyperlink" Id="rId12"/>
    <Relationship TargetMode="External" Target="https://www.legis.iowa.gov/docs/iac/rule/661.95.5.pdf" Type="http://schemas.openxmlformats.org/officeDocument/2006/relationships/hyperlink" Id="rId13"/>
    <Relationship TargetMode="External" Target="https://www.legis.iowa.gov/docs/iac/rule/661.95.4.pdf" Type="http://schemas.openxmlformats.org/officeDocument/2006/relationships/hyperlink" Id="rId14"/>
    <Relationship TargetMode="External" Target="https://www.legis.iowa.gov/docs/ico/chapter/809A.17.pdf" Type="http://schemas.openxmlformats.org/officeDocument/2006/relationships/hyperlink" Id="rId15"/>
    <Relationship TargetMode="External" Target="https://www.legis.iowa.gov/docs/iac/rule/661.95.5.pdf" Type="http://schemas.openxmlformats.org/officeDocument/2006/relationships/hyperlink" Id="rId16"/>
    <Relationship TargetMode="External" Target="https://www.legis.iowa.gov/docs/iac/rule/661.95.6.pdf" Type="http://schemas.openxmlformats.org/officeDocument/2006/relationships/hyperlink" Id="rId17"/>
    <Relationship TargetMode="External" Target="https://www.legis.iowa.gov/docs/ico/chapter/809A.17.pdf" Type="http://schemas.openxmlformats.org/officeDocument/2006/relationships/hyperlink" Id="rId18"/>
    <Relationship TargetMode="External" Target="https://www.legis.iowa.gov/docs/iac/rule/661.95.2.pdf" Type="http://schemas.openxmlformats.org/officeDocument/2006/relationships/hyperlink" Id="rId19"/>
    <Relationship TargetMode="External" Target="https://www.legis.iowa.gov/docs/iac/rule/661.95.7.pdf" Type="http://schemas.openxmlformats.org/officeDocument/2006/relationships/hyperlink" Id="rId20"/>
    <Relationship TargetMode="External" Target="https://www.legis.iowa.gov/docs/ico/chapter/809.21.pdf" Type="http://schemas.openxmlformats.org/officeDocument/2006/relationships/hyperlink" Id="rId21"/>
    <Relationship TargetMode="External" Target="https://www.legis.iowa.gov/docs/ico/chapter/809A.17.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