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3D" w:id="1"/>
    <w:p>
      <w:pPr>
        <w:spacing w:before="0" w:after="0" w:line="480"/>
        <w:ind w:left="120"/>
        <w:jc w:val="right"/>
      </w:pPr>
      <w:r>
        <w:rPr>
          <w:rFonts w:ascii="Times New Roman" w:hAnsi="Times New Roman"/>
          <w:b/>
          <w:i w:val="false"/>
          <w:color w:val="000000"/>
          <w:sz w:val="28"/>
        </w:rPr>
        <w:t>ARC 0523D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endorsements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5, “Approved Regional Law Enforcement Training Facility,” and to adopt a new Chapter 5, “Endorsements,”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Proposed Chapter 5 describes the practical skill endorsements, content endorsements, and other endorsements that the Academy Council will issue to eligible law enforcement officers, reserve officers, jail administrators, jailers, public safety telecommunicators, Academy staff instructors, and other professional partners who meet the qualifications for the endorsement. As a part of the Red Tape Review required by Executive Order 10, this chapter was reviewed and revised. The former content from this chapter is proposed to be reorganized in a revised 501—Chapter 8 in </w:t>
      </w:r>
      <w:r>
        <w:rPr>
          <w:rFonts w:ascii="Times New Roman" w:hAnsi="Times New Roman"/>
          <w:b/>
          <w:i w:val="false"/>
          <w:color w:val="000000"/>
          <w:sz w:val="24"/>
        </w:rPr>
        <w:t>ARC 0525D</w:t>
      </w:r>
      <w:r>
        <w:rPr>
          <w:rFonts w:ascii="Times New Roman" w:hAnsi="Times New Roman"/>
          <w:b w:val="false"/>
          <w:i w:val="false"/>
          <w:color w:val="000000"/>
          <w:sz w:val="24"/>
        </w:rPr>
        <w:t xml:space="preserve"> herein.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public comments were received.</w:t>
      </w:r>
    </w:p>
    <w:p>
      <w:pPr>
        <w:spacing w:before="0" w:after="0" w:line="480"/>
        <w:ind w:left="120"/>
        <w:jc w:val="both"/>
      </w:pPr>
      <w:r>
        <w:rPr>
          <w:rFonts w:ascii="Times New Roman" w:hAnsi="Times New Roman"/>
          <w:b w:val="false"/>
          <w:i w:val="false"/>
          <w:color w:val="000000"/>
          <w:sz w:val="24"/>
        </w:rPr>
        <w:t>    A change from the Regulatory Analysis has been made in subrule 5.16(1) to clarify that the description for good standing is only applicable to endorsements. Rules 501—5.11(80B,80D) and 501—5.15(80B,80D) were revised to resolve a misplaced phrase.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3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50131  </w:t>
            </w:r>
            <w:r>
              <w:br/>
            </w:r>
            <w:r>
              <w:rPr>
                <w:rFonts w:ascii="Times New Roman" w:hAnsi="Times New Roman"/>
                <w:b w:val="false"/>
                <w:i w:val="false"/>
                <w:color w:val="000000"/>
                <w:sz w:val="14"/>
              </w:rPr>
              <w:t xml:space="preserve">Online: </w:t>
            </w:r>
            <w:hyperlink r:id="rId5">
              <w:r>
                <w:rPr>
                  <w:rStyle w:val="Hyperlink"/>
                  <w:rFonts w:ascii="Times New Roman" w:hAnsi="Times New Roman"/>
                  <w:b w:val="false"/>
                  <w:i w:val="false"/>
                  <w:color w:val="0000ff"/>
                  <w:sz w:val="14"/>
                </w:rPr>
                <w:t>us06web.zoom.us/j/86032546297</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Online: </w:t>
            </w:r>
            <w:hyperlink r:id="rId6">
              <w:r>
                <w:rPr>
                  <w:rStyle w:val="Hyperlink"/>
                  <w:rFonts w:ascii="Times New Roman" w:hAnsi="Times New Roman"/>
                  <w:b w:val="false"/>
                  <w:i w:val="false"/>
                  <w:color w:val="0000ff"/>
                  <w:sz w:val="14"/>
                </w:rPr>
                <w:t>us06web.zoom.us/j/87025029060</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ENDORSEMENTS</w:t>
      </w:r>
    </w:p>
    <w:p>
      <w:pPr>
        <w:pBdr>
          <w:top w:space="10"/>
        </w:pBdr>
        <w:spacing w:before="0" w:after="0" w:line="480"/>
        <w:ind w:left="120"/>
        <w:jc w:val="center"/>
      </w:pPr>
      <w:r>
        <w:rPr>
          <w:rFonts w:ascii="Times New Roman" w:hAnsi="Times New Roman"/>
          <w:b w:val="false"/>
          <w:i w:val="false"/>
          <w:color w:val="000000"/>
          <w:sz w:val="16"/>
        </w:rPr>
        <w:t>PRACTICAL SKILLS INSTRUCTOR ENDORSEMENTS</w:t>
      </w:r>
    </w:p>
    <w:p>
      <w:pPr>
        <w:spacing w:before="0" w:after="0" w:line="480"/>
        <w:ind w:left="120"/>
        <w:jc w:val="both"/>
      </w:pPr>
      <w:r>
        <w:rPr>
          <w:rFonts w:ascii="Times New Roman" w:hAnsi="Times New Roman"/>
          <w:b/>
          <w:i w:val="false"/>
          <w:color w:val="000000"/>
          <w:sz w:val="24"/>
        </w:rPr>
        <w:t>501—5.1</w:t>
      </w:r>
      <w:r>
        <w:rPr>
          <w:rFonts w:ascii="Times New Roman" w:hAnsi="Times New Roman"/>
          <w:b/>
          <w:i w:val="false"/>
          <w:color w:val="000000"/>
          <w:sz w:val="24"/>
        </w:rPr>
        <w:t xml:space="preserve">(80B,80D) </w:t>
      </w:r>
      <w:r>
        <w:rPr>
          <w:rFonts w:ascii="Times New Roman" w:hAnsi="Times New Roman"/>
          <w:b/>
          <w:i w:val="false"/>
          <w:color w:val="000000"/>
          <w:sz w:val="24"/>
        </w:rPr>
        <w:t xml:space="preserve">Practical skills instructor endorsements. </w:t>
      </w:r>
      <w:r>
        <w:rPr>
          <w:rFonts w:ascii="Times New Roman" w:hAnsi="Times New Roman"/>
          <w:b w:val="false"/>
          <w:i w:val="false"/>
          <w:color w:val="000000"/>
          <w:sz w:val="24"/>
        </w:rPr>
        <w:t xml:space="preserve">All individuals providing practical instruction at the academy or through approved local and area schools and regional training centers will have the necessary practical instructor endorsement as determined by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Academy staff instructor endorsement. </w:t>
      </w:r>
      <w:r>
        <w:rPr>
          <w:rFonts w:ascii="Times New Roman" w:hAnsi="Times New Roman"/>
          <w:b w:val="false"/>
          <w:i w:val="false"/>
          <w:color w:val="000000"/>
          <w:sz w:val="24"/>
        </w:rPr>
        <w:t>Academy staff instructors are eligible for endorsements in the areas of instruction for which they are qualified.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 level I. </w:t>
      </w:r>
      <w:r>
        <w:rPr>
          <w:rFonts w:ascii="Times New Roman" w:hAnsi="Times New Roman"/>
          <w:b w:val="false"/>
          <w:i w:val="false"/>
          <w:color w:val="000000"/>
          <w:sz w:val="24"/>
        </w:rPr>
        <w:t xml:space="preserve">Certified Iowa law enforcement officers are eligible for specialty endorsements for firearms, rifle, standard field sobriety testing, driving, RADAR/LiDAR, and bicycle.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 level II. </w:t>
      </w:r>
      <w:r>
        <w:rPr>
          <w:rFonts w:ascii="Times New Roman" w:hAnsi="Times New Roman"/>
          <w:b w:val="false"/>
          <w:i w:val="false"/>
          <w:color w:val="000000"/>
          <w:sz w:val="24"/>
        </w:rPr>
        <w:t>Certified Iowa law enforcement officers, Iowa correctional officers, Iowa jailers, and Iowa jail administrators are eligible for endorsements for defensive tactics and chemical spray.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practical skills instructor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Academy staff instructors. </w:t>
      </w:r>
      <w:r>
        <w:rPr>
          <w:rFonts w:ascii="Times New Roman" w:hAnsi="Times New Roman"/>
          <w:b w:val="false"/>
          <w:i w:val="false"/>
          <w:color w:val="000000"/>
          <w:sz w:val="24"/>
        </w:rPr>
        <w:t>Academy staff instructors will meet the minimum experience and training for each endorsement area except active employment by a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endorsements level I. </w:t>
      </w:r>
      <w:r>
        <w:rPr>
          <w:rFonts w:ascii="Times New Roman" w:hAnsi="Times New Roman"/>
          <w:b w:val="false"/>
          <w:i w:val="false"/>
          <w:color w:val="000000"/>
          <w:sz w:val="24"/>
        </w:rPr>
        <w:t>Minimum experience and training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Three years of experience as a certified law enforcement officer with specialized knowledge or skill in the subject area to be instructed;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Being actively employed in good standing by an Iowa law enforcement agency, the Iowa department of corrections, or a council-approved regional training center;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of the applicable endorsement training course, including instructor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5.2(3)</w:t>
      </w:r>
      <w:r>
        <w:rPr>
          <w:rFonts w:ascii="Times New Roman" w:hAnsi="Times New Roman"/>
          <w:b w:val="false"/>
          <w:i w:val="false"/>
          <w:color w:val="000000"/>
          <w:sz w:val="24"/>
        </w:rPr>
        <w:t> </w:t>
      </w:r>
      <w:r>
        <w:rPr>
          <w:rFonts w:ascii="Times New Roman" w:hAnsi="Times New Roman"/>
          <w:b w:val="false"/>
          <w:i/>
          <w:color w:val="000000"/>
          <w:sz w:val="24"/>
        </w:rPr>
        <w:t xml:space="preserve">Practical skills instructor endorsements level II. </w:t>
      </w:r>
      <w:r>
        <w:rPr>
          <w:rFonts w:ascii="Times New Roman" w:hAnsi="Times New Roman"/>
          <w:b w:val="false"/>
          <w:i w:val="false"/>
          <w:color w:val="000000"/>
          <w:sz w:val="24"/>
        </w:rPr>
        <w:t>Minimum experience and training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Three years of experience as a certified law enforcement officer or three years post-basic training course with specialized knowledge or skill in the subject area to be instructed;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Being actively employed in good standing by an Iowa law enforcement agency, the Iowa department of corrections, or a council-approved regional training center;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of the applicable endorsement training course, including instructor development.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1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501—5.3</w:t>
      </w:r>
      <w:r>
        <w:rPr>
          <w:rFonts w:ascii="Times New Roman" w:hAnsi="Times New Roman"/>
          <w:b/>
          <w:i w:val="false"/>
          <w:color w:val="000000"/>
          <w:sz w:val="24"/>
        </w:rPr>
        <w:t xml:space="preserve">(80B,80D) </w:t>
      </w:r>
      <w:r>
        <w:rPr>
          <w:rFonts w:ascii="Times New Roman" w:hAnsi="Times New Roman"/>
          <w:b/>
          <w:i w:val="false"/>
          <w:color w:val="000000"/>
          <w:sz w:val="24"/>
        </w:rPr>
        <w:t xml:space="preserve">Prerequisites for practical skills instructor endorsements. </w:t>
      </w:r>
      <w:r>
        <w:rPr>
          <w:rFonts w:ascii="Times New Roman" w:hAnsi="Times New Roman"/>
          <w:b w:val="false"/>
          <w:i w:val="false"/>
          <w:color w:val="000000"/>
          <w:sz w:val="24"/>
        </w:rPr>
        <w:t>The following prerequisites will be met before enrollment in a practical skills instructor endorsement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Firearms instructor endorsement. </w:t>
      </w:r>
      <w:r>
        <w:rPr>
          <w:rFonts w:ascii="Times New Roman" w:hAnsi="Times New Roman"/>
          <w:b w:val="false"/>
          <w:i w:val="false"/>
          <w:color w:val="000000"/>
          <w:sz w:val="24"/>
        </w:rPr>
        <w:t>A qualification score of at least 90 percent on an academy-approved course of fire in the last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Rifle instructor endorsement. </w:t>
      </w:r>
      <w:r>
        <w:rPr>
          <w:rFonts w:ascii="Times New Roman" w:hAnsi="Times New Roman"/>
          <w:b w:val="false"/>
          <w:i w:val="false"/>
          <w:color w:val="000000"/>
          <w:sz w:val="24"/>
        </w:rPr>
        <w:t xml:space="preserve">An endorsement as a firearms instructor that must be maintained to retain a rifle instructor endorsement and a qualification score of at least 90 percent on an academy-approved course of fire in the last 12 months.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Defensive tactics instructor endorsement. </w:t>
      </w:r>
      <w:r>
        <w:rPr>
          <w:rFonts w:ascii="Times New Roman" w:hAnsi="Times New Roman"/>
          <w:b w:val="false"/>
          <w:i w:val="false"/>
          <w:color w:val="000000"/>
          <w:sz w:val="24"/>
        </w:rPr>
        <w:t>Iowa correctional officers, Iowa jailers, and Iowa jail administrators will provide documentation of 36 hours of training in defensive tactics from an active instructor with a defensive tactics instructor endorsement.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1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501—5.4</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Award of practical skills instructor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5.4(1)</w:t>
      </w:r>
      <w:r>
        <w:rPr>
          <w:rFonts w:ascii="Times New Roman" w:hAnsi="Times New Roman"/>
          <w:b w:val="false"/>
          <w:i w:val="false"/>
          <w:color w:val="000000"/>
          <w:sz w:val="24"/>
        </w:rPr>
        <w:t> </w:t>
      </w:r>
      <w:r>
        <w:rPr>
          <w:rFonts w:ascii="Times New Roman" w:hAnsi="Times New Roman"/>
          <w:b w:val="false"/>
          <w:i/>
          <w:color w:val="000000"/>
          <w:sz w:val="24"/>
        </w:rPr>
        <w:t xml:space="preserve">Awarding of endorsement. </w:t>
      </w:r>
      <w:r>
        <w:rPr>
          <w:rFonts w:ascii="Times New Roman" w:hAnsi="Times New Roman"/>
          <w:b w:val="false"/>
          <w:i w:val="false"/>
          <w:color w:val="000000"/>
          <w:sz w:val="24"/>
        </w:rPr>
        <w:t>Applicants meeting all minimum qualifications may register for a practical skills instructor endorsement training course. The practical skills instructor endorsement will be awarded upon the successful completion of the instructor endorsement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5.4(2)</w:t>
      </w:r>
      <w:r>
        <w:rPr>
          <w:rFonts w:ascii="Times New Roman" w:hAnsi="Times New Roman"/>
          <w:b w:val="false"/>
          <w:i w:val="false"/>
          <w:color w:val="000000"/>
          <w:sz w:val="24"/>
        </w:rPr>
        <w:t> </w:t>
      </w:r>
      <w:r>
        <w:rPr>
          <w:rFonts w:ascii="Times New Roman" w:hAnsi="Times New Roman"/>
          <w:b w:val="false"/>
          <w:i/>
          <w:color w:val="000000"/>
          <w:sz w:val="24"/>
        </w:rPr>
        <w:t xml:space="preserve">Denial of endorsement. </w:t>
      </w:r>
      <w:r>
        <w:rPr>
          <w:rFonts w:ascii="Times New Roman" w:hAnsi="Times New Roman"/>
          <w:b w:val="false"/>
          <w:i w:val="false"/>
          <w:color w:val="000000"/>
          <w:sz w:val="24"/>
        </w:rPr>
        <w:t xml:space="preserve">If an applicant fails to earn a practical skills instructor endorsement after completion of the instructor endorsement course and any allowed remediation, the applicant may file a written notice of appeal to the council within 30 days of the denial as set forth in rule </w:t>
      </w:r>
      <w:hyperlink r:id="rId17">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2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501—5.5</w:t>
      </w:r>
      <w:r>
        <w:rPr>
          <w:rFonts w:ascii="Times New Roman" w:hAnsi="Times New Roman"/>
          <w:b/>
          <w:i w:val="false"/>
          <w:color w:val="000000"/>
          <w:sz w:val="24"/>
        </w:rPr>
        <w:t xml:space="preserve">(80B,80D) </w:t>
      </w:r>
      <w:r>
        <w:rPr>
          <w:rFonts w:ascii="Times New Roman" w:hAnsi="Times New Roman"/>
          <w:b/>
          <w:i w:val="false"/>
          <w:color w:val="000000"/>
          <w:sz w:val="24"/>
        </w:rPr>
        <w:t xml:space="preserve">Practical skills instructor endorsement period. </w:t>
      </w:r>
      <w:r>
        <w:rPr>
          <w:rFonts w:ascii="Times New Roman" w:hAnsi="Times New Roman"/>
          <w:b w:val="false"/>
          <w:i w:val="false"/>
          <w:color w:val="000000"/>
          <w:sz w:val="24"/>
        </w:rPr>
        <w:t>All endorsements will be issued through the end of the third calendar year. An endorsement may be renewed if an applicant is actively employed by an Iowa law enforcement agency, the Iowa department of corrections, or a council-approved regional training center; remains in good standing; and successfully completes the applicable instructor renewal course prior to the expiration of the endorsement. Failure to renew prior to expiration will require an applicant to earn a new endorsement.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2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CONTENT INSTRUCTOR ENDORSEMENTS</w:t>
      </w:r>
    </w:p>
    <w:p>
      <w:pPr>
        <w:spacing w:before="0" w:after="0" w:line="480"/>
        <w:ind w:left="120"/>
        <w:jc w:val="both"/>
      </w:pPr>
      <w:r>
        <w:rPr>
          <w:rFonts w:ascii="Times New Roman" w:hAnsi="Times New Roman"/>
          <w:b/>
          <w:i w:val="false"/>
          <w:color w:val="000000"/>
          <w:sz w:val="24"/>
        </w:rPr>
        <w:t>501—5.6</w:t>
      </w:r>
      <w:r>
        <w:rPr>
          <w:rFonts w:ascii="Times New Roman" w:hAnsi="Times New Roman"/>
          <w:b/>
          <w:i w:val="false"/>
          <w:color w:val="000000"/>
          <w:sz w:val="24"/>
        </w:rPr>
        <w:t xml:space="preserve">(80B,80D) </w:t>
      </w:r>
      <w:r>
        <w:rPr>
          <w:rFonts w:ascii="Times New Roman" w:hAnsi="Times New Roman"/>
          <w:b/>
          <w:i w:val="false"/>
          <w:color w:val="000000"/>
          <w:sz w:val="24"/>
        </w:rPr>
        <w:t xml:space="preserve">Content instructor endorsements. </w:t>
      </w:r>
      <w:r>
        <w:rPr>
          <w:rFonts w:ascii="Times New Roman" w:hAnsi="Times New Roman"/>
          <w:b w:val="false"/>
          <w:i w:val="false"/>
          <w:color w:val="000000"/>
          <w:sz w:val="24"/>
        </w:rPr>
        <w:t>Certified law enforcement officers, jailers, jail administrators, public safety telecommunicators, or other individuals providing instruction at the academy or through approved local or area schools, regional training centers, or a basic training course on subjects requiring a specialized academic degree, training, licensure, or experience will have the necessary instructor endorsement as determined by the director, subject to council approval.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2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501—5.7</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content instructor endorsements. </w:t>
      </w:r>
      <w:r>
        <w:rPr>
          <w:rFonts w:ascii="Times New Roman" w:hAnsi="Times New Roman"/>
          <w:b w:val="false"/>
          <w:i w:val="false"/>
          <w:color w:val="000000"/>
          <w:sz w:val="24"/>
        </w:rPr>
        <w:t>Minimum experience by profession includes successful completion of an instructor development course through the academy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w:t>
      </w:r>
      <w:r>
        <w:rPr>
          <w:rFonts w:ascii="Times New Roman" w:hAnsi="Times New Roman"/>
          <w:b w:val="false"/>
          <w:i w:val="false"/>
          <w:color w:val="000000"/>
          <w:sz w:val="24"/>
        </w:rPr>
        <w:t> </w:t>
      </w:r>
      <w:r>
        <w:rPr>
          <w:rFonts w:ascii="Times New Roman" w:hAnsi="Times New Roman"/>
          <w:b w:val="false"/>
          <w:i w:val="false"/>
          <w:color w:val="000000"/>
          <w:sz w:val="24"/>
        </w:rPr>
        <w:t>Certified law enforcement officer. Three years of certified experience, aptitude or experience in the subject area to be instructed, and confirmation from the academy or a current license or training entity endorsement, if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w:t>
      </w:r>
      <w:r>
        <w:rPr>
          <w:rFonts w:ascii="Times New Roman" w:hAnsi="Times New Roman"/>
          <w:b w:val="false"/>
          <w:i w:val="false"/>
          <w:color w:val="000000"/>
          <w:sz w:val="24"/>
        </w:rPr>
        <w:t> </w:t>
      </w:r>
      <w:r>
        <w:rPr>
          <w:rFonts w:ascii="Times New Roman" w:hAnsi="Times New Roman"/>
          <w:b w:val="false"/>
          <w:i w:val="false"/>
          <w:color w:val="000000"/>
          <w:sz w:val="24"/>
        </w:rPr>
        <w:t>Jail administrator or jailer. Three years of experience post completion of the basic training course, aptitude or experience in the subject area to be instructed, and confirmation from the academy or a current license or training entity endorsement, if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5.7(3)</w:t>
      </w:r>
      <w:r>
        <w:rPr>
          <w:rFonts w:ascii="Times New Roman" w:hAnsi="Times New Roman"/>
          <w:b w:val="false"/>
          <w:i w:val="false"/>
          <w:color w:val="000000"/>
          <w:sz w:val="24"/>
        </w:rPr>
        <w:t> </w:t>
      </w:r>
      <w:r>
        <w:rPr>
          <w:rFonts w:ascii="Times New Roman" w:hAnsi="Times New Roman"/>
          <w:b w:val="false"/>
          <w:i w:val="false"/>
          <w:color w:val="000000"/>
          <w:sz w:val="24"/>
        </w:rPr>
        <w:t>Public safety telecommunicator. Three years of experience post completion of the basic training course and aptitude or experience in the subject area to be instructed.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5.7(4)</w:t>
      </w:r>
      <w:r>
        <w:rPr>
          <w:rFonts w:ascii="Times New Roman" w:hAnsi="Times New Roman"/>
          <w:b w:val="false"/>
          <w:i w:val="false"/>
          <w:color w:val="000000"/>
          <w:sz w:val="24"/>
        </w:rPr>
        <w:t> </w:t>
      </w:r>
      <w:r>
        <w:rPr>
          <w:rFonts w:ascii="Times New Roman" w:hAnsi="Times New Roman"/>
          <w:b w:val="false"/>
          <w:i w:val="false"/>
          <w:color w:val="000000"/>
          <w:sz w:val="24"/>
        </w:rPr>
        <w:t>Professionals. Successful completion of relevant training or at least a baccalaureate degree in the subject area or a related field unless further education is required; confirmation by the academy of a current license or certification in the subject area; and appropriate reputation, conduct, stability and ability.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2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501—5.8</w:t>
      </w:r>
      <w:r>
        <w:rPr>
          <w:rFonts w:ascii="Times New Roman" w:hAnsi="Times New Roman"/>
          <w:b/>
          <w:i w:val="false"/>
          <w:color w:val="000000"/>
          <w:sz w:val="24"/>
        </w:rPr>
        <w:t xml:space="preserve">(80B,80D) </w:t>
      </w:r>
      <w:r>
        <w:rPr>
          <w:rFonts w:ascii="Times New Roman" w:hAnsi="Times New Roman"/>
          <w:b/>
          <w:i w:val="false"/>
          <w:color w:val="000000"/>
          <w:sz w:val="24"/>
        </w:rPr>
        <w:t xml:space="preserve">Prerequisites for certain content instructor endorsements. </w:t>
      </w:r>
      <w:r>
        <w:rPr>
          <w:rFonts w:ascii="Times New Roman" w:hAnsi="Times New Roman"/>
          <w:b w:val="false"/>
          <w:i w:val="false"/>
          <w:color w:val="000000"/>
          <w:sz w:val="24"/>
        </w:rPr>
        <w:t>The following prerequisites will be met before the award of a content instructor endorsement in the following subject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w:t>
      </w:r>
      <w:r>
        <w:rPr>
          <w:rFonts w:ascii="Times New Roman" w:hAnsi="Times New Roman"/>
          <w:b w:val="false"/>
          <w:i w:val="false"/>
          <w:color w:val="000000"/>
          <w:sz w:val="24"/>
        </w:rPr>
        <w:t> </w:t>
      </w:r>
      <w:r>
        <w:rPr>
          <w:rFonts w:ascii="Times New Roman" w:hAnsi="Times New Roman"/>
          <w:b w:val="false"/>
          <w:i w:val="false"/>
          <w:color w:val="000000"/>
          <w:sz w:val="24"/>
        </w:rPr>
        <w:t>Arson and bombing content instructor endorsement. Completion of a specialty school in police/military explosives handling and a recognized arson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5.8(2)</w:t>
      </w:r>
      <w:r>
        <w:rPr>
          <w:rFonts w:ascii="Times New Roman" w:hAnsi="Times New Roman"/>
          <w:b w:val="false"/>
          <w:i w:val="false"/>
          <w:color w:val="000000"/>
          <w:sz w:val="24"/>
        </w:rPr>
        <w:t> </w:t>
      </w:r>
      <w:r>
        <w:rPr>
          <w:rFonts w:ascii="Times New Roman" w:hAnsi="Times New Roman"/>
          <w:b w:val="false"/>
          <w:i w:val="false"/>
          <w:color w:val="000000"/>
          <w:sz w:val="24"/>
        </w:rPr>
        <w:t>Collision investigation content instructor endorsement. Completion of a two-week collision investigation school at the academy or an equivalent training approved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w:t>
      </w:r>
      <w:r>
        <w:rPr>
          <w:rFonts w:ascii="Times New Roman" w:hAnsi="Times New Roman"/>
          <w:b w:val="false"/>
          <w:i w:val="false"/>
          <w:color w:val="000000"/>
          <w:sz w:val="24"/>
        </w:rPr>
        <w:t> </w:t>
      </w:r>
      <w:r>
        <w:rPr>
          <w:rFonts w:ascii="Times New Roman" w:hAnsi="Times New Roman"/>
          <w:b w:val="false"/>
          <w:i w:val="false"/>
          <w:color w:val="000000"/>
          <w:sz w:val="24"/>
        </w:rPr>
        <w:t>Fingerprint content instructor endorsement. Completion of the basic and advanced Federal Bureau of Investigation fingerprint schools or an equivalent training approved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w:t>
      </w:r>
      <w:r>
        <w:rPr>
          <w:rFonts w:ascii="Times New Roman" w:hAnsi="Times New Roman"/>
          <w:b w:val="false"/>
          <w:i w:val="false"/>
          <w:color w:val="000000"/>
          <w:sz w:val="24"/>
        </w:rPr>
        <w:t> </w:t>
      </w:r>
      <w:r>
        <w:rPr>
          <w:rFonts w:ascii="Times New Roman" w:hAnsi="Times New Roman"/>
          <w:b w:val="false"/>
          <w:i w:val="false"/>
          <w:color w:val="000000"/>
          <w:sz w:val="24"/>
        </w:rPr>
        <w:t xml:space="preserve">Drug recognition content instructor endorsement. Identified as an instructor in the Iowa drug recognition experts and instructor directory.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w:t>
      </w:r>
      <w:r>
        <w:rPr>
          <w:rFonts w:ascii="Times New Roman" w:hAnsi="Times New Roman"/>
          <w:b w:val="false"/>
          <w:i w:val="false"/>
          <w:color w:val="000000"/>
          <w:sz w:val="24"/>
        </w:rPr>
        <w:t> </w:t>
      </w:r>
      <w:r>
        <w:rPr>
          <w:rFonts w:ascii="Times New Roman" w:hAnsi="Times New Roman"/>
          <w:b w:val="false"/>
          <w:i w:val="false"/>
          <w:color w:val="000000"/>
          <w:sz w:val="24"/>
        </w:rPr>
        <w:t>Evidentiary breath testing device content instructor endorsement. Completion of a training program that results in trainer designation in the technology to be taught in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w:t>
      </w:r>
      <w:r>
        <w:rPr>
          <w:rFonts w:ascii="Times New Roman" w:hAnsi="Times New Roman"/>
          <w:b w:val="false"/>
          <w:i w:val="false"/>
          <w:color w:val="000000"/>
          <w:sz w:val="24"/>
        </w:rPr>
        <w:t> </w:t>
      </w:r>
      <w:r>
        <w:rPr>
          <w:rFonts w:ascii="Times New Roman" w:hAnsi="Times New Roman"/>
          <w:b w:val="false"/>
          <w:i w:val="false"/>
          <w:color w:val="000000"/>
          <w:sz w:val="24"/>
        </w:rPr>
        <w:t>Tactical medicine instructor endorsement. Completion of a course in tactical medicine approved by the academy or maintenance of a current emergency medical care provider or higher level of medical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w:t>
      </w:r>
      <w:r>
        <w:rPr>
          <w:rFonts w:ascii="Times New Roman" w:hAnsi="Times New Roman"/>
          <w:b w:val="false"/>
          <w:i w:val="false"/>
          <w:color w:val="000000"/>
          <w:sz w:val="24"/>
        </w:rPr>
        <w:t> </w:t>
      </w:r>
      <w:r>
        <w:rPr>
          <w:rFonts w:ascii="Times New Roman" w:hAnsi="Times New Roman"/>
          <w:b w:val="false"/>
          <w:i w:val="false"/>
          <w:color w:val="000000"/>
          <w:sz w:val="24"/>
        </w:rPr>
        <w:t>Less lethal instructor endorsement. Completion of a course approved by the academy in less lethal training.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3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501—5.9</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Application for content instructor endorsement. </w:t>
      </w:r>
      <w:r>
        <w:rPr>
          <w:rFonts w:ascii="Times New Roman" w:hAnsi="Times New Roman"/>
          <w:b w:val="false"/>
          <w:i w:val="false"/>
          <w:color w:val="000000"/>
          <w:sz w:val="24"/>
        </w:rPr>
        <w:t>Applicants seeking a content instructor endorsement(s) will submit an application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w:t>
      </w:r>
      <w:r>
        <w:rPr>
          <w:rFonts w:ascii="Times New Roman" w:hAnsi="Times New Roman"/>
          <w:b w:val="false"/>
          <w:i w:val="false"/>
          <w:color w:val="000000"/>
          <w:sz w:val="24"/>
        </w:rPr>
        <w:t> </w:t>
      </w:r>
      <w:r>
        <w:rPr>
          <w:rFonts w:ascii="Times New Roman" w:hAnsi="Times New Roman"/>
          <w:b w:val="false"/>
          <w:i/>
          <w:color w:val="000000"/>
          <w:sz w:val="24"/>
        </w:rPr>
        <w:t xml:space="preserve">Granting of endorsement. </w:t>
      </w:r>
      <w:r>
        <w:rPr>
          <w:rFonts w:ascii="Times New Roman" w:hAnsi="Times New Roman"/>
          <w:b w:val="false"/>
          <w:i w:val="false"/>
          <w:color w:val="000000"/>
          <w:sz w:val="24"/>
        </w:rPr>
        <w:t xml:space="preserve">Approval for a content instructor endorsement will be granted at the discretion of the council and evaluated on meeting minimum education, background, training, and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w:t>
      </w:r>
      <w:r>
        <w:rPr>
          <w:rFonts w:ascii="Times New Roman" w:hAnsi="Times New Roman"/>
          <w:b w:val="false"/>
          <w:i w:val="false"/>
          <w:color w:val="000000"/>
          <w:sz w:val="24"/>
        </w:rPr>
        <w:t> </w:t>
      </w:r>
      <w:r>
        <w:rPr>
          <w:rFonts w:ascii="Times New Roman" w:hAnsi="Times New Roman"/>
          <w:b w:val="false"/>
          <w:i/>
          <w:color w:val="000000"/>
          <w:sz w:val="24"/>
        </w:rPr>
        <w:t xml:space="preserve">Denial of endorsement. </w:t>
      </w:r>
      <w:r>
        <w:rPr>
          <w:rFonts w:ascii="Times New Roman" w:hAnsi="Times New Roman"/>
          <w:b w:val="false"/>
          <w:i w:val="false"/>
          <w:color w:val="000000"/>
          <w:sz w:val="24"/>
        </w:rPr>
        <w:t xml:space="preserve">If the council denies an application for a content instructor endorsement, the applicant may file a written notice of appeal to the council within 30 days of the denial as set forth in rule </w:t>
      </w:r>
      <w:hyperlink r:id="rId34">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3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501—5.10</w:t>
      </w:r>
      <w:r>
        <w:rPr>
          <w:rFonts w:ascii="Times New Roman" w:hAnsi="Times New Roman"/>
          <w:b/>
          <w:i w:val="false"/>
          <w:color w:val="000000"/>
          <w:sz w:val="24"/>
        </w:rPr>
        <w:t xml:space="preserve">(80B,80D) </w:t>
      </w:r>
      <w:r>
        <w:rPr>
          <w:rFonts w:ascii="Times New Roman" w:hAnsi="Times New Roman"/>
          <w:b/>
          <w:i w:val="false"/>
          <w:color w:val="000000"/>
          <w:sz w:val="24"/>
        </w:rPr>
        <w:t xml:space="preserve">Content instructor endorsement period. </w:t>
      </w:r>
      <w:r>
        <w:rPr>
          <w:rFonts w:ascii="Times New Roman" w:hAnsi="Times New Roman"/>
          <w:b w:val="false"/>
          <w:i w:val="false"/>
          <w:color w:val="000000"/>
          <w:sz w:val="24"/>
        </w:rPr>
        <w:t xml:space="preserve">All endorsements will be issued for a period of three years. An endorsement may be renewed if an applicant remains in good standing; completes a one-hour, in-person or online instructor development course; and submits a renewal application to the council. Failure to renew prior to expiration will require an applicant to earn a new endorsement.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9">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“j”</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w:t>
      </w:r>
      <w:hyperlink r:id="rId4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OTHER ENDORSEMENTS</w:t>
      </w:r>
    </w:p>
    <w:p>
      <w:pPr>
        <w:spacing w:before="0" w:after="0" w:line="480"/>
        <w:ind w:left="120"/>
        <w:jc w:val="both"/>
      </w:pPr>
      <w:r>
        <w:rPr>
          <w:rFonts w:ascii="Times New Roman" w:hAnsi="Times New Roman"/>
          <w:b/>
          <w:i w:val="false"/>
          <w:color w:val="000000"/>
          <w:sz w:val="24"/>
        </w:rPr>
        <w:t>501—5.11</w:t>
      </w:r>
      <w:r>
        <w:rPr>
          <w:rFonts w:ascii="Times New Roman" w:hAnsi="Times New Roman"/>
          <w:b/>
          <w:i w:val="false"/>
          <w:color w:val="000000"/>
          <w:sz w:val="24"/>
        </w:rPr>
        <w:t xml:space="preserve">(80B,80D) </w:t>
      </w:r>
      <w:r>
        <w:rPr>
          <w:rFonts w:ascii="Times New Roman" w:hAnsi="Times New Roman"/>
          <w:b/>
          <w:i w:val="false"/>
          <w:color w:val="000000"/>
          <w:sz w:val="24"/>
        </w:rPr>
        <w:t xml:space="preserve">Other endorsements. </w:t>
      </w:r>
      <w:r>
        <w:rPr>
          <w:rFonts w:ascii="Times New Roman" w:hAnsi="Times New Roman"/>
          <w:b w:val="false"/>
          <w:i w:val="false"/>
          <w:color w:val="000000"/>
          <w:sz w:val="24"/>
        </w:rPr>
        <w:t>Other endorsements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The endorsement for certified Iowa law enforcement officers performing salvage theft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The endorsement for federal law enforcement agents or officers performing H.R. 218 qualifications for retired qualified law enforcement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5.11(3)</w:t>
      </w:r>
      <w:r>
        <w:rPr>
          <w:rFonts w:ascii="Times New Roman" w:hAnsi="Times New Roman"/>
          <w:b w:val="false"/>
          <w:i w:val="false"/>
          <w:color w:val="000000"/>
          <w:sz w:val="24"/>
        </w:rPr>
        <w:t> </w:t>
      </w:r>
      <w:r>
        <w:rPr>
          <w:rFonts w:ascii="Times New Roman" w:hAnsi="Times New Roman"/>
          <w:b w:val="false"/>
          <w:i/>
          <w:color w:val="000000"/>
          <w:sz w:val="24"/>
        </w:rPr>
        <w:t xml:space="preserve">Law Enforcement Officers Safety Act (LEOSA)/H.R. 218 endorsement. </w:t>
      </w:r>
      <w:r>
        <w:rPr>
          <w:rFonts w:ascii="Times New Roman" w:hAnsi="Times New Roman"/>
          <w:b w:val="false"/>
          <w:i w:val="false"/>
          <w:color w:val="000000"/>
          <w:sz w:val="24"/>
        </w:rPr>
        <w:t xml:space="preserve">The endorsement for retired qualified law enforcement officers to carry concealed firearms.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4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501—5.12</w:t>
      </w:r>
      <w:r>
        <w:rPr>
          <w:rFonts w:ascii="Times New Roman" w:hAnsi="Times New Roman"/>
          <w:b/>
          <w:i w:val="false"/>
          <w:color w:val="000000"/>
          <w:sz w:val="24"/>
        </w:rPr>
        <w:t xml:space="preserve">(80B,80D) </w:t>
      </w:r>
      <w:r>
        <w:rPr>
          <w:rFonts w:ascii="Times New Roman" w:hAnsi="Times New Roman"/>
          <w:b/>
          <w:i w:val="false"/>
          <w:color w:val="000000"/>
          <w:sz w:val="24"/>
        </w:rPr>
        <w:t xml:space="preserve">Minimum qualifications for other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 xml:space="preserve">Minimum qualifications include certification as a law enforcement officer employed by an agency participating in the salvage vehicle theft examination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Minimum qualifications include having an academy firearms instructor endorsement or active approval as a firearms instructor from a federal law enforcement agency or the federal law enforcement training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5.12(3)</w:t>
      </w:r>
      <w:r>
        <w:rPr>
          <w:rFonts w:ascii="Times New Roman" w:hAnsi="Times New Roman"/>
          <w:b w:val="false"/>
          <w:i w:val="false"/>
          <w:color w:val="000000"/>
          <w:sz w:val="24"/>
        </w:rPr>
        <w:t> </w:t>
      </w:r>
      <w:r>
        <w:rPr>
          <w:rFonts w:ascii="Times New Roman" w:hAnsi="Times New Roman"/>
          <w:b w:val="false"/>
          <w:i/>
          <w:color w:val="000000"/>
          <w:sz w:val="24"/>
        </w:rPr>
        <w:t xml:space="preserve">LEOSA/H.R. 218 endorsement. </w:t>
      </w:r>
      <w:r>
        <w:rPr>
          <w:rFonts w:ascii="Times New Roman" w:hAnsi="Times New Roman"/>
          <w:b w:val="false"/>
          <w:i w:val="false"/>
          <w:color w:val="000000"/>
          <w:sz w:val="24"/>
        </w:rPr>
        <w:t xml:space="preserve">Minimum qualifications include a signed academy questionnaire and successful completion of the academy qualification course.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4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501—5.13</w:t>
      </w:r>
      <w:r>
        <w:rPr>
          <w:rFonts w:ascii="Times New Roman" w:hAnsi="Times New Roman"/>
          <w:b/>
          <w:i w:val="false"/>
          <w:color w:val="000000"/>
          <w:sz w:val="24"/>
        </w:rPr>
        <w:t xml:space="preserve">(80B,80D) </w:t>
      </w:r>
      <w:r>
        <w:rPr>
          <w:rFonts w:ascii="Times New Roman" w:hAnsi="Times New Roman"/>
          <w:b/>
          <w:i w:val="false"/>
          <w:color w:val="000000"/>
          <w:sz w:val="24"/>
        </w:rPr>
        <w:t xml:space="preserve">Award of other endorsements.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r>
        <w:rPr>
          <w:rFonts w:ascii="Times New Roman" w:hAnsi="Times New Roman"/>
          <w:b w:val="false"/>
          <w:i w:val="false"/>
          <w:color w:val="000000"/>
          <w:sz w:val="24"/>
        </w:rPr>
        <w:t>Applicants meeting minimum qualifications for the endorsements may register for an approved salvage vehicle theft examination training course. The endorsement will be awarded upon the successful completion of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r>
        <w:rPr>
          <w:rFonts w:ascii="Times New Roman" w:hAnsi="Times New Roman"/>
          <w:b w:val="false"/>
          <w:i w:val="false"/>
          <w:color w:val="000000"/>
          <w:sz w:val="24"/>
        </w:rPr>
        <w:t>Applicants meeting the minimum qualifications will receive the endorsement upon confirmation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5.13(3)</w:t>
      </w:r>
      <w:r>
        <w:rPr>
          <w:rFonts w:ascii="Times New Roman" w:hAnsi="Times New Roman"/>
          <w:b w:val="false"/>
          <w:i w:val="false"/>
          <w:color w:val="000000"/>
          <w:sz w:val="24"/>
        </w:rPr>
        <w:t> </w:t>
      </w:r>
      <w:r>
        <w:rPr>
          <w:rFonts w:ascii="Times New Roman" w:hAnsi="Times New Roman"/>
          <w:b w:val="false"/>
          <w:i/>
          <w:color w:val="000000"/>
          <w:sz w:val="24"/>
        </w:rPr>
        <w:t xml:space="preserve">LEOSA/H.R. 218 endorsement. </w:t>
      </w:r>
      <w:r>
        <w:rPr>
          <w:rFonts w:ascii="Times New Roman" w:hAnsi="Times New Roman"/>
          <w:b w:val="false"/>
          <w:i w:val="false"/>
          <w:color w:val="000000"/>
          <w:sz w:val="24"/>
        </w:rPr>
        <w:t>Applicants meeting the minimum qualifications will receive the endorsement upon the presentation of an approved academy questionnaire and successful completion of the academy qualification course.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5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501—5.14</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Denial of other endorsements. </w:t>
      </w:r>
      <w:r>
        <w:rPr>
          <w:rFonts w:ascii="Times New Roman" w:hAnsi="Times New Roman"/>
          <w:b w:val="false"/>
          <w:i w:val="false"/>
          <w:color w:val="000000"/>
          <w:sz w:val="24"/>
        </w:rPr>
        <w:t xml:space="preserve">If an applicant fails to earn an endorsement for which they meet minimum qualifications and have successfully completed all requirements, the applicant may file a written notice of appeal to the council within 30 days of the denial as set forth in rule </w:t>
      </w:r>
      <w:hyperlink r:id="rId54">
        <w:r>
          <w:rPr>
            <w:rStyle w:val="Hyperlink"/>
            <w:rFonts w:ascii="Times New Roman" w:hAnsi="Times New Roman"/>
            <w:b w:val="false"/>
            <w:i w:val="false"/>
            <w:color w:val="000000"/>
            <w:sz w:val="24"/>
          </w:rPr>
          <w:t>7—2506.4(17A)</w:t>
        </w:r>
      </w:hyperlink>
      <w:r>
        <w:rPr>
          <w:rFonts w:ascii="Times New Roman" w:hAnsi="Times New Roman"/>
          <w:b w:val="false"/>
          <w:i w:val="false"/>
          <w:color w:val="000000"/>
          <w:sz w:val="24"/>
        </w:rPr>
        <w:t>.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5">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5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59">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both"/>
      </w:pPr>
      <w:r>
        <w:rPr>
          <w:rFonts w:ascii="Times New Roman" w:hAnsi="Times New Roman"/>
          <w:b/>
          <w:i w:val="false"/>
          <w:color w:val="000000"/>
          <w:sz w:val="24"/>
        </w:rPr>
        <w:t>501—5.15</w:t>
      </w:r>
      <w:r>
        <w:rPr>
          <w:rFonts w:ascii="Times New Roman" w:hAnsi="Times New Roman"/>
          <w:b/>
          <w:i w:val="false"/>
          <w:color w:val="000000"/>
          <w:sz w:val="24"/>
        </w:rPr>
        <w:t xml:space="preserve">(80B,80D) </w:t>
      </w:r>
      <w:r>
        <w:rPr>
          <w:rFonts w:ascii="Times New Roman" w:hAnsi="Times New Roman"/>
          <w:b/>
          <w:i w:val="false"/>
          <w:color w:val="000000"/>
          <w:sz w:val="24"/>
        </w:rPr>
        <w:t xml:space="preserve">Other endorsement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5.15(1)</w:t>
      </w:r>
      <w:r>
        <w:rPr>
          <w:rFonts w:ascii="Times New Roman" w:hAnsi="Times New Roman"/>
          <w:b w:val="false"/>
          <w:i w:val="false"/>
          <w:color w:val="000000"/>
          <w:sz w:val="24"/>
        </w:rPr>
        <w:t> </w:t>
      </w:r>
      <w:r>
        <w:rPr>
          <w:rFonts w:ascii="Times New Roman" w:hAnsi="Times New Roman"/>
          <w:b w:val="false"/>
          <w:i/>
          <w:color w:val="000000"/>
          <w:sz w:val="24"/>
        </w:rPr>
        <w:t xml:space="preserve">Salvage theft examiner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endorsement will be issued for a period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endorsement may be renewed if an applicant remains in good standing and successfully completes an approved four-hour salvage vehicle theft refresher course prior to expiration of the endorsement. Failure to renew prior to expiration will require an applicant to earn a new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5.15(2)</w:t>
      </w:r>
      <w:r>
        <w:rPr>
          <w:rFonts w:ascii="Times New Roman" w:hAnsi="Times New Roman"/>
          <w:b w:val="false"/>
          <w:i w:val="false"/>
          <w:color w:val="000000"/>
          <w:sz w:val="24"/>
        </w:rPr>
        <w:t> </w:t>
      </w:r>
      <w:r>
        <w:rPr>
          <w:rFonts w:ascii="Times New Roman" w:hAnsi="Times New Roman"/>
          <w:b w:val="false"/>
          <w:i/>
          <w:color w:val="000000"/>
          <w:sz w:val="24"/>
        </w:rPr>
        <w:t xml:space="preserve">H.R. 218 qualification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endorsement will be issued for a corresponding time period as the active firearms instructor approval or a maximum period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endorsement may be renewed if an applicant remains in good standing and submits documentation of active firearms instructor approval prior to expiration of the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5.15(3)</w:t>
      </w:r>
      <w:r>
        <w:rPr>
          <w:rFonts w:ascii="Times New Roman" w:hAnsi="Times New Roman"/>
          <w:b w:val="false"/>
          <w:i w:val="false"/>
          <w:color w:val="000000"/>
          <w:sz w:val="24"/>
        </w:rPr>
        <w:t> </w:t>
      </w:r>
      <w:r>
        <w:rPr>
          <w:rFonts w:ascii="Times New Roman" w:hAnsi="Times New Roman"/>
          <w:b w:val="false"/>
          <w:i/>
          <w:color w:val="000000"/>
          <w:sz w:val="24"/>
        </w:rPr>
        <w:t xml:space="preserve">LEOSA/H.R. 218. </w:t>
      </w:r>
      <w:r>
        <w:rPr>
          <w:rFonts w:ascii="Times New Roman" w:hAnsi="Times New Roman"/>
          <w:b w:val="false"/>
          <w:i w:val="false"/>
          <w:color w:val="000000"/>
          <w:sz w:val="24"/>
        </w:rPr>
        <w:t>The endorsement will be issued for a period of one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6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62">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pBdr>
          <w:top w:space="10"/>
        </w:pBdr>
        <w:spacing w:before="0" w:after="0" w:line="480"/>
        <w:ind w:left="120"/>
        <w:jc w:val="center"/>
      </w:pPr>
      <w:r>
        <w:rPr>
          <w:rFonts w:ascii="Times New Roman" w:hAnsi="Times New Roman"/>
          <w:b w:val="false"/>
          <w:i w:val="false"/>
          <w:color w:val="000000"/>
          <w:sz w:val="16"/>
        </w:rPr>
        <w:t>ALL ENDORSEMENTS</w:t>
      </w:r>
    </w:p>
    <w:p>
      <w:pPr>
        <w:spacing w:before="0" w:after="0" w:line="480"/>
        <w:ind w:left="120"/>
        <w:jc w:val="both"/>
      </w:pPr>
      <w:r>
        <w:rPr>
          <w:rFonts w:ascii="Times New Roman" w:hAnsi="Times New Roman"/>
          <w:b/>
          <w:i w:val="false"/>
          <w:color w:val="000000"/>
          <w:sz w:val="24"/>
        </w:rPr>
        <w:t>501—5.16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Revocation or suspension of any endorsement. </w:t>
      </w:r>
      <w:r>
        <w:rPr>
          <w:rFonts w:ascii="Times New Roman" w:hAnsi="Times New Roman"/>
          <w:b w:val="false"/>
          <w:i w:val="false"/>
          <w:color w:val="000000"/>
          <w:sz w:val="24"/>
        </w:rPr>
        <w:t xml:space="preserve">Any endorsement may be revoked or suspended in writing at the discretion of the council or director, subject to subsequent council approval. The individual may file a written notice of appeal to the council within 30 days of the revocation or suspension as set forth in rule </w:t>
      </w:r>
      <w:hyperlink r:id="rId64">
        <w:r>
          <w:rPr>
            <w:rStyle w:val="Hyperlink"/>
            <w:rFonts w:ascii="Times New Roman" w:hAnsi="Times New Roman"/>
            <w:b w:val="false"/>
            <w:i w:val="false"/>
            <w:color w:val="000000"/>
            <w:sz w:val="24"/>
          </w:rPr>
          <w:t>7—2506.4</w:t>
        </w:r>
      </w:hyperlink>
      <w:r>
        <w:rPr>
          <w:rFonts w:ascii="Times New Roman" w:hAnsi="Times New Roman"/>
          <w:b w:val="false"/>
          <w:i w:val="false"/>
          <w:color w:val="000000"/>
          <w:sz w:val="24"/>
        </w:rPr>
        <w:t>(17A). A hearing will be held by the council within 90 days of the receipt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5.16(1)</w:t>
      </w:r>
      <w:r>
        <w:rPr>
          <w:rFonts w:ascii="Times New Roman" w:hAnsi="Times New Roman"/>
          <w:b w:val="false"/>
          <w:i w:val="false"/>
          <w:color w:val="000000"/>
          <w:sz w:val="24"/>
        </w:rPr>
        <w:t> </w:t>
      </w:r>
      <w:r>
        <w:rPr>
          <w:rFonts w:ascii="Times New Roman" w:hAnsi="Times New Roman"/>
          <w:b w:val="false"/>
          <w:i/>
          <w:color w:val="000000"/>
          <w:sz w:val="24"/>
        </w:rPr>
        <w:t xml:space="preserve">Good standing. </w:t>
      </w:r>
      <w:r>
        <w:rPr>
          <w:rFonts w:ascii="Times New Roman" w:hAnsi="Times New Roman"/>
          <w:b w:val="false"/>
          <w:i w:val="false"/>
          <w:color w:val="000000"/>
          <w:sz w:val="24"/>
        </w:rPr>
        <w:t>Good standing determination is at the sole discretion of the council or director, subject to subsequent council approval. A person who has been dismissed for good cause from previous employment; who leaves, voluntarily quits, or whose position is eliminated when disciplinary action was imminent or pending that could have resulted in removal for good cause; who has had a probable cause finding in the disciplinary process; who has engaged in dishonorable conduct; or who has been disciplined for a concern involving the subject area of the endorsement is not considered to be in good standing for purposes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5.16(2)</w:t>
      </w:r>
      <w:r>
        <w:rPr>
          <w:rFonts w:ascii="Times New Roman" w:hAnsi="Times New Roman"/>
          <w:b w:val="false"/>
          <w:i w:val="false"/>
          <w:color w:val="000000"/>
          <w:sz w:val="24"/>
        </w:rPr>
        <w:t> </w:t>
      </w:r>
      <w:r>
        <w:rPr>
          <w:rFonts w:ascii="Times New Roman" w:hAnsi="Times New Roman"/>
          <w:b w:val="false"/>
          <w:i/>
          <w:color w:val="000000"/>
          <w:sz w:val="24"/>
        </w:rPr>
        <w:t xml:space="preserve">Responsibility for areas of instruction and proper endorsement. </w:t>
      </w:r>
      <w:r>
        <w:rPr>
          <w:rFonts w:ascii="Times New Roman" w:hAnsi="Times New Roman"/>
          <w:b w:val="false"/>
          <w:i w:val="false"/>
          <w:color w:val="000000"/>
          <w:sz w:val="24"/>
        </w:rPr>
        <w:t>It is the personal responsibility of the instructor to ensure that the instructor is only providing instruction for topics that the instructor is endorsed to instruct. Failure to adhere to this provision is a basis for revocation or suspension of instructor endorsements.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5.16(3)</w:t>
      </w:r>
      <w:r>
        <w:rPr>
          <w:rFonts w:ascii="Times New Roman" w:hAnsi="Times New Roman"/>
          <w:b w:val="false"/>
          <w:i w:val="false"/>
          <w:color w:val="000000"/>
          <w:sz w:val="24"/>
        </w:rPr>
        <w:t> </w:t>
      </w:r>
      <w:r>
        <w:rPr>
          <w:rFonts w:ascii="Times New Roman" w:hAnsi="Times New Roman"/>
          <w:b w:val="false"/>
          <w:i/>
          <w:color w:val="000000"/>
          <w:sz w:val="24"/>
        </w:rPr>
        <w:t xml:space="preserve">Contested cases. </w:t>
      </w:r>
      <w:r>
        <w:rPr>
          <w:rFonts w:ascii="Times New Roman" w:hAnsi="Times New Roman"/>
          <w:b w:val="false"/>
          <w:i w:val="false"/>
          <w:color w:val="000000"/>
          <w:sz w:val="24"/>
        </w:rPr>
        <w:t>If the revocation or suspension of an endorsement relates to a contested case, the matters will be heard together.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5">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6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w:t>
      </w:r>
      <w:hyperlink r:id="rId6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321.52(4)</w:t>
        </w:r>
      </w:hyperlink>
      <w:r>
        <w:rPr>
          <w:rFonts w:ascii="Times New Roman" w:hAnsi="Times New Roman"/>
          <w:b w:val="false"/>
          <w:i/>
          <w:color w:val="000000"/>
          <w:sz w:val="24"/>
        </w:rPr>
        <w:t>“d.”</w:t>
      </w:r>
    </w:p>
    <w:p>
      <w:pPr>
        <w:spacing w:before="0" w:after="0" w:line="480"/>
        <w:ind w:left="120"/>
        <w:jc w:val="left"/>
      </w:pPr>
      <w:bookmarkStart w:name="lastARC" w:id="2"/>
      <w:bookmarkEnd w:id="2"/>
    </w:p>
    <w:sectPr>
      <w:footerReference r:id="rId7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6032546297" Type="http://schemas.openxmlformats.org/officeDocument/2006/relationships/hyperlink" Id="rId5"/>
    <Relationship TargetMode="External" Target="http://us06web.zoom.us/j/8702502906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80B.11.pdf" Type="http://schemas.openxmlformats.org/officeDocument/2006/relationships/hyperlink" Id="rId8"/>
    <Relationship TargetMode="External" Target="https://www.legis.iowa.gov/docs/ico/chapter/80B.11A.pdf" Type="http://schemas.openxmlformats.org/officeDocument/2006/relationships/hyperlink" Id="rId9"/>
    <Relationship TargetMode="External" Target="https://www.legis.iowa.gov/docs/ico/chapter/80D.4A.pdf" Type="http://schemas.openxmlformats.org/officeDocument/2006/relationships/hyperlink" Id="rId10"/>
    <Relationship TargetMode="External" Target="https://www.legis.iowa.gov/docs/ico/chapter/80B.11.pdf" Type="http://schemas.openxmlformats.org/officeDocument/2006/relationships/hyperlink" Id="rId11"/>
    <Relationship TargetMode="External" Target="https://www.legis.iowa.gov/docs/ico/chapter/80B.11A.pdf" Type="http://schemas.openxmlformats.org/officeDocument/2006/relationships/hyperlink" Id="rId12"/>
    <Relationship TargetMode="External" Target="https://www.legis.iowa.gov/docs/ico/chapter/80D.4A.pdf" Type="http://schemas.openxmlformats.org/officeDocument/2006/relationships/hyperlink" Id="rId13"/>
    <Relationship TargetMode="External" Target="https://www.legis.iowa.gov/docs/ico/chapter/80B.11.pdf" Type="http://schemas.openxmlformats.org/officeDocument/2006/relationships/hyperlink" Id="rId14"/>
    <Relationship TargetMode="External" Target="https://www.legis.iowa.gov/docs/ico/chapter/80B.11A.pdf" Type="http://schemas.openxmlformats.org/officeDocument/2006/relationships/hyperlink" Id="rId15"/>
    <Relationship TargetMode="External" Target="https://www.legis.iowa.gov/docs/ico/chapter/80D.4A.pdf" Type="http://schemas.openxmlformats.org/officeDocument/2006/relationships/hyperlink" Id="rId16"/>
    <Relationship TargetMode="External" Target="https://www.legis.iowa.gov/docs/iac/rule/7.2506.4.pdf" Type="http://schemas.openxmlformats.org/officeDocument/2006/relationships/hyperlink" Id="rId17"/>
    <Relationship TargetMode="External" Target="https://www.legis.iowa.gov/docs/ico/chapter/17A.12.pdf" Type="http://schemas.openxmlformats.org/officeDocument/2006/relationships/hyperlink" Id="rId18"/>
    <Relationship TargetMode="External" Target="https://www.legis.iowa.gov/docs/ico/chapter/80B.11.pdf" Type="http://schemas.openxmlformats.org/officeDocument/2006/relationships/hyperlink" Id="rId19"/>
    <Relationship TargetMode="External" Target="https://www.legis.iowa.gov/docs/ico/chapter/80B.11A.pdf" Type="http://schemas.openxmlformats.org/officeDocument/2006/relationships/hyperlink" Id="rId20"/>
    <Relationship TargetMode="External" Target="https://www.legis.iowa.gov/docs/ico/chapter/80D.4A.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1A.pdf" Type="http://schemas.openxmlformats.org/officeDocument/2006/relationships/hyperlink" Id="rId23"/>
    <Relationship TargetMode="External" Target="https://www.legis.iowa.gov/docs/ico/chapter/80D.4A.pdf" Type="http://schemas.openxmlformats.org/officeDocument/2006/relationships/hyperlink" Id="rId24"/>
    <Relationship TargetMode="External" Target="https://www.legis.iowa.gov/docs/ico/chapter/80B.11.pdf" Type="http://schemas.openxmlformats.org/officeDocument/2006/relationships/hyperlink" Id="rId25"/>
    <Relationship TargetMode="External" Target="https://www.legis.iowa.gov/docs/ico/chapter/80B.11A.pdf" Type="http://schemas.openxmlformats.org/officeDocument/2006/relationships/hyperlink" Id="rId26"/>
    <Relationship TargetMode="External" Target="https://www.legis.iowa.gov/docs/ico/chapter/80D.4A.pdf" Type="http://schemas.openxmlformats.org/officeDocument/2006/relationships/hyperlink" Id="rId27"/>
    <Relationship TargetMode="External" Target="https://www.legis.iowa.gov/docs/ico/chapter/80B.11.pdf" Type="http://schemas.openxmlformats.org/officeDocument/2006/relationships/hyperlink" Id="rId28"/>
    <Relationship TargetMode="External" Target="https://www.legis.iowa.gov/docs/ico/chapter/80B.11A.pdf" Type="http://schemas.openxmlformats.org/officeDocument/2006/relationships/hyperlink" Id="rId29"/>
    <Relationship TargetMode="External" Target="https://www.legis.iowa.gov/docs/ico/chapter/80D.4A.pdf" Type="http://schemas.openxmlformats.org/officeDocument/2006/relationships/hyperlink" Id="rId30"/>
    <Relationship TargetMode="External" Target="https://www.legis.iowa.gov/docs/ico/chapter/80B.11.pdf" Type="http://schemas.openxmlformats.org/officeDocument/2006/relationships/hyperlink" Id="rId31"/>
    <Relationship TargetMode="External" Target="https://www.legis.iowa.gov/docs/ico/chapter/80B.11A.pdf" Type="http://schemas.openxmlformats.org/officeDocument/2006/relationships/hyperlink" Id="rId32"/>
    <Relationship TargetMode="External" Target="https://www.legis.iowa.gov/docs/ico/chapter/80D.4A.pdf" Type="http://schemas.openxmlformats.org/officeDocument/2006/relationships/hyperlink" Id="rId33"/>
    <Relationship TargetMode="External" Target="https://www.legis.iowa.gov/docs/iac/rule/7.2506.4.pdf" Type="http://schemas.openxmlformats.org/officeDocument/2006/relationships/hyperlink" Id="rId34"/>
    <Relationship TargetMode="External" Target="https://www.legis.iowa.gov/docs/ico/chapter/17A.12.pdf" Type="http://schemas.openxmlformats.org/officeDocument/2006/relationships/hyperlink" Id="rId35"/>
    <Relationship TargetMode="External" Target="https://www.legis.iowa.gov/docs/ico/chapter/80B.11.pdf" Type="http://schemas.openxmlformats.org/officeDocument/2006/relationships/hyperlink" Id="rId36"/>
    <Relationship TargetMode="External" Target="https://www.legis.iowa.gov/docs/ico/chapter/80B.11A.pdf" Type="http://schemas.openxmlformats.org/officeDocument/2006/relationships/hyperlink" Id="rId37"/>
    <Relationship TargetMode="External" Target="https://www.legis.iowa.gov/docs/ico/chapter/80D.4A.pdf" Type="http://schemas.openxmlformats.org/officeDocument/2006/relationships/hyperlink" Id="rId38"/>
    <Relationship TargetMode="External" Target="https://www.legis.iowa.gov/docs/ico/chapter/80B.11.pdf" Type="http://schemas.openxmlformats.org/officeDocument/2006/relationships/hyperlink" Id="rId39"/>
    <Relationship TargetMode="External" Target="https://www.legis.iowa.gov/docs/ico/chapter/80B.11A.pdf" Type="http://schemas.openxmlformats.org/officeDocument/2006/relationships/hyperlink" Id="rId40"/>
    <Relationship TargetMode="External" Target="https://www.legis.iowa.gov/docs/ico/chapter/80D.4A.pdf" Type="http://schemas.openxmlformats.org/officeDocument/2006/relationships/hyperlink" Id="rId41"/>
    <Relationship TargetMode="External" Target="https://www.legis.iowa.gov/docs/ico/chapter/80B.11.pdf" Type="http://schemas.openxmlformats.org/officeDocument/2006/relationships/hyperlink" Id="rId42"/>
    <Relationship TargetMode="External" Target="https://www.legis.iowa.gov/docs/ico/chapter/80B.11A.pdf" Type="http://schemas.openxmlformats.org/officeDocument/2006/relationships/hyperlink" Id="rId43"/>
    <Relationship TargetMode="External" Target="https://www.legis.iowa.gov/docs/ico/chapter/80D.4A.pdf" Type="http://schemas.openxmlformats.org/officeDocument/2006/relationships/hyperlink" Id="rId44"/>
    <Relationship TargetMode="External" Target="https://www.legis.iowa.gov/docs/ico/chapter/321.52.pdf" Type="http://schemas.openxmlformats.org/officeDocument/2006/relationships/hyperlink" Id="rId45"/>
    <Relationship TargetMode="External" Target="https://www.legis.iowa.gov/docs/ico/chapter/80B.11.pdf" Type="http://schemas.openxmlformats.org/officeDocument/2006/relationships/hyperlink" Id="rId46"/>
    <Relationship TargetMode="External" Target="https://www.legis.iowa.gov/docs/ico/chapter/80B.11A.pdf" Type="http://schemas.openxmlformats.org/officeDocument/2006/relationships/hyperlink" Id="rId47"/>
    <Relationship TargetMode="External" Target="https://www.legis.iowa.gov/docs/ico/chapter/80D.4A.pdf" Type="http://schemas.openxmlformats.org/officeDocument/2006/relationships/hyperlink" Id="rId48"/>
    <Relationship TargetMode="External" Target="https://www.legis.iowa.gov/docs/ico/chapter/321.52.pdf" Type="http://schemas.openxmlformats.org/officeDocument/2006/relationships/hyperlink" Id="rId49"/>
    <Relationship TargetMode="External" Target="https://www.legis.iowa.gov/docs/ico/chapter/80B.11.pdf" Type="http://schemas.openxmlformats.org/officeDocument/2006/relationships/hyperlink" Id="rId50"/>
    <Relationship TargetMode="External" Target="https://www.legis.iowa.gov/docs/ico/chapter/80B.11A.pdf" Type="http://schemas.openxmlformats.org/officeDocument/2006/relationships/hyperlink" Id="rId51"/>
    <Relationship TargetMode="External" Target="https://www.legis.iowa.gov/docs/ico/chapter/80D.4A.pdf" Type="http://schemas.openxmlformats.org/officeDocument/2006/relationships/hyperlink" Id="rId52"/>
    <Relationship TargetMode="External" Target="https://www.legis.iowa.gov/docs/ico/chapter/321.52.pdf" Type="http://schemas.openxmlformats.org/officeDocument/2006/relationships/hyperlink" Id="rId53"/>
    <Relationship TargetMode="External" Target="https://www.legis.iowa.gov/docs/iac/rule/7.2506.4.pdf" Type="http://schemas.openxmlformats.org/officeDocument/2006/relationships/hyperlink" Id="rId54"/>
    <Relationship TargetMode="External" Target="https://www.legis.iowa.gov/docs/ico/chapter/17A.12.pdf" Type="http://schemas.openxmlformats.org/officeDocument/2006/relationships/hyperlink" Id="rId55"/>
    <Relationship TargetMode="External" Target="https://www.legis.iowa.gov/docs/ico/chapter/80B.11.pdf" Type="http://schemas.openxmlformats.org/officeDocument/2006/relationships/hyperlink" Id="rId56"/>
    <Relationship TargetMode="External" Target="https://www.legis.iowa.gov/docs/ico/chapter/80B.11A.pdf" Type="http://schemas.openxmlformats.org/officeDocument/2006/relationships/hyperlink" Id="rId57"/>
    <Relationship TargetMode="External" Target="https://www.legis.iowa.gov/docs/ico/chapter/80D.4A.pdf" Type="http://schemas.openxmlformats.org/officeDocument/2006/relationships/hyperlink" Id="rId58"/>
    <Relationship TargetMode="External" Target="https://www.legis.iowa.gov/docs/ico/chapter/321.52.pdf" Type="http://schemas.openxmlformats.org/officeDocument/2006/relationships/hyperlink" Id="rId59"/>
    <Relationship TargetMode="External" Target="https://www.legis.iowa.gov/docs/ico/chapter/80B.11.pdf" Type="http://schemas.openxmlformats.org/officeDocument/2006/relationships/hyperlink" Id="rId60"/>
    <Relationship TargetMode="External" Target="https://www.legis.iowa.gov/docs/ico/chapter/80B.11A.pdf" Type="http://schemas.openxmlformats.org/officeDocument/2006/relationships/hyperlink" Id="rId61"/>
    <Relationship TargetMode="External" Target="https://www.legis.iowa.gov/docs/ico/chapter/80D.4A.pdf" Type="http://schemas.openxmlformats.org/officeDocument/2006/relationships/hyperlink" Id="rId62"/>
    <Relationship TargetMode="External" Target="https://www.legis.iowa.gov/docs/ico/chapter/321.52.pdf" Type="http://schemas.openxmlformats.org/officeDocument/2006/relationships/hyperlink" Id="rId63"/>
    <Relationship TargetMode="External" Target="https://www.legis.iowa.gov/docs/iac/rule/7.2506.4.pdf" Type="http://schemas.openxmlformats.org/officeDocument/2006/relationships/hyperlink" Id="rId64"/>
    <Relationship TargetMode="External" Target="https://www.legis.iowa.gov/docs/ico/chapter/17A.12.pdf" Type="http://schemas.openxmlformats.org/officeDocument/2006/relationships/hyperlink" Id="rId65"/>
    <Relationship TargetMode="External" Target="https://www.legis.iowa.gov/docs/ico/chapter/80B.11.pdf" Type="http://schemas.openxmlformats.org/officeDocument/2006/relationships/hyperlink" Id="rId66"/>
    <Relationship TargetMode="External" Target="https://www.legis.iowa.gov/docs/ico/chapter/80B.11A.pdf" Type="http://schemas.openxmlformats.org/officeDocument/2006/relationships/hyperlink" Id="rId67"/>
    <Relationship TargetMode="External" Target="https://www.legis.iowa.gov/docs/ico/chapter/80D.4A.pdf" Type="http://schemas.openxmlformats.org/officeDocument/2006/relationships/hyperlink" Id="rId68"/>
    <Relationship TargetMode="External" Target="https://www.legis.iowa.gov/docs/ico/chapter/321.52.pdf" Type="http://schemas.openxmlformats.org/officeDocument/2006/relationships/hyperlink" Id="rId69"/>
    <Relationship Target="footer.xml" Type="http://schemas.openxmlformats.org/officeDocument/2006/relationships/footer" Id="rId7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