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19D" w:id="1"/>
    <w:p>
      <w:pPr>
        <w:spacing w:before="0" w:after="0" w:line="480"/>
        <w:ind w:left="120"/>
        <w:jc w:val="right"/>
      </w:pPr>
      <w:r>
        <w:rPr>
          <w:rFonts w:ascii="Times New Roman" w:hAnsi="Times New Roman"/>
          <w:b/>
          <w:i w:val="false"/>
          <w:color w:val="000000"/>
          <w:sz w:val="28"/>
        </w:rPr>
        <w:t>ARC 0519D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license issuance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Transportation hereby proposes to amend Chapter 605, “License Issuance,”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307.12(1)“j,” 321.182, 321.189, 321.195 and 321.196.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321.182, 321.189, 321.195 and 321.196 and 2026 Iowa Acts, Senate File 2088.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align the rules with 2026 Iowa Acts, Senate File 2088, section 16, which authorizes the Department to provide electronic driver’s license replacement services through the Department’s new information technology (IT) system. The amendments also update the rules to reflect how the new system will process other driver’s license issuance transactions, including electronic renewals, and make corresponding technical and citation changes throughout the chapter.</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27,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23, 2026</w:t>
      </w:r>
    </w:p>
    <w:p>
      <w:pPr>
        <w:spacing w:before="0" w:after="0" w:line="480"/>
        <w:ind w:left="120"/>
        <w:jc w:val="both"/>
      </w:pPr>
      <w:r>
        <w:rPr>
          <w:rFonts w:ascii="Times New Roman" w:hAnsi="Times New Roman"/>
          <w:b w:val="false"/>
          <w:i w:val="false"/>
          <w:color w:val="000000"/>
          <w:sz w:val="24"/>
        </w:rPr>
        <w:t>    The Department made one change from the Regulatory Analysis. The Department proposes to revise the definition of “medical report” to include a supplemental medical report that can be used by medical professionals after a driver completes occupational therapy or driver rehabilitation. This supplemental report is specifically tailored for situations in which such therapy or rehabilitation was required and therefore allows for a more accurate description of any resulting qualifications or licensing recommendations.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20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Phone: 515.239.1358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11:30 a.m. to 12 noon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123 015 204#</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3:30 to 4 p.m.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409 751 774#</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761—605.2(307,321)</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“Medical report,” </w:t>
      </w:r>
      <w:r>
        <w:rPr>
          <w:rFonts w:ascii="Times New Roman" w:hAnsi="Times New Roman"/>
          <w:b w:val="false"/>
          <w:i w:val="false"/>
          <w:color w:val="000000"/>
          <w:sz w:val="24"/>
        </w:rPr>
        <w:t xml:space="preserve">“Qualified medical professional” and </w:t>
      </w:r>
      <w:r>
        <w:rPr>
          <w:rFonts w:ascii="Times New Roman" w:hAnsi="Times New Roman"/>
          <w:b w:val="false"/>
          <w:i w:val="false"/>
          <w:color w:val="000000"/>
          <w:sz w:val="24"/>
        </w:rPr>
        <w:t>“Temporarily present in this state,”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report”</w:t>
      </w:r>
      <w:r>
        <w:rPr>
          <w:rFonts w:ascii="Times New Roman" w:hAnsi="Times New Roman"/>
          <w:b w:val="false"/>
          <w:i w:val="false"/>
          <w:color w:val="000000"/>
          <w:sz w:val="24"/>
        </w:rPr>
        <w:t> </w:t>
      </w:r>
      <w:r>
        <w:rPr>
          <w:rFonts w:ascii="Times New Roman" w:hAnsi="Times New Roman"/>
          <w:b w:val="false"/>
          <w:i w:val="false"/>
          <w:color w:val="000000"/>
          <w:sz w:val="24"/>
        </w:rPr>
        <w:t>means a report from a qualified medical professional attesting to a person’s physical or mental capability to operate a motor vehicle safely. The report should be submitted on Form 430031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Form 420010 if it is a supplemental medical report submitted after completion of occupational therapy or driver rehabilitation</w:t>
      </w:r>
      <w:r>
        <w:rPr>
          <w:rFonts w:ascii="Times New Roman" w:hAnsi="Times New Roman"/>
          <w:b w:val="false"/>
          <w:i w:val="false"/>
          <w:color w:val="000000"/>
          <w:sz w:val="24"/>
        </w:rPr>
        <w:t>. In lieu of Form 430031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420010</w:t>
      </w:r>
      <w:r>
        <w:rPr>
          <w:rFonts w:ascii="Times New Roman" w:hAnsi="Times New Roman"/>
          <w:b w:val="false"/>
          <w:i w:val="false"/>
          <w:color w:val="000000"/>
          <w:sz w:val="24"/>
        </w:rPr>
        <w:t>, a report signed by a qualified medical professional on the qualified medical professional’s letterhead may be accepted if it contains all the information specified on Form 430031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420010, as applicable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medical professional”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licensed as a physician under Iowa Code chapter </w:t>
      </w:r>
      <w:hyperlink r:id="rId8">
        <w:r>
          <w:rPr>
            <w:rStyle w:val="Hyperlink"/>
            <w:rFonts w:ascii="Times New Roman" w:hAnsi="Times New Roman"/>
            <w:b w:val="false"/>
            <w:i w:val="false"/>
            <w:color w:val="000000"/>
            <w:sz w:val="24"/>
          </w:rPr>
          <w:t>148</w:t>
        </w:r>
      </w:hyperlink>
      <w:r>
        <w:rPr>
          <w:rFonts w:ascii="Times New Roman" w:hAnsi="Times New Roman"/>
          <w:b w:val="false"/>
          <w:i w:val="false"/>
          <w:color w:val="000000"/>
          <w:sz w:val="24"/>
        </w:rPr>
        <w:t xml:space="preserve">, a person licensed as an advanced registered nurse practitioner under Iowa Code chapter </w:t>
      </w:r>
      <w:hyperlink r:id="rId9">
        <w:r>
          <w:rPr>
            <w:rStyle w:val="Hyperlink"/>
            <w:rFonts w:ascii="Times New Roman" w:hAnsi="Times New Roman"/>
            <w:b w:val="false"/>
            <w:i w:val="false"/>
            <w:color w:val="000000"/>
            <w:sz w:val="24"/>
          </w:rPr>
          <w:t>152</w:t>
        </w:r>
      </w:hyperlink>
      <w:r>
        <w:rPr>
          <w:rFonts w:ascii="Times New Roman" w:hAnsi="Times New Roman"/>
          <w:b w:val="false"/>
          <w:i w:val="false"/>
          <w:color w:val="000000"/>
          <w:sz w:val="24"/>
        </w:rPr>
        <w:t xml:space="preserve"> and licensed with the board of nursing or a person licensed as a physician </w:t>
      </w:r>
      <w:r>
        <w:rPr>
          <w:rFonts w:ascii="Times New Roman" w:hAnsi="Times New Roman"/>
          <w:b w:val="false"/>
          <w:i w:val="false"/>
          <w:strike/>
          <w:color w:val="000000"/>
          <w:sz w:val="24"/>
        </w:rPr>
        <w:t>assistant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associate</w:t>
      </w:r>
      <w:r>
        <w:rPr>
          <w:rFonts w:ascii="Times New Roman" w:hAnsi="Times New Roman"/>
          <w:b w:val="false"/>
          <w:i w:val="false"/>
          <w:color w:val="000000"/>
          <w:sz w:val="24"/>
        </w:rPr>
        <w:t xml:space="preserve"> under Iowa Code chapter </w:t>
      </w:r>
      <w:hyperlink r:id="rId10">
        <w:r>
          <w:rPr>
            <w:rStyle w:val="Hyperlink"/>
            <w:rFonts w:ascii="Times New Roman" w:hAnsi="Times New Roman"/>
            <w:b w:val="false"/>
            <w:i w:val="false"/>
            <w:color w:val="000000"/>
            <w:sz w:val="24"/>
          </w:rPr>
          <w:t>148C</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Senate File 2190</w:t>
      </w:r>
      <w:r>
        <w:rPr>
          <w:rFonts w:ascii="Times New Roman" w:hAnsi="Times New Roman"/>
          <w:b w:val="false"/>
          <w:i w:val="false"/>
          <w:color w:val="000000"/>
          <w:sz w:val="24"/>
          <w:u w:val="single"/>
        </w:rPr>
        <w:t>, section 3</w:t>
      </w:r>
      <w:r>
        <w:rPr>
          <w:rFonts w:ascii="Times New Roman" w:hAnsi="Times New Roman"/>
          <w:b w:val="false"/>
          <w:i w:val="false"/>
          <w:color w:val="000000"/>
          <w:sz w:val="24"/>
        </w:rPr>
        <w:t>, when practicing within the scope of the person’s professional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“Temporarily present in this state”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has temporary lawful status as defined in 6 CFR Section 37.3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605.3(3)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605.3(3)</w:t>
      </w:r>
      <w:r>
        <w:rPr>
          <w:rFonts w:ascii="Times New Roman" w:hAnsi="Times New Roman"/>
          <w:b w:val="false"/>
          <w:i w:val="false"/>
          <w:color w:val="000000"/>
          <w:sz w:val="24"/>
        </w:rPr>
        <w:t> </w:t>
      </w:r>
      <w:r>
        <w:rPr>
          <w:rFonts w:ascii="Times New Roman" w:hAnsi="Times New Roman"/>
          <w:b w:val="false"/>
          <w:i w:val="false"/>
          <w:color w:val="000000"/>
          <w:sz w:val="24"/>
        </w:rPr>
        <w:t>When the department receives evidence that an Iowa licensed driver has been adjudged incompetent or is not physically or mentally qualified to operate a motor vehicle safely, the department will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deny or</w:t>
      </w:r>
      <w:r>
        <w:rPr>
          <w:rFonts w:ascii="Times New Roman" w:hAnsi="Times New Roman"/>
          <w:b w:val="false"/>
          <w:i w:val="false"/>
          <w:color w:val="000000"/>
          <w:sz w:val="24"/>
        </w:rPr>
        <w:t xml:space="preserve"> suspend the license for incapability, as explained in rule </w:t>
      </w:r>
      <w:hyperlink r:id="rId11">
        <w:r>
          <w:rPr>
            <w:rStyle w:val="Hyperlink"/>
            <w:rFonts w:ascii="Times New Roman" w:hAnsi="Times New Roman"/>
            <w:b w:val="false"/>
            <w:i w:val="false"/>
            <w:strike/>
            <w:color w:val="000000"/>
            <w:sz w:val="24"/>
          </w:rPr>
          <w:t>761—615.14</w:t>
        </w:r>
      </w:hyperlink>
      <w:r>
        <w:rPr>
          <w:rFonts w:ascii="Times New Roman" w:hAnsi="Times New Roman"/>
          <w:b w:val="false"/>
          <w:i w:val="false"/>
          <w:strike/>
          <w:color w:val="000000"/>
          <w:sz w:val="24"/>
        </w:rPr>
        <w:t xml:space="preserve">(321), or deny further licensing, as explained in rule </w:t>
      </w:r>
      <w:hyperlink r:id="rId12">
        <w:r>
          <w:rPr>
            <w:rStyle w:val="Hyperlink"/>
            <w:rFonts w:ascii="Times New Roman" w:hAnsi="Times New Roman"/>
            <w:b w:val="false"/>
            <w:i w:val="false"/>
            <w:strike/>
            <w:color w:val="000000"/>
            <w:sz w:val="24"/>
          </w:rPr>
          <w:t>761—615.4</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3">
        <w:r>
          <w:rPr>
            <w:rStyle w:val="Hyperlink"/>
            <w:rFonts w:ascii="Times New Roman" w:hAnsi="Times New Roman"/>
            <w:b w:val="false"/>
            <w:i w:val="false"/>
            <w:color w:val="000000"/>
            <w:sz w:val="24"/>
            <w:u w:val="single"/>
          </w:rPr>
          <w:t>761—615.7</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761—605.4(142C,321)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761—605.4</w:t>
      </w:r>
      <w:r>
        <w:rPr>
          <w:rFonts w:ascii="Times New Roman" w:hAnsi="Times New Roman"/>
          <w:b/>
          <w:i w:val="false"/>
          <w:color w:val="000000"/>
          <w:sz w:val="24"/>
        </w:rPr>
        <w:t xml:space="preserve">(142C,321) </w:t>
      </w:r>
      <w:r>
        <w:rPr>
          <w:rFonts w:ascii="Times New Roman" w:hAnsi="Times New Roman"/>
          <w:b/>
          <w:i w:val="false"/>
          <w:color w:val="000000"/>
          <w:sz w:val="24"/>
        </w:rPr>
        <w:t xml:space="preserve">Contents of license. </w:t>
      </w:r>
      <w:r>
        <w:rPr>
          <w:rFonts w:ascii="Times New Roman" w:hAnsi="Times New Roman"/>
          <w:b w:val="false"/>
          <w:i w:val="false"/>
          <w:color w:val="000000"/>
          <w:sz w:val="24"/>
        </w:rPr>
        <w:t xml:space="preserve">In addition to the information specified in Iowa Code section </w:t>
      </w:r>
      <w:hyperlink r:id="rId14">
        <w:r>
          <w:rPr>
            <w:rStyle w:val="Hyperlink"/>
            <w:rFonts w:ascii="Times New Roman" w:hAnsi="Times New Roman"/>
            <w:b w:val="false"/>
            <w:i w:val="false"/>
            <w:color w:val="000000"/>
            <w:sz w:val="24"/>
          </w:rPr>
          <w:t>321.189(2)</w:t>
        </w:r>
      </w:hyperlink>
      <w:r>
        <w:rPr>
          <w:rFonts w:ascii="Times New Roman" w:hAnsi="Times New Roman"/>
          <w:b w:val="false"/>
          <w:i w:val="false"/>
          <w:color w:val="000000"/>
          <w:sz w:val="24"/>
        </w:rPr>
        <w:t>, the following information will be shown on a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605.4(1)</w:t>
      </w:r>
      <w:r>
        <w:rPr>
          <w:rFonts w:ascii="Times New Roman" w:hAnsi="Times New Roman"/>
          <w:b w:val="false"/>
          <w:i w:val="false"/>
          <w:color w:val="000000"/>
          <w:sz w:val="24"/>
        </w:rPr>
        <w:t> </w:t>
      </w:r>
      <w:r>
        <w:rPr>
          <w:rFonts w:ascii="Times New Roman" w:hAnsi="Times New Roman"/>
          <w:b w:val="false"/>
          <w:i/>
          <w:color w:val="000000"/>
          <w:sz w:val="24"/>
        </w:rPr>
        <w:t xml:space="preserve">Name. </w:t>
      </w:r>
      <w:r>
        <w:rPr>
          <w:rFonts w:ascii="Times New Roman" w:hAnsi="Times New Roman"/>
          <w:b w:val="false"/>
          <w:i w:val="false"/>
          <w:color w:val="000000"/>
          <w:sz w:val="24"/>
        </w:rPr>
        <w:t xml:space="preserve">The licensee’s full legal name will be listed as established according to </w:t>
      </w:r>
      <w:hyperlink r:id="rId15">
        <w:r>
          <w:rPr>
            <w:rStyle w:val="Hyperlink"/>
            <w:rFonts w:ascii="Times New Roman" w:hAnsi="Times New Roman"/>
            <w:b w:val="false"/>
            <w:i w:val="false"/>
            <w:strike/>
            <w:color w:val="000000"/>
            <w:sz w:val="24"/>
          </w:rPr>
          <w:t>761—subrules 601.5(1)</w:t>
        </w:r>
      </w:hyperlink>
      <w:r>
        <w:rPr>
          <w:rFonts w:ascii="Times New Roman" w:hAnsi="Times New Roman"/>
          <w:b w:val="false"/>
          <w:i w:val="false"/>
          <w:strike/>
          <w:color w:val="000000"/>
          <w:sz w:val="24"/>
        </w:rPr>
        <w:t xml:space="preserve"> and </w:t>
      </w:r>
      <w:hyperlink r:id="rId16">
        <w:r>
          <w:rPr>
            <w:rStyle w:val="Hyperlink"/>
            <w:rFonts w:ascii="Times New Roman" w:hAnsi="Times New Roman"/>
            <w:b w:val="false"/>
            <w:i w:val="false"/>
            <w:strike/>
            <w:color w:val="000000"/>
            <w:sz w:val="24"/>
          </w:rPr>
          <w:t>601.5(5)</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761—subrules </w:t>
      </w:r>
      <w:hyperlink r:id="rId17">
        <w:r>
          <w:rPr>
            <w:rStyle w:val="Hyperlink"/>
            <w:rFonts w:ascii="Times New Roman" w:hAnsi="Times New Roman"/>
            <w:b w:val="false"/>
            <w:i w:val="false"/>
            <w:color w:val="000000"/>
            <w:sz w:val="24"/>
            <w:u w:val="single"/>
          </w:rPr>
          <w:t>601.4(1)</w:t>
        </w:r>
      </w:hyperlink>
      <w:r>
        <w:rPr>
          <w:rFonts w:ascii="Times New Roman" w:hAnsi="Times New Roman"/>
          <w:b w:val="false"/>
          <w:i w:val="false"/>
          <w:color w:val="000000"/>
          <w:sz w:val="24"/>
          <w:u w:val="single"/>
        </w:rPr>
        <w:t xml:space="preserve"> and </w:t>
      </w:r>
      <w:hyperlink r:id="rId18">
        <w:r>
          <w:rPr>
            <w:rStyle w:val="Hyperlink"/>
            <w:rFonts w:ascii="Times New Roman" w:hAnsi="Times New Roman"/>
            <w:b w:val="false"/>
            <w:i w:val="false"/>
            <w:color w:val="000000"/>
            <w:sz w:val="24"/>
            <w:u w:val="single"/>
          </w:rPr>
          <w:t>601.4(5)</w:t>
        </w:r>
      </w:hyperlink>
      <w:r>
        <w:rPr>
          <w:rFonts w:ascii="Times New Roman" w:hAnsi="Times New Roman"/>
          <w:b w:val="false"/>
          <w:i w:val="false"/>
          <w:color w:val="000000"/>
          <w:sz w:val="24"/>
        </w:rPr>
        <w:t xml:space="preserve"> and will conform to the requirements of </w:t>
      </w:r>
      <w:hyperlink r:id="rId19">
        <w:r>
          <w:rPr>
            <w:rStyle w:val="Hyperlink"/>
            <w:rFonts w:ascii="Times New Roman" w:hAnsi="Times New Roman"/>
            <w:b w:val="false"/>
            <w:i w:val="false"/>
            <w:strike/>
            <w:color w:val="000000"/>
            <w:sz w:val="24"/>
          </w:rPr>
          <w:t>761—subrule 601.1(2)</w:t>
        </w:r>
      </w:hyperlink>
      <w:r>
        <w:rPr>
          <w:rFonts w:ascii="Times New Roman" w:hAnsi="Times New Roman"/>
          <w:b w:val="false"/>
          <w:i w:val="false"/>
          <w:color w:val="000000"/>
          <w:sz w:val="24"/>
          <w:u w:val="single"/>
        </w:rPr>
        <w:t> </w:t>
      </w:r>
      <w:hyperlink r:id="rId20">
        <w:r>
          <w:rPr>
            <w:rStyle w:val="Hyperlink"/>
            <w:rFonts w:ascii="Times New Roman" w:hAnsi="Times New Roman"/>
            <w:b w:val="false"/>
            <w:i w:val="false"/>
            <w:color w:val="000000"/>
            <w:sz w:val="24"/>
            <w:u w:val="single"/>
          </w:rPr>
          <w:t>761—subrule 601.2(1)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605.4(2)</w:t>
      </w:r>
      <w:r>
        <w:rPr>
          <w:rFonts w:ascii="Times New Roman" w:hAnsi="Times New Roman"/>
          <w:b w:val="false"/>
          <w:i w:val="false"/>
          <w:color w:val="000000"/>
          <w:sz w:val="24"/>
        </w:rPr>
        <w:t> </w:t>
      </w:r>
      <w:r>
        <w:rPr>
          <w:rFonts w:ascii="Times New Roman" w:hAnsi="Times New Roman"/>
          <w:b w:val="false"/>
          <w:i/>
          <w:color w:val="000000"/>
          <w:sz w:val="24"/>
        </w:rPr>
        <w:t xml:space="preserve">Current residential address. </w:t>
      </w:r>
      <w:r>
        <w:rPr>
          <w:rFonts w:ascii="Times New Roman" w:hAnsi="Times New Roman"/>
          <w:b w:val="false"/>
          <w:i w:val="false"/>
          <w:color w:val="000000"/>
          <w:sz w:val="24"/>
        </w:rPr>
        <w:t xml:space="preserve">The licensee’s current residential address will be listed as established according to the requirements of </w:t>
      </w:r>
      <w:r>
        <w:rPr>
          <w:rFonts w:ascii="Times New Roman" w:hAnsi="Times New Roman"/>
          <w:b w:val="false"/>
          <w:i w:val="false"/>
          <w:strike/>
          <w:color w:val="000000"/>
          <w:sz w:val="24"/>
        </w:rPr>
        <w:t xml:space="preserve">761—subrule </w:t>
      </w:r>
      <w:hyperlink r:id="rId21">
        <w:r>
          <w:rPr>
            <w:rStyle w:val="Hyperlink"/>
            <w:rFonts w:ascii="Times New Roman" w:hAnsi="Times New Roman"/>
            <w:b w:val="false"/>
            <w:i w:val="false"/>
            <w:strike/>
            <w:color w:val="000000"/>
            <w:sz w:val="24"/>
          </w:rPr>
          <w:t>601.1(6)</w:t>
        </w:r>
      </w:hyperlink>
      <w:r>
        <w:rPr>
          <w:rFonts w:ascii="Times New Roman" w:hAnsi="Times New Roman"/>
          <w:b w:val="false"/>
          <w:i w:val="false"/>
          <w:strike/>
          <w:color w:val="000000"/>
          <w:sz w:val="24"/>
        </w:rPr>
        <w:t xml:space="preserve"> and 761—subrule </w:t>
      </w:r>
      <w:hyperlink r:id="rId22">
        <w:r>
          <w:rPr>
            <w:rStyle w:val="Hyperlink"/>
            <w:rFonts w:ascii="Times New Roman" w:hAnsi="Times New Roman"/>
            <w:b w:val="false"/>
            <w:i w:val="false"/>
            <w:strike/>
            <w:color w:val="000000"/>
            <w:sz w:val="24"/>
          </w:rPr>
          <w:t>601.5(3)</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761—subrules </w:t>
      </w:r>
      <w:hyperlink r:id="rId23">
        <w:r>
          <w:rPr>
            <w:rStyle w:val="Hyperlink"/>
            <w:rFonts w:ascii="Times New Roman" w:hAnsi="Times New Roman"/>
            <w:b w:val="false"/>
            <w:i w:val="false"/>
            <w:color w:val="000000"/>
            <w:sz w:val="24"/>
            <w:u w:val="single"/>
          </w:rPr>
          <w:t>601.2(5)</w:t>
        </w:r>
      </w:hyperlink>
      <w:r>
        <w:rPr>
          <w:rFonts w:ascii="Times New Roman" w:hAnsi="Times New Roman"/>
          <w:b w:val="false"/>
          <w:i w:val="false"/>
          <w:color w:val="000000"/>
          <w:sz w:val="24"/>
          <w:u w:val="single"/>
        </w:rPr>
        <w:t xml:space="preserve"> and </w:t>
      </w:r>
      <w:hyperlink r:id="rId24">
        <w:r>
          <w:rPr>
            <w:rStyle w:val="Hyperlink"/>
            <w:rFonts w:ascii="Times New Roman" w:hAnsi="Times New Roman"/>
            <w:b w:val="false"/>
            <w:i w:val="false"/>
            <w:color w:val="000000"/>
            <w:sz w:val="24"/>
            <w:u w:val="single"/>
          </w:rPr>
          <w:t>601.4(3)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605.4(3)</w:t>
      </w:r>
      <w:r>
        <w:rPr>
          <w:rFonts w:ascii="Times New Roman" w:hAnsi="Times New Roman"/>
          <w:b w:val="false"/>
          <w:i w:val="false"/>
          <w:color w:val="000000"/>
          <w:sz w:val="24"/>
        </w:rPr>
        <w:t> </w:t>
      </w:r>
      <w:r>
        <w:rPr>
          <w:rFonts w:ascii="Times New Roman" w:hAnsi="Times New Roman"/>
          <w:b w:val="false"/>
          <w:i/>
          <w:color w:val="000000"/>
          <w:sz w:val="24"/>
        </w:rPr>
        <w:t xml:space="preserve">Physical description. </w:t>
      </w:r>
      <w:r>
        <w:rPr>
          <w:rFonts w:ascii="Times New Roman" w:hAnsi="Times New Roman"/>
          <w:b w:val="false"/>
          <w:i w:val="false"/>
          <w:color w:val="000000"/>
          <w:sz w:val="24"/>
        </w:rPr>
        <w:t xml:space="preserve">The physical description of the licensee on the face of the driver’s license will include the following as established according to the requirements of </w:t>
      </w:r>
      <w:hyperlink r:id="rId25">
        <w:r>
          <w:rPr>
            <w:rStyle w:val="Hyperlink"/>
            <w:rFonts w:ascii="Times New Roman" w:hAnsi="Times New Roman"/>
            <w:b w:val="false"/>
            <w:i w:val="false"/>
            <w:strike/>
            <w:color w:val="000000"/>
            <w:sz w:val="24"/>
          </w:rPr>
          <w:t>761—subrule 601.1(5)</w:t>
        </w:r>
      </w:hyperlink>
      <w:r>
        <w:rPr>
          <w:rFonts w:ascii="Times New Roman" w:hAnsi="Times New Roman"/>
          <w:b w:val="false"/>
          <w:i w:val="false"/>
          <w:color w:val="000000"/>
          <w:sz w:val="24"/>
          <w:u w:val="single"/>
        </w:rPr>
        <w:t> </w:t>
      </w:r>
      <w:hyperlink r:id="rId26">
        <w:r>
          <w:rPr>
            <w:rStyle w:val="Hyperlink"/>
            <w:rFonts w:ascii="Times New Roman" w:hAnsi="Times New Roman"/>
            <w:b w:val="false"/>
            <w:i w:val="false"/>
            <w:color w:val="000000"/>
            <w:sz w:val="24"/>
            <w:u w:val="single"/>
          </w:rPr>
          <w:t>761—subrule 601.2(4)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605.4(4)</w:t>
      </w:r>
      <w:r>
        <w:rPr>
          <w:rFonts w:ascii="Times New Roman" w:hAnsi="Times New Roman"/>
          <w:b w:val="false"/>
          <w:i w:val="false"/>
          <w:color w:val="000000"/>
          <w:sz w:val="24"/>
        </w:rPr>
        <w:t> </w:t>
      </w:r>
      <w:r>
        <w:rPr>
          <w:rFonts w:ascii="Times New Roman" w:hAnsi="Times New Roman"/>
          <w:b w:val="false"/>
          <w:i/>
          <w:color w:val="000000"/>
          <w:sz w:val="24"/>
        </w:rPr>
        <w:t xml:space="preserve">Date of birth. </w:t>
      </w:r>
      <w:r>
        <w:rPr>
          <w:rFonts w:ascii="Times New Roman" w:hAnsi="Times New Roman"/>
          <w:b w:val="false"/>
          <w:i w:val="false"/>
          <w:color w:val="000000"/>
          <w:sz w:val="24"/>
        </w:rPr>
        <w:t xml:space="preserve">The licensee’s date of birth will be listed as established according to </w:t>
      </w:r>
      <w:hyperlink r:id="rId27">
        <w:r>
          <w:rPr>
            <w:rStyle w:val="Hyperlink"/>
            <w:rFonts w:ascii="Times New Roman" w:hAnsi="Times New Roman"/>
            <w:b w:val="false"/>
            <w:i w:val="false"/>
            <w:strike/>
            <w:color w:val="000000"/>
            <w:sz w:val="24"/>
          </w:rPr>
          <w:t>761—subrules 601.5(1)</w:t>
        </w:r>
      </w:hyperlink>
      <w:r>
        <w:rPr>
          <w:rFonts w:ascii="Times New Roman" w:hAnsi="Times New Roman"/>
          <w:b w:val="false"/>
          <w:i w:val="false"/>
          <w:strike/>
          <w:color w:val="000000"/>
          <w:sz w:val="24"/>
        </w:rPr>
        <w:t xml:space="preserve"> and </w:t>
      </w:r>
      <w:hyperlink r:id="rId28">
        <w:r>
          <w:rPr>
            <w:rStyle w:val="Hyperlink"/>
            <w:rFonts w:ascii="Times New Roman" w:hAnsi="Times New Roman"/>
            <w:b w:val="false"/>
            <w:i w:val="false"/>
            <w:strike/>
            <w:color w:val="000000"/>
            <w:sz w:val="24"/>
          </w:rPr>
          <w:t>601.5(6)</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761—subrules </w:t>
      </w:r>
      <w:hyperlink r:id="rId29">
        <w:r>
          <w:rPr>
            <w:rStyle w:val="Hyperlink"/>
            <w:rFonts w:ascii="Times New Roman" w:hAnsi="Times New Roman"/>
            <w:b w:val="false"/>
            <w:i w:val="false"/>
            <w:color w:val="000000"/>
            <w:sz w:val="24"/>
            <w:u w:val="single"/>
          </w:rPr>
          <w:t>601.4(1)</w:t>
        </w:r>
      </w:hyperlink>
      <w:r>
        <w:rPr>
          <w:rFonts w:ascii="Times New Roman" w:hAnsi="Times New Roman"/>
          <w:b w:val="false"/>
          <w:i w:val="false"/>
          <w:color w:val="000000"/>
          <w:sz w:val="24"/>
          <w:u w:val="single"/>
        </w:rPr>
        <w:t xml:space="preserve"> and </w:t>
      </w:r>
      <w:hyperlink r:id="rId30">
        <w:r>
          <w:rPr>
            <w:rStyle w:val="Hyperlink"/>
            <w:rFonts w:ascii="Times New Roman" w:hAnsi="Times New Roman"/>
            <w:b w:val="false"/>
            <w:i w:val="false"/>
            <w:color w:val="000000"/>
            <w:sz w:val="24"/>
            <w:u w:val="single"/>
          </w:rPr>
          <w:t>601.4(6)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605.4(5)</w:t>
      </w:r>
      <w:r>
        <w:rPr>
          <w:rFonts w:ascii="Times New Roman" w:hAnsi="Times New Roman"/>
          <w:b w:val="false"/>
          <w:i w:val="false"/>
          <w:color w:val="000000"/>
          <w:sz w:val="24"/>
        </w:rPr>
        <w:t> </w:t>
      </w:r>
      <w:r>
        <w:rPr>
          <w:rFonts w:ascii="Times New Roman" w:hAnsi="Times New Roman"/>
          <w:b w:val="false"/>
          <w:i/>
          <w:color w:val="000000"/>
          <w:sz w:val="24"/>
        </w:rPr>
        <w:t xml:space="preserve">Sex. </w:t>
      </w:r>
      <w:r>
        <w:rPr>
          <w:rFonts w:ascii="Times New Roman" w:hAnsi="Times New Roman"/>
          <w:b w:val="false"/>
          <w:i w:val="false"/>
          <w:color w:val="000000"/>
          <w:sz w:val="24"/>
        </w:rPr>
        <w:t xml:space="preserve">The licensee’s sex will be identical to the sex listed on the identity document submitted under </w:t>
      </w:r>
      <w:r>
        <w:rPr>
          <w:rFonts w:ascii="Times New Roman" w:hAnsi="Times New Roman"/>
          <w:b w:val="false"/>
          <w:i w:val="false"/>
          <w:strike/>
          <w:color w:val="000000"/>
          <w:sz w:val="24"/>
        </w:rPr>
        <w:t xml:space="preserve">rule </w:t>
      </w:r>
      <w:hyperlink r:id="rId31">
        <w:r>
          <w:rPr>
            <w:rStyle w:val="Hyperlink"/>
            <w:rFonts w:ascii="Times New Roman" w:hAnsi="Times New Roman"/>
            <w:b w:val="false"/>
            <w:i w:val="false"/>
            <w:strike/>
            <w:color w:val="000000"/>
            <w:sz w:val="24"/>
          </w:rPr>
          <w:t>761—601.5</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32">
        <w:r>
          <w:rPr>
            <w:rStyle w:val="Hyperlink"/>
            <w:rFonts w:ascii="Times New Roman" w:hAnsi="Times New Roman"/>
            <w:b w:val="false"/>
            <w:i w:val="false"/>
            <w:color w:val="000000"/>
            <w:sz w:val="24"/>
            <w:u w:val="single"/>
          </w:rPr>
          <w:t>761—subrule 601.4(1)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605.4(6)</w:t>
      </w:r>
      <w:r>
        <w:rPr>
          <w:rFonts w:ascii="Times New Roman" w:hAnsi="Times New Roman"/>
          <w:b w:val="false"/>
          <w:i w:val="false"/>
          <w:color w:val="000000"/>
          <w:sz w:val="24"/>
        </w:rPr>
        <w:t> </w:t>
      </w:r>
      <w:r>
        <w:rPr>
          <w:rFonts w:ascii="Times New Roman" w:hAnsi="Times New Roman"/>
          <w:b w:val="false"/>
          <w:i/>
          <w:color w:val="000000"/>
          <w:sz w:val="24"/>
        </w:rPr>
        <w:t xml:space="preserve">REAL ID markings.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driver’s license that is issued as a REAL ID driver’s license as defined in rule </w:t>
      </w:r>
      <w:hyperlink r:id="rId33">
        <w:r>
          <w:rPr>
            <w:rStyle w:val="Hyperlink"/>
            <w:rFonts w:ascii="Times New Roman" w:hAnsi="Times New Roman"/>
            <w:b w:val="false"/>
            <w:i w:val="false"/>
            <w:strike/>
            <w:color w:val="000000"/>
            <w:sz w:val="24"/>
          </w:rPr>
          <w:t>761—601.7</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34">
        <w:r>
          <w:rPr>
            <w:rStyle w:val="Hyperlink"/>
            <w:rFonts w:ascii="Times New Roman" w:hAnsi="Times New Roman"/>
            <w:b w:val="false"/>
            <w:i w:val="false"/>
            <w:color w:val="000000"/>
            <w:sz w:val="24"/>
            <w:u w:val="single"/>
          </w:rPr>
          <w:t>761—601.6</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will include a security marking as required by 6 CFR Section 37.17(n)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driver’s license that is not issued as a REAL ID driver’s license as defined in rule </w:t>
      </w:r>
      <w:hyperlink r:id="rId35">
        <w:r>
          <w:rPr>
            <w:rStyle w:val="Hyperlink"/>
            <w:rFonts w:ascii="Times New Roman" w:hAnsi="Times New Roman"/>
            <w:b w:val="false"/>
            <w:i w:val="false"/>
            <w:strike/>
            <w:color w:val="000000"/>
            <w:sz w:val="24"/>
          </w:rPr>
          <w:t>761—601.7</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36">
        <w:r>
          <w:rPr>
            <w:rStyle w:val="Hyperlink"/>
            <w:rFonts w:ascii="Times New Roman" w:hAnsi="Times New Roman"/>
            <w:b w:val="false"/>
            <w:i w:val="false"/>
            <w:color w:val="000000"/>
            <w:sz w:val="24"/>
            <w:u w:val="single"/>
          </w:rPr>
          <w:t>761—601.6</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is to include the following statement on the face of the card: “not for REAL ID act purposes” as required by 6 CFR Section 37.71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and any subsequent guidance issued by the U.S. Department of Homeland Security.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605.4(7)</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w:t>
      </w:r>
      <w:r>
        <w:rPr>
          <w:rFonts w:ascii="Times New Roman" w:hAnsi="Times New Roman"/>
          <w:b w:val="false"/>
          <w:i w:val="false"/>
          <w:strike/>
          <w:color w:val="000000"/>
          <w:sz w:val="24"/>
        </w:rPr>
        <w:t xml:space="preserve">Iowa Code section </w:t>
      </w:r>
      <w:hyperlink r:id="rId37">
        <w:r>
          <w:rPr>
            <w:rStyle w:val="Hyperlink"/>
            <w:rFonts w:ascii="Times New Roman" w:hAnsi="Times New Roman"/>
            <w:b w:val="false"/>
            <w:i w:val="false"/>
            <w:strike/>
            <w:color w:val="000000"/>
            <w:sz w:val="24"/>
          </w:rPr>
          <w:t>4.1A</w:t>
        </w:r>
      </w:hyperlink>
      <w:r>
        <w:rPr>
          <w:rFonts w:ascii="Times New Roman" w:hAnsi="Times New Roman"/>
          <w:b w:val="false"/>
          <w:i w:val="false"/>
          <w:strike/>
          <w:color w:val="000000"/>
          <w:sz w:val="24"/>
        </w:rPr>
        <w:t xml:space="preserve"> as enacted by </w:t>
      </w:r>
      <w:r>
        <w:rPr>
          <w:rFonts w:ascii="Times New Roman" w:hAnsi="Times New Roman"/>
          <w:b w:val="false"/>
          <w:i w:val="false"/>
          <w:strike/>
          <w:color w:val="000000"/>
          <w:sz w:val="24"/>
        </w:rPr>
        <w:t>2025 Iowa Acts, Senate File 418</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Iowa Code sections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4.1A,</w:t>
      </w:r>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142C.3</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amended by the REAL ID Modernization Act, H.R. 133, Division U, Title X;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761—605.5(321)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761—605.5</w:t>
      </w:r>
      <w:r>
        <w:rPr>
          <w:rFonts w:ascii="Times New Roman" w:hAnsi="Times New Roman"/>
          <w:b/>
          <w:i w:val="false"/>
          <w:color w:val="000000"/>
          <w:sz w:val="24"/>
        </w:rPr>
        <w:t xml:space="preserve">(321) </w:t>
      </w:r>
      <w:r>
        <w:rPr>
          <w:rFonts w:ascii="Times New Roman" w:hAnsi="Times New Roman"/>
          <w:b/>
          <w:i w:val="false"/>
          <w:color w:val="000000"/>
          <w:sz w:val="24"/>
        </w:rPr>
        <w:t xml:space="preserve">License class. </w:t>
      </w:r>
      <w:r>
        <w:rPr>
          <w:rFonts w:ascii="Times New Roman" w:hAnsi="Times New Roman"/>
          <w:b w:val="false"/>
          <w:i w:val="false"/>
          <w:color w:val="000000"/>
          <w:sz w:val="24"/>
        </w:rPr>
        <w:t xml:space="preserve">The driver’s license class will be </w:t>
      </w:r>
      <w:r>
        <w:rPr>
          <w:rFonts w:ascii="Times New Roman" w:hAnsi="Times New Roman"/>
          <w:b w:val="false"/>
          <w:i w:val="false"/>
          <w:strike/>
          <w:color w:val="000000"/>
          <w:sz w:val="24"/>
        </w:rPr>
        <w:t>coded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identified</w:t>
      </w:r>
      <w:r>
        <w:rPr>
          <w:rFonts w:ascii="Times New Roman" w:hAnsi="Times New Roman"/>
          <w:b w:val="false"/>
          <w:i w:val="false"/>
          <w:color w:val="000000"/>
          <w:sz w:val="24"/>
        </w:rPr>
        <w:t xml:space="preserve"> on the face of the driver’s license </w:t>
      </w:r>
      <w:r>
        <w:rPr>
          <w:rFonts w:ascii="Times New Roman" w:hAnsi="Times New Roman"/>
          <w:b w:val="false"/>
          <w:i w:val="false"/>
          <w:strike/>
          <w:color w:val="000000"/>
          <w:sz w:val="24"/>
        </w:rPr>
        <w:t>using these codes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follows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Class A—commercial driver’s license</w:t>
      </w:r>
    </w:p>
    <w:p>
      <w:pPr>
        <w:spacing w:before="0" w:after="0" w:line="480"/>
        <w:ind w:left="120"/>
        <w:jc w:val="both"/>
      </w:pPr>
      <w:r>
        <w:rPr>
          <w:rFonts w:ascii="Times New Roman" w:hAnsi="Times New Roman"/>
          <w:b w:val="false"/>
          <w:i w:val="false"/>
          <w:color w:val="000000"/>
          <w:sz w:val="24"/>
        </w:rPr>
        <w:t>Class B—commercial driver’s license</w:t>
      </w:r>
    </w:p>
    <w:p>
      <w:pPr>
        <w:spacing w:before="0" w:after="0" w:line="480"/>
        <w:ind w:left="120"/>
        <w:jc w:val="both"/>
      </w:pPr>
      <w:r>
        <w:rPr>
          <w:rFonts w:ascii="Times New Roman" w:hAnsi="Times New Roman"/>
          <w:b w:val="false"/>
          <w:i w:val="false"/>
          <w:color w:val="000000"/>
          <w:sz w:val="24"/>
        </w:rPr>
        <w:t>Class C—commercial driver’s license</w:t>
      </w:r>
    </w:p>
    <w:p>
      <w:pPr>
        <w:spacing w:before="0" w:after="0" w:line="480"/>
        <w:ind w:left="120"/>
        <w:jc w:val="both"/>
      </w:pPr>
      <w:r>
        <w:rPr>
          <w:rFonts w:ascii="Times New Roman" w:hAnsi="Times New Roman"/>
          <w:b w:val="false"/>
          <w:i w:val="false"/>
          <w:color w:val="000000"/>
          <w:sz w:val="24"/>
        </w:rPr>
        <w:t>Class C—noncommercial driver’s license</w:t>
      </w:r>
    </w:p>
    <w:p>
      <w:pPr>
        <w:spacing w:before="0" w:after="0" w:line="480"/>
        <w:ind w:left="120"/>
        <w:jc w:val="both"/>
      </w:pPr>
      <w:r>
        <w:rPr>
          <w:rFonts w:ascii="Times New Roman" w:hAnsi="Times New Roman"/>
          <w:b w:val="false"/>
          <w:i w:val="false"/>
          <w:color w:val="000000"/>
          <w:sz w:val="24"/>
        </w:rPr>
        <w:t>Class D—noncommercial driver’s license, chauffeur</w:t>
      </w:r>
    </w:p>
    <w:p>
      <w:pPr>
        <w:spacing w:before="0" w:after="0" w:line="480"/>
        <w:ind w:left="120"/>
        <w:jc w:val="both"/>
      </w:pPr>
      <w:r>
        <w:rPr>
          <w:rFonts w:ascii="Times New Roman" w:hAnsi="Times New Roman"/>
          <w:b w:val="false"/>
          <w:i w:val="false"/>
          <w:color w:val="000000"/>
          <w:sz w:val="24"/>
        </w:rPr>
        <w:t>Class M—noncommercial driver’s license, motorcycle only</w:t>
      </w:r>
    </w:p>
    <w:p>
      <w:pPr>
        <w:spacing w:before="0" w:after="0" w:line="480"/>
        <w:ind w:left="120"/>
        <w:jc w:val="both"/>
      </w:pPr>
      <w:r>
        <w:rPr>
          <w:rFonts w:ascii="Times New Roman" w:hAnsi="Times New Roman"/>
          <w:b w:val="false"/>
          <w:i w:val="false"/>
          <w:color w:val="000000"/>
          <w:sz w:val="24"/>
          <w:u w:val="single"/>
        </w:rPr>
        <w:t>Commercial learner’s permit</w:t>
      </w:r>
    </w:p>
    <w:p>
      <w:pPr>
        <w:spacing w:before="0" w:after="0" w:line="480"/>
        <w:ind w:left="120"/>
        <w:jc w:val="both"/>
      </w:pPr>
      <w:r>
        <w:rPr>
          <w:rFonts w:ascii="Times New Roman" w:hAnsi="Times New Roman"/>
          <w:b w:val="false"/>
          <w:i w:val="false"/>
          <w:color w:val="000000"/>
          <w:sz w:val="24"/>
          <w:u w:val="single"/>
        </w:rPr>
        <w:t>Restricted commercial driver’s license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0">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761—605.7(321)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761—605.7</w:t>
      </w:r>
      <w:r>
        <w:rPr>
          <w:rFonts w:ascii="Times New Roman" w:hAnsi="Times New Roman"/>
          <w:b/>
          <w:i w:val="false"/>
          <w:color w:val="000000"/>
          <w:sz w:val="24"/>
        </w:rPr>
        <w:t xml:space="preserve">(321) </w:t>
      </w:r>
      <w:r>
        <w:rPr>
          <w:rFonts w:ascii="Times New Roman" w:hAnsi="Times New Roman"/>
          <w:b/>
          <w:i w:val="false"/>
          <w:color w:val="000000"/>
          <w:sz w:val="24"/>
        </w:rPr>
        <w:t xml:space="preserve">Restrictions. </w:t>
      </w:r>
      <w:r>
        <w:rPr>
          <w:rFonts w:ascii="Times New Roman" w:hAnsi="Times New Roman"/>
          <w:b w:val="false"/>
          <w:i w:val="false"/>
          <w:color w:val="000000"/>
          <w:sz w:val="24"/>
        </w:rPr>
        <w:t>Restrictions will be coded on the face of the driver’s license and explained in text on the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front or</w:t>
      </w:r>
      <w:r>
        <w:rPr>
          <w:rFonts w:ascii="Times New Roman" w:hAnsi="Times New Roman"/>
          <w:b w:val="false"/>
          <w:i w:val="false"/>
          <w:color w:val="000000"/>
          <w:sz w:val="24"/>
        </w:rPr>
        <w:t xml:space="preserve"> back of the driver’s license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in the department’s records system, depending on the nature of the restriction</w:t>
      </w:r>
      <w:r>
        <w:rPr>
          <w:rFonts w:ascii="Times New Roman" w:hAnsi="Times New Roman"/>
          <w:b w:val="false"/>
          <w:i w:val="false"/>
          <w:color w:val="000000"/>
          <w:sz w:val="24"/>
        </w:rPr>
        <w:t>. For purposes of this rule, “CMV” means commercial motor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605.7(1)</w:t>
      </w:r>
      <w:r>
        <w:rPr>
          <w:rFonts w:ascii="Times New Roman" w:hAnsi="Times New Roman"/>
          <w:b w:val="false"/>
          <w:i w:val="false"/>
          <w:color w:val="000000"/>
          <w:sz w:val="24"/>
        </w:rPr>
        <w:t> </w:t>
      </w:r>
      <w:r>
        <w:rPr>
          <w:rFonts w:ascii="Times New Roman" w:hAnsi="Times New Roman"/>
          <w:b w:val="false"/>
          <w:i/>
          <w:color w:val="000000"/>
          <w:sz w:val="24"/>
        </w:rPr>
        <w:t xml:space="preserve">For all licenses. </w:t>
      </w:r>
      <w:r>
        <w:rPr>
          <w:rFonts w:ascii="Times New Roman" w:hAnsi="Times New Roman"/>
          <w:b w:val="false"/>
          <w:i w:val="false"/>
          <w:color w:val="000000"/>
          <w:sz w:val="24"/>
        </w:rPr>
        <w:t>The following restrictions may apply to any driver’s license:</w:t>
      </w:r>
    </w:p>
    <w:p>
      <w:pPr>
        <w:spacing w:before="0" w:after="0" w:line="480"/>
        <w:ind w:left="120"/>
        <w:jc w:val="both"/>
      </w:pPr>
      <w:r>
        <w:rPr>
          <w:rFonts w:ascii="Times New Roman" w:hAnsi="Times New Roman"/>
          <w:b w:val="false"/>
          <w:i w:val="false"/>
          <w:color w:val="000000"/>
          <w:sz w:val="24"/>
        </w:rPr>
        <w:t>B—Corrective lenses required</w:t>
      </w:r>
    </w:p>
    <w:p>
      <w:pPr>
        <w:spacing w:before="0" w:after="0" w:line="480"/>
        <w:ind w:left="120"/>
        <w:jc w:val="both"/>
      </w:pPr>
      <w:r>
        <w:rPr>
          <w:rFonts w:ascii="Times New Roman" w:hAnsi="Times New Roman"/>
          <w:b w:val="false"/>
          <w:i w:val="false"/>
          <w:color w:val="000000"/>
          <w:sz w:val="24"/>
        </w:rPr>
        <w:t>C—Mechanical aid (as detailed in the restriction on the back of the card)</w:t>
      </w:r>
    </w:p>
    <w:p>
      <w:pPr>
        <w:spacing w:before="0" w:after="0" w:line="480"/>
        <w:ind w:left="120"/>
        <w:jc w:val="both"/>
      </w:pPr>
      <w:r>
        <w:rPr>
          <w:rFonts w:ascii="Times New Roman" w:hAnsi="Times New Roman"/>
          <w:b w:val="false"/>
          <w:i w:val="false"/>
          <w:color w:val="000000"/>
          <w:sz w:val="24"/>
        </w:rPr>
        <w:t>D—Prosthetic aid (as detailed in the restriction on the back of the card)</w:t>
      </w:r>
    </w:p>
    <w:p>
      <w:pPr>
        <w:spacing w:before="0" w:after="0" w:line="480"/>
        <w:ind w:left="120"/>
        <w:jc w:val="both"/>
      </w:pPr>
      <w:r>
        <w:rPr>
          <w:rFonts w:ascii="Times New Roman" w:hAnsi="Times New Roman"/>
          <w:b w:val="false"/>
          <w:i w:val="false"/>
          <w:color w:val="000000"/>
          <w:sz w:val="24"/>
        </w:rPr>
        <w:t>F—Left and right outside rearview mirrors</w:t>
      </w:r>
    </w:p>
    <w:p>
      <w:pPr>
        <w:spacing w:before="0" w:after="0" w:line="480"/>
        <w:ind w:left="120"/>
        <w:jc w:val="both"/>
      </w:pPr>
      <w:r>
        <w:rPr>
          <w:rFonts w:ascii="Times New Roman" w:hAnsi="Times New Roman"/>
          <w:b w:val="false"/>
          <w:i w:val="false"/>
          <w:color w:val="000000"/>
          <w:sz w:val="24"/>
        </w:rPr>
        <w:t>G—No driving when headlights required</w:t>
      </w:r>
    </w:p>
    <w:p>
      <w:pPr>
        <w:spacing w:before="0" w:after="0" w:line="480"/>
        <w:ind w:left="120"/>
        <w:jc w:val="both"/>
      </w:pPr>
      <w:r>
        <w:rPr>
          <w:rFonts w:ascii="Times New Roman" w:hAnsi="Times New Roman"/>
          <w:b w:val="false"/>
          <w:i w:val="false"/>
          <w:color w:val="000000"/>
          <w:sz w:val="24"/>
        </w:rPr>
        <w:t>H—Temporary restricted license or permit (work permit)</w:t>
      </w:r>
    </w:p>
    <w:p>
      <w:pPr>
        <w:spacing w:before="0" w:after="0" w:line="480"/>
        <w:ind w:left="120"/>
        <w:jc w:val="both"/>
      </w:pPr>
      <w:r>
        <w:rPr>
          <w:rFonts w:ascii="Times New Roman" w:hAnsi="Times New Roman"/>
          <w:b w:val="false"/>
          <w:i w:val="false"/>
          <w:color w:val="000000"/>
          <w:sz w:val="24"/>
        </w:rPr>
        <w:t>I—Ignition interlock required</w:t>
      </w:r>
    </w:p>
    <w:p>
      <w:pPr>
        <w:spacing w:before="0" w:after="0" w:line="480"/>
        <w:ind w:left="120"/>
        <w:jc w:val="both"/>
      </w:pPr>
      <w:r>
        <w:rPr>
          <w:rFonts w:ascii="Times New Roman" w:hAnsi="Times New Roman"/>
          <w:b w:val="false"/>
          <w:i w:val="false"/>
          <w:color w:val="000000"/>
          <w:sz w:val="24"/>
        </w:rPr>
        <w:t>J—Restrictions on the back of card</w:t>
      </w:r>
    </w:p>
    <w:p>
      <w:pPr>
        <w:spacing w:before="0" w:after="0" w:line="480"/>
        <w:ind w:left="120"/>
        <w:jc w:val="both"/>
      </w:pPr>
      <w:r>
        <w:rPr>
          <w:rFonts w:ascii="Times New Roman" w:hAnsi="Times New Roman"/>
          <w:b w:val="false"/>
          <w:i w:val="false"/>
          <w:color w:val="000000"/>
          <w:sz w:val="24"/>
        </w:rPr>
        <w:t>S—SR required (proof of financial responsibility for the future)</w:t>
      </w:r>
    </w:p>
    <w:p>
      <w:pPr>
        <w:spacing w:before="0" w:after="0" w:line="480"/>
        <w:ind w:left="120"/>
        <w:jc w:val="both"/>
      </w:pPr>
      <w:r>
        <w:rPr>
          <w:rFonts w:ascii="Times New Roman" w:hAnsi="Times New Roman"/>
          <w:b w:val="false"/>
          <w:i w:val="false"/>
          <w:strike/>
          <w:color w:val="000000"/>
          <w:sz w:val="24"/>
        </w:rPr>
        <w:t>T—Medical report required at renewal</w:t>
      </w:r>
    </w:p>
    <w:p>
      <w:pPr>
        <w:spacing w:before="0" w:after="0" w:line="480"/>
        <w:ind w:left="120"/>
        <w:jc w:val="both"/>
      </w:pPr>
      <w:r>
        <w:rPr>
          <w:rFonts w:ascii="Times New Roman" w:hAnsi="Times New Roman"/>
          <w:b w:val="false"/>
          <w:i w:val="false"/>
          <w:color w:val="000000"/>
          <w:sz w:val="24"/>
        </w:rPr>
        <w:t>U—Not valid for two-wheel vehicle</w:t>
      </w:r>
    </w:p>
    <w:p>
      <w:pPr>
        <w:spacing w:before="0" w:after="0" w:line="480"/>
        <w:ind w:left="120"/>
        <w:jc w:val="both"/>
      </w:pPr>
      <w:r>
        <w:rPr>
          <w:rFonts w:ascii="Times New Roman" w:hAnsi="Times New Roman"/>
          <w:b w:val="false"/>
          <w:i w:val="false"/>
          <w:color w:val="000000"/>
          <w:sz w:val="24"/>
        </w:rPr>
        <w:t>W—Restricted commercial driver’s license (CDL)</w:t>
      </w:r>
    </w:p>
    <w:p>
      <w:pPr>
        <w:spacing w:before="0" w:after="0" w:line="480"/>
        <w:ind w:left="120"/>
        <w:jc w:val="both"/>
      </w:pPr>
      <w:r>
        <w:rPr>
          <w:rFonts w:ascii="Times New Roman" w:hAnsi="Times New Roman"/>
          <w:b w:val="false"/>
          <w:i w:val="false"/>
          <w:color w:val="000000"/>
          <w:sz w:val="24"/>
        </w:rPr>
        <w:t>Y—Intermediate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605.7(2)</w:t>
      </w:r>
      <w:r>
        <w:rPr>
          <w:rFonts w:ascii="Times New Roman" w:hAnsi="Times New Roman"/>
          <w:b w:val="false"/>
          <w:i w:val="false"/>
          <w:color w:val="000000"/>
          <w:sz w:val="24"/>
        </w:rPr>
        <w:t xml:space="preserve"> to </w:t>
      </w:r>
      <w:r>
        <w:rPr>
          <w:rFonts w:ascii="Times New Roman" w:hAnsi="Times New Roman"/>
          <w:b/>
          <w:i w:val="false"/>
          <w:color w:val="000000"/>
          <w:sz w:val="24"/>
        </w:rPr>
        <w:t>605.7(4)</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605.7(5)</w:t>
      </w:r>
      <w:r>
        <w:rPr>
          <w:rFonts w:ascii="Times New Roman" w:hAnsi="Times New Roman"/>
          <w:b w:val="false"/>
          <w:i w:val="false"/>
          <w:color w:val="000000"/>
          <w:sz w:val="24"/>
        </w:rPr>
        <w:t> </w:t>
      </w:r>
      <w:r>
        <w:rPr>
          <w:rFonts w:ascii="Times New Roman" w:hAnsi="Times New Roman"/>
          <w:b w:val="false"/>
          <w:i/>
          <w:color w:val="000000"/>
          <w:sz w:val="24"/>
        </w:rPr>
        <w:t xml:space="preserve">Special licenses. </w:t>
      </w:r>
      <w:r>
        <w:rPr>
          <w:rFonts w:ascii="Times New Roman" w:hAnsi="Times New Roman"/>
          <w:b w:val="false"/>
          <w:i w:val="false"/>
          <w:color w:val="000000"/>
          <w:sz w:val="24"/>
        </w:rPr>
        <w:t>A numbered restriction will designate a special driver’s license using these codes:</w:t>
      </w:r>
    </w:p>
    <w:p>
      <w:pPr>
        <w:spacing w:before="0" w:after="0" w:line="480"/>
        <w:ind w:left="120"/>
        <w:jc w:val="both"/>
      </w:pPr>
      <w:r>
        <w:rPr>
          <w:rFonts w:ascii="Times New Roman" w:hAnsi="Times New Roman"/>
          <w:b w:val="false"/>
          <w:i w:val="false"/>
          <w:color w:val="000000"/>
          <w:sz w:val="24"/>
        </w:rPr>
        <w:t>1—Motorcycle instruction permit</w:t>
      </w:r>
    </w:p>
    <w:p>
      <w:pPr>
        <w:spacing w:before="0" w:after="0" w:line="480"/>
        <w:ind w:left="120"/>
        <w:jc w:val="both"/>
      </w:pPr>
      <w:r>
        <w:rPr>
          <w:rFonts w:ascii="Times New Roman" w:hAnsi="Times New Roman"/>
          <w:b w:val="false"/>
          <w:i w:val="false"/>
          <w:color w:val="000000"/>
          <w:sz w:val="24"/>
        </w:rPr>
        <w:t>2—Noncommercial instruction permit (vehicle less than 16,001 gross vehicle weight rating)</w:t>
      </w:r>
    </w:p>
    <w:p>
      <w:pPr>
        <w:spacing w:before="0" w:after="0" w:line="480"/>
        <w:ind w:left="120"/>
        <w:jc w:val="both"/>
      </w:pPr>
      <w:r>
        <w:rPr>
          <w:rFonts w:ascii="Times New Roman" w:hAnsi="Times New Roman"/>
          <w:b w:val="false"/>
          <w:i w:val="false"/>
          <w:strike/>
          <w:color w:val="000000"/>
          <w:sz w:val="24"/>
        </w:rPr>
        <w:t>3—Commercial learner’s permit</w:t>
      </w:r>
    </w:p>
    <w:p>
      <w:pPr>
        <w:spacing w:before="0" w:after="0" w:line="480"/>
        <w:ind w:left="120"/>
        <w:jc w:val="both"/>
      </w:pPr>
      <w:r>
        <w:rPr>
          <w:rFonts w:ascii="Times New Roman" w:hAnsi="Times New Roman"/>
          <w:b w:val="false"/>
          <w:i w:val="false"/>
          <w:color w:val="000000"/>
          <w:sz w:val="24"/>
        </w:rPr>
        <w:t>5—Motorized bicycle license</w:t>
      </w:r>
    </w:p>
    <w:p>
      <w:pPr>
        <w:spacing w:before="0" w:after="0" w:line="480"/>
        <w:ind w:left="120"/>
        <w:jc w:val="both"/>
      </w:pPr>
      <w:r>
        <w:rPr>
          <w:rFonts w:ascii="Times New Roman" w:hAnsi="Times New Roman"/>
          <w:b w:val="false"/>
          <w:i w:val="false"/>
          <w:color w:val="000000"/>
          <w:sz w:val="24"/>
        </w:rPr>
        <w:t>6—Minor’s restricted work license</w:t>
      </w:r>
    </w:p>
    <w:p>
      <w:pPr>
        <w:spacing w:before="0" w:after="0" w:line="480"/>
        <w:ind w:left="120"/>
        <w:jc w:val="both"/>
      </w:pPr>
      <w:r>
        <w:rPr>
          <w:rFonts w:ascii="Times New Roman" w:hAnsi="Times New Roman"/>
          <w:b w:val="false"/>
          <w:i w:val="false"/>
          <w:color w:val="000000"/>
          <w:sz w:val="24"/>
        </w:rPr>
        <w:t>7—Special minor’s restricted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605.7(6)</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41">
        <w:r>
          <w:rPr>
            <w:rStyle w:val="Hyperlink"/>
            <w:rFonts w:ascii="Times New Roman" w:hAnsi="Times New Roman"/>
            <w:b w:val="false"/>
            <w:i w:val="false"/>
            <w:color w:val="000000"/>
            <w:sz w:val="24"/>
          </w:rPr>
          <w:t>321A</w:t>
        </w:r>
      </w:hyperlink>
      <w:r>
        <w:rPr>
          <w:rFonts w:ascii="Times New Roman" w:hAnsi="Times New Roman"/>
          <w:b w:val="false"/>
          <w:i w:val="false"/>
          <w:color w:val="000000"/>
          <w:sz w:val="24"/>
        </w:rPr>
        <w:t xml:space="preserve"> and sections </w:t>
      </w:r>
      <w:hyperlink r:id="rId42">
        <w:r>
          <w:rPr>
            <w:rStyle w:val="Hyperlink"/>
            <w:rFonts w:ascii="Times New Roman" w:hAnsi="Times New Roman"/>
            <w:b w:val="false"/>
            <w:i w:val="false"/>
            <w:color w:val="000000"/>
            <w:sz w:val="24"/>
          </w:rPr>
          <w:t>321.177</w:t>
        </w:r>
      </w:hyperlink>
      <w:r>
        <w:rPr>
          <w:rFonts w:ascii="Times New Roman" w:hAnsi="Times New Roman"/>
          <w:b w:val="false"/>
          <w:i w:val="false"/>
          <w:color w:val="000000"/>
          <w:sz w:val="24"/>
        </w:rPr>
        <w:t xml:space="preserve">, </w:t>
      </w:r>
      <w:hyperlink r:id="rId43">
        <w:r>
          <w:rPr>
            <w:rStyle w:val="Hyperlink"/>
            <w:rFonts w:ascii="Times New Roman" w:hAnsi="Times New Roman"/>
            <w:b w:val="false"/>
            <w:i w:val="false"/>
            <w:color w:val="000000"/>
            <w:sz w:val="24"/>
          </w:rPr>
          <w:t>321.178</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321.180</w:t>
        </w:r>
      </w:hyperlink>
      <w:r>
        <w:rPr>
          <w:rFonts w:ascii="Times New Roman" w:hAnsi="Times New Roman"/>
          <w:b w:val="false"/>
          <w:i w:val="false"/>
          <w:color w:val="000000"/>
          <w:sz w:val="24"/>
        </w:rPr>
        <w:t xml:space="preserve"> through </w:t>
      </w:r>
      <w:hyperlink r:id="rId45">
        <w:r>
          <w:rPr>
            <w:rStyle w:val="Hyperlink"/>
            <w:rFonts w:ascii="Times New Roman" w:hAnsi="Times New Roman"/>
            <w:b w:val="false"/>
            <w:i w:val="false"/>
            <w:color w:val="000000"/>
            <w:sz w:val="24"/>
          </w:rPr>
          <w:t>321.180B</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321.186</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321.188</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321.193</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321.194</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321.215</w:t>
        </w:r>
      </w:hyperlink>
      <w:r>
        <w:rPr>
          <w:rFonts w:ascii="Times New Roman" w:hAnsi="Times New Roman"/>
          <w:b w:val="false"/>
          <w:i w:val="false"/>
          <w:color w:val="000000"/>
          <w:sz w:val="24"/>
        </w:rPr>
        <w:t xml:space="preserve">, </w:t>
      </w:r>
      <w:hyperlink r:id="rId52">
        <w:r>
          <w:rPr>
            <w:rStyle w:val="Hyperlink"/>
            <w:rFonts w:ascii="Times New Roman" w:hAnsi="Times New Roman"/>
            <w:b w:val="false"/>
            <w:i w:val="false"/>
            <w:color w:val="000000"/>
            <w:sz w:val="24"/>
          </w:rPr>
          <w:t>321J.4</w:t>
        </w:r>
      </w:hyperlink>
      <w:r>
        <w:rPr>
          <w:rFonts w:ascii="Times New Roman" w:hAnsi="Times New Roman"/>
          <w:b w:val="false"/>
          <w:i w:val="false"/>
          <w:color w:val="000000"/>
          <w:sz w:val="24"/>
        </w:rPr>
        <w:t xml:space="preserve"> and </w:t>
      </w:r>
      <w:hyperlink r:id="rId53">
        <w:r>
          <w:rPr>
            <w:rStyle w:val="Hyperlink"/>
            <w:rFonts w:ascii="Times New Roman" w:hAnsi="Times New Roman"/>
            <w:b w:val="false"/>
            <w:i w:val="false"/>
            <w:color w:val="000000"/>
            <w:sz w:val="24"/>
          </w:rPr>
          <w:t>321J.20</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761—605.8(321)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761—605.8</w:t>
      </w:r>
      <w:r>
        <w:rPr>
          <w:rFonts w:ascii="Times New Roman" w:hAnsi="Times New Roman"/>
          <w:b/>
          <w:i w:val="false"/>
          <w:color w:val="000000"/>
          <w:sz w:val="24"/>
        </w:rPr>
        <w:t xml:space="preserve">(321) </w:t>
      </w:r>
      <w:r>
        <w:rPr>
          <w:rFonts w:ascii="Times New Roman" w:hAnsi="Times New Roman"/>
          <w:b/>
          <w:i w:val="false"/>
          <w:color w:val="000000"/>
          <w:sz w:val="24"/>
        </w:rPr>
        <w:t xml:space="preserve">Credential term for a foreign national temporarily present in this state. </w:t>
      </w:r>
      <w:r>
        <w:rPr>
          <w:rFonts w:ascii="Times New Roman" w:hAnsi="Times New Roman"/>
          <w:b w:val="false"/>
          <w:i w:val="false"/>
          <w:color w:val="000000"/>
          <w:sz w:val="24"/>
        </w:rPr>
        <w:t xml:space="preserve">A driver’s license or nonoperator’s identification card issued to a person who is a foreign national who is temporarily present in this state shall be issued only for the length of time the person is authorized to be present in the United States as verified by the department, not to exceed two years, pursuant to 6 CFR Section 37.21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However, if the person’s lawful status has no expiration date, the driver’s license will be issued for a period of no longer than one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4">
        <w:r>
          <w:rPr>
            <w:rStyle w:val="Hyperlink"/>
            <w:rFonts w:ascii="Times New Roman" w:hAnsi="Times New Roman"/>
            <w:b w:val="false"/>
            <w:i w:val="false"/>
            <w:color w:val="000000"/>
            <w:sz w:val="24"/>
          </w:rPr>
          <w:t>321.196</w:t>
        </w:r>
      </w:hyperlink>
      <w:r>
        <w:rPr>
          <w:rFonts w:ascii="Times New Roman" w:hAnsi="Times New Roman"/>
          <w:b w:val="false"/>
          <w:i w:val="false"/>
          <w:color w:val="000000"/>
          <w:sz w:val="24"/>
        </w:rPr>
        <w:t>;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amended by the REAL ID Modernization Act, H.R. 133, Division U, Title X;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subrules </w:t>
      </w:r>
      <w:r>
        <w:rPr>
          <w:rFonts w:ascii="Times New Roman" w:hAnsi="Times New Roman"/>
          <w:b w:val="false"/>
          <w:i w:val="false"/>
          <w:color w:val="000000"/>
          <w:sz w:val="24"/>
        </w:rPr>
        <w:t>605.9(1)</w:t>
      </w:r>
      <w:r>
        <w:rPr>
          <w:rFonts w:ascii="Times New Roman" w:hAnsi="Times New Roman"/>
          <w:b w:val="false"/>
          <w:i w:val="false"/>
          <w:color w:val="000000"/>
          <w:sz w:val="24"/>
        </w:rPr>
        <w:t xml:space="preserve"> to </w:t>
      </w:r>
      <w:r>
        <w:rPr>
          <w:rFonts w:ascii="Times New Roman" w:hAnsi="Times New Roman"/>
          <w:b w:val="false"/>
          <w:i w:val="false"/>
          <w:color w:val="000000"/>
          <w:sz w:val="24"/>
        </w:rPr>
        <w:t>605.9(2)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605.9(1)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payment is by check, the check </w:t>
      </w:r>
      <w:r>
        <w:rPr>
          <w:rFonts w:ascii="Times New Roman" w:hAnsi="Times New Roman"/>
          <w:b w:val="false"/>
          <w:i w:val="false"/>
          <w:strike/>
          <w:color w:val="000000"/>
          <w:sz w:val="24"/>
        </w:rPr>
        <w:t>shall be for the exact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cannot exceed the total</w:t>
      </w:r>
      <w:r>
        <w:rPr>
          <w:rFonts w:ascii="Times New Roman" w:hAnsi="Times New Roman"/>
          <w:b w:val="false"/>
          <w:i w:val="false"/>
          <w:color w:val="000000"/>
          <w:sz w:val="24"/>
        </w:rPr>
        <w:t xml:space="preserve"> amount of the fee </w:t>
      </w:r>
      <w:r>
        <w:rPr>
          <w:rFonts w:ascii="Times New Roman" w:hAnsi="Times New Roman"/>
          <w:b w:val="false"/>
          <w:i w:val="false"/>
          <w:strike/>
          <w:color w:val="000000"/>
          <w:sz w:val="24"/>
        </w:rPr>
        <w:t>and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that is due but the check can be for an amount less than the total amount if combined with another payment method. All checks must be</w:t>
      </w:r>
      <w:r>
        <w:rPr>
          <w:rFonts w:ascii="Times New Roman" w:hAnsi="Times New Roman"/>
          <w:b w:val="false"/>
          <w:i w:val="false"/>
          <w:color w:val="000000"/>
          <w:sz w:val="24"/>
        </w:rPr>
        <w:t xml:space="preserve"> payable to: Treasurer, State of Iowa. An exception may be made when a traveler’s check is presented.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605.9(2)</w:t>
      </w:r>
      <w:r>
        <w:rPr>
          <w:rFonts w:ascii="Times New Roman" w:hAnsi="Times New Roman"/>
          <w:b w:val="false"/>
          <w:i w:val="false"/>
          <w:color w:val="000000"/>
          <w:sz w:val="24"/>
        </w:rPr>
        <w:t> </w:t>
      </w:r>
      <w:r>
        <w:rPr>
          <w:rFonts w:ascii="Times New Roman" w:hAnsi="Times New Roman"/>
          <w:b w:val="false"/>
          <w:i w:val="false"/>
          <w:color w:val="000000"/>
          <w:sz w:val="24"/>
        </w:rPr>
        <w:t>One payment method</w:t>
      </w:r>
      <w:r>
        <w:rPr>
          <w:rFonts w:ascii="Times New Roman" w:hAnsi="Times New Roman"/>
          <w:b w:val="false"/>
          <w:i w:val="false"/>
          <w:color w:val="000000"/>
          <w:sz w:val="24"/>
          <w:u w:val="single"/>
        </w:rPr>
        <w:t>, or split payment methods,</w:t>
      </w:r>
      <w:r>
        <w:rPr>
          <w:rFonts w:ascii="Times New Roman" w:hAnsi="Times New Roman"/>
          <w:b w:val="false"/>
          <w:i w:val="false"/>
          <w:color w:val="000000"/>
          <w:sz w:val="24"/>
        </w:rPr>
        <w:t xml:space="preserve"> may be used to pay fees for several persons, such as members of a family or employees of a business firm. One payment method</w:t>
      </w:r>
      <w:r>
        <w:rPr>
          <w:rFonts w:ascii="Times New Roman" w:hAnsi="Times New Roman"/>
          <w:b w:val="false"/>
          <w:i w:val="false"/>
          <w:color w:val="000000"/>
          <w:sz w:val="24"/>
          <w:u w:val="single"/>
        </w:rPr>
        <w:t>, or split payment methods,</w:t>
      </w:r>
      <w:r>
        <w:rPr>
          <w:rFonts w:ascii="Times New Roman" w:hAnsi="Times New Roman"/>
          <w:b w:val="false"/>
          <w:i w:val="false"/>
          <w:color w:val="000000"/>
          <w:sz w:val="24"/>
        </w:rPr>
        <w:t xml:space="preserve"> may pay all fees involved, such as the license fee and the reinstatement fee.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761—605.10(307,321)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761—605.10</w:t>
      </w:r>
      <w:r>
        <w:rPr>
          <w:rFonts w:ascii="Times New Roman" w:hAnsi="Times New Roman"/>
          <w:b/>
          <w:i w:val="false"/>
          <w:color w:val="000000"/>
          <w:sz w:val="24"/>
        </w:rPr>
        <w:t xml:space="preserve">(307,321) </w:t>
      </w:r>
      <w:r>
        <w:rPr>
          <w:rFonts w:ascii="Times New Roman" w:hAnsi="Times New Roman"/>
          <w:b/>
          <w:i w:val="false"/>
          <w:color w:val="000000"/>
          <w:sz w:val="24"/>
        </w:rPr>
        <w:t xml:space="preserve">Duplicate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605.10(1)</w:t>
      </w:r>
      <w:r>
        <w:rPr>
          <w:rFonts w:ascii="Times New Roman" w:hAnsi="Times New Roman"/>
          <w:b w:val="false"/>
          <w:i w:val="false"/>
          <w:color w:val="000000"/>
          <w:sz w:val="24"/>
        </w:rPr>
        <w:t> </w:t>
      </w:r>
      <w:r>
        <w:rPr>
          <w:rFonts w:ascii="Times New Roman" w:hAnsi="Times New Roman"/>
          <w:b w:val="false"/>
          <w:i/>
          <w:color w:val="000000"/>
          <w:sz w:val="24"/>
        </w:rPr>
        <w:t xml:space="preserve">Lost, stolen or destroyed license. </w:t>
      </w:r>
      <w:r>
        <w:rPr>
          <w:rFonts w:ascii="Times New Roman" w:hAnsi="Times New Roman"/>
          <w:b w:val="false"/>
          <w:i w:val="false"/>
          <w:color w:val="000000"/>
          <w:sz w:val="24"/>
        </w:rPr>
        <w:t xml:space="preserve">Prior to replacing a valid license that is lost, stolen or destroyed, the department will verify the licensee’s full legal name, date of birth and social security number and collect the replacement fee. A licensee subject to </w:t>
      </w:r>
      <w:hyperlink r:id="rId55">
        <w:r>
          <w:rPr>
            <w:rStyle w:val="Hyperlink"/>
            <w:rFonts w:ascii="Times New Roman" w:hAnsi="Times New Roman"/>
            <w:b w:val="false"/>
            <w:i w:val="false"/>
            <w:color w:val="000000"/>
            <w:sz w:val="24"/>
          </w:rPr>
          <w:t/>
        </w:r>
        <w:r>
          <w:rPr>
            <w:rFonts w:ascii="Times New Roman" w:hAnsi="Times New Roman"/>
            <w:b w:val="false"/>
            <w:i w:val="false"/>
            <w:strike/>
            <w:color w:val="000000"/>
            <w:sz w:val="24"/>
          </w:rPr>
          <w:t>761—paragraph 601.5(2)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761—paragraph 601.4(2)</w:t>
        </w:r>
        <w:r>
          <w:rPr>
            <w:rFonts w:ascii="Times New Roman" w:hAnsi="Times New Roman"/>
            <w:b w:val="false"/>
            <w:i/>
            <w:color w:val="000000"/>
            <w:sz w:val="24"/>
          </w:rPr>
          <w:t>“b”</w:t>
        </w:r>
      </w:hyperlink>
      <w:r>
        <w:rPr>
          <w:rFonts w:ascii="Times New Roman" w:hAnsi="Times New Roman"/>
          <w:b w:val="false"/>
          <w:i w:val="false"/>
          <w:color w:val="000000"/>
          <w:sz w:val="24"/>
        </w:rPr>
        <w:t xml:space="preserve"> shall provide the applicant’s U.S. Customs and Immigration Services number, which must be verified by the department. The department may investigate or require additional information as may be reasonably necessary to determine that the licensee’s identity matches the identity of record and will not issue the replacement license if the licensee’s identity is questionable, cannot be determined or otherwise does not match the identity of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605.10(2)</w:t>
      </w:r>
      <w:r>
        <w:rPr>
          <w:rFonts w:ascii="Times New Roman" w:hAnsi="Times New Roman"/>
          <w:b w:val="false"/>
          <w:i w:val="false"/>
          <w:color w:val="000000"/>
          <w:sz w:val="24"/>
        </w:rPr>
        <w:t> </w:t>
      </w:r>
      <w:r>
        <w:rPr>
          <w:rFonts w:ascii="Times New Roman" w:hAnsi="Times New Roman"/>
          <w:b w:val="false"/>
          <w:i/>
          <w:color w:val="000000"/>
          <w:sz w:val="24"/>
        </w:rPr>
        <w:t xml:space="preserve">Voluntary replacement. </w:t>
      </w:r>
      <w:r>
        <w:rPr>
          <w:rFonts w:ascii="Times New Roman" w:hAnsi="Times New Roman"/>
          <w:b w:val="false"/>
          <w:i w:val="false"/>
          <w:color w:val="000000"/>
          <w:sz w:val="24"/>
        </w:rPr>
        <w:t>The department will issue a duplicate of a valid license to an eligible licensee if the license is surrendered to the department and the replacement fee is paid. Voluntary replacement includes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Replacement of a valid license before its expiration date to obtain a license that may be accepted for federal identification purposes under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(a REAL ID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605.10(3)</w:t>
      </w:r>
      <w:r>
        <w:rPr>
          <w:rFonts w:ascii="Times New Roman" w:hAnsi="Times New Roman"/>
          <w:b w:val="false"/>
          <w:i w:val="false"/>
          <w:color w:val="000000"/>
          <w:sz w:val="24"/>
        </w:rPr>
        <w:t> </w:t>
      </w:r>
      <w:r>
        <w:rPr>
          <w:rFonts w:ascii="Times New Roman" w:hAnsi="Times New Roman"/>
          <w:b w:val="false"/>
          <w:i/>
          <w:strike/>
          <w:color w:val="000000"/>
          <w:sz w:val="24"/>
        </w:rPr>
        <w:t>Replacement upon attaining the age of 21</w:t>
      </w:r>
      <w:r>
        <w:rPr>
          <w:rFonts w:ascii="Times New Roman" w:hAnsi="Times New Roman"/>
          <w:b w:val="false"/>
          <w:i/>
          <w:color w:val="000000"/>
          <w:sz w:val="24"/>
          <w:u w:val="single"/>
        </w:rPr>
        <w:t> </w:t>
      </w:r>
      <w:r>
        <w:rPr>
          <w:rFonts w:ascii="Times New Roman" w:hAnsi="Times New Roman"/>
          <w:b w:val="false"/>
          <w:i/>
          <w:color w:val="000000"/>
          <w:sz w:val="24"/>
          <w:u w:val="single"/>
        </w:rPr>
        <w:t>Electronic replacement</w:t>
      </w:r>
      <w:r>
        <w:rPr>
          <w:rFonts w:ascii="Times New Roman" w:hAnsi="Times New Roman"/>
          <w:b w:val="false"/>
          <w:i/>
          <w:color w:val="000000"/>
          <w:sz w:val="24"/>
        </w:rPr>
        <w:t xml:space="preserve">. </w:t>
      </w:r>
      <w:r>
        <w:rPr>
          <w:rFonts w:ascii="Times New Roman" w:hAnsi="Times New Roman"/>
          <w:b w:val="false"/>
          <w:i w:val="false"/>
          <w:strike/>
          <w:color w:val="000000"/>
          <w:sz w:val="24"/>
        </w:rPr>
        <w:t>A licensee, upon attaining the age of 21, who is otherwise eligible for a driver’s license is eligible to electronically apply for a replacement driver’s license under this rule for the unexpired months of the license, regardless of whether the most recent issuance occurred electronically.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applicant who meets the eligibility criteria may apply for electronic replacement of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a.</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Except for the requirements in subparagraphs </w:t>
      </w:r>
      <w:hyperlink r:id="rId56">
        <w:r>
          <w:rPr>
            <w:rStyle w:val="Hyperlink"/>
            <w:rFonts w:ascii="Times New Roman" w:hAnsi="Times New Roman"/>
            <w:b w:val="false"/>
            <w:i w:val="false"/>
            <w:strike/>
            <w:color w:val="000000"/>
            <w:sz w:val="24"/>
          </w:rPr>
          <w:t>605.15(6)</w:t>
        </w:r>
      </w:hyperlink>
      <w:r>
        <w:rPr>
          <w:rFonts w:ascii="Times New Roman" w:hAnsi="Times New Roman"/>
          <w:b w:val="false"/>
          <w:i/>
          <w:strike/>
          <w:color w:val="000000"/>
          <w:sz w:val="24"/>
        </w:rPr>
        <w:t>“a”</w:t>
      </w:r>
      <w:r>
        <w:rPr>
          <w:rFonts w:ascii="Times New Roman" w:hAnsi="Times New Roman"/>
          <w:b w:val="false"/>
          <w:i w:val="false"/>
          <w:strike/>
          <w:color w:val="000000"/>
          <w:sz w:val="24"/>
        </w:rPr>
        <w:t xml:space="preserve">(1) and </w:t>
      </w:r>
      <w:r>
        <w:rPr>
          <w:rFonts w:ascii="Times New Roman" w:hAnsi="Times New Roman"/>
          <w:b w:val="false"/>
          <w:i/>
          <w:strike/>
          <w:color w:val="000000"/>
          <w:sz w:val="24"/>
        </w:rPr>
        <w:t>“a”</w:t>
      </w:r>
      <w:r>
        <w:rPr>
          <w:rFonts w:ascii="Times New Roman" w:hAnsi="Times New Roman"/>
          <w:b w:val="false"/>
          <w:i w:val="false"/>
          <w:strike/>
          <w:color w:val="000000"/>
          <w:sz w:val="24"/>
        </w:rPr>
        <w:t xml:space="preserve">(2), the licensee must meet the eligibility requirements listed in paragraph </w:t>
      </w:r>
      <w:hyperlink r:id="rId57">
        <w:r>
          <w:rPr>
            <w:rStyle w:val="Hyperlink"/>
            <w:rFonts w:ascii="Times New Roman" w:hAnsi="Times New Roman"/>
            <w:b w:val="false"/>
            <w:i w:val="false"/>
            <w:strike/>
            <w:color w:val="000000"/>
            <w:sz w:val="24"/>
          </w:rPr>
          <w:t>605.15(6)</w:t>
        </w:r>
      </w:hyperlink>
      <w:r>
        <w:rPr>
          <w:rFonts w:ascii="Times New Roman" w:hAnsi="Times New Roman"/>
          <w:b w:val="false"/>
          <w:i/>
          <w:strike/>
          <w:color w:val="000000"/>
          <w:sz w:val="24"/>
        </w:rPr>
        <w:t>“a”</w:t>
      </w:r>
      <w:r>
        <w:rPr>
          <w:rFonts w:ascii="Times New Roman" w:hAnsi="Times New Roman"/>
          <w:b w:val="false"/>
          <w:i w:val="false"/>
          <w:strike/>
          <w:color w:val="000000"/>
          <w:sz w:val="24"/>
        </w:rPr>
        <w:t xml:space="preserve"> or </w:t>
      </w:r>
      <w:hyperlink r:id="rId58">
        <w:r>
          <w:rPr>
            <w:rStyle w:val="Hyperlink"/>
            <w:rFonts w:ascii="Times New Roman" w:hAnsi="Times New Roman"/>
            <w:b w:val="false"/>
            <w:i w:val="false"/>
            <w:strike/>
            <w:color w:val="000000"/>
            <w:sz w:val="24"/>
          </w:rPr>
          <w:t>605.15(7)</w:t>
        </w:r>
      </w:hyperlink>
      <w:r>
        <w:rPr>
          <w:rFonts w:ascii="Times New Roman" w:hAnsi="Times New Roman"/>
          <w:b w:val="false"/>
          <w:i/>
          <w:strike/>
          <w:color w:val="000000"/>
          <w:sz w:val="24"/>
        </w:rPr>
        <w:t>“a”</w:t>
      </w:r>
      <w:r>
        <w:rPr>
          <w:rFonts w:ascii="Times New Roman" w:hAnsi="Times New Roman"/>
          <w:b w:val="false"/>
          <w:i w:val="false"/>
          <w:strike/>
          <w:color w:val="000000"/>
          <w:sz w:val="24"/>
        </w:rPr>
        <w:t xml:space="preserve"> to replace the license electronically in addition to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The licensee must be at least 21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The licensee must currently hold a driver’s license marked “under 21” as provided in Iowa Code section </w:t>
      </w:r>
      <w:hyperlink r:id="rId59">
        <w:r>
          <w:rPr>
            <w:rStyle w:val="Hyperlink"/>
            <w:rFonts w:ascii="Times New Roman" w:hAnsi="Times New Roman"/>
            <w:b w:val="false"/>
            <w:i w:val="false"/>
            <w:strike/>
            <w:color w:val="000000"/>
            <w:sz w:val="24"/>
          </w:rPr>
          <w:t>321.189</w:t>
        </w:r>
      </w:hyperlink>
      <w:r>
        <w:rPr>
          <w:rFonts w:ascii="Times New Roman" w:hAnsi="Times New Roman"/>
          <w:b w:val="false"/>
          <w:i w:val="false"/>
          <w:strik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Notwithstanding any other provision of this chapter to the contrary, the department may accept an electronic replacement application if the licensee seeks replacement of a special instruction permit or a license with a single “J” restriction accompanied by a “9” restriction.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Eligibility criteria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 is at least 14 years of age but not yet 70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applicant’s driver’s license has not been expired for more than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applicant’s driver’s license is eligible for reinstatement from a suspension that does not require an “H” or “I” restriction and all reinstatement criteria have been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department’s records show the applicant is a U.S. citizen and Iowa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(5)</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applicant’s driver’s license is not marked “valid without photo.”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(6)</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 is not subject to a pending request for reexamination.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(7)</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 is not required to submit a medical report or vision report as a condition of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(8)</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 is not seeking to change any of the following information as it appears on the applicant’s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Date of birth.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Class of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(9)</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 is not subject to any of the following restrictions or endorsements:</w:t>
      </w:r>
    </w:p>
    <w:p>
      <w:pPr>
        <w:spacing w:before="0" w:after="0" w:line="480"/>
        <w:ind w:left="120"/>
        <w:jc w:val="both"/>
      </w:pPr>
      <w:r>
        <w:rPr>
          <w:rFonts w:ascii="Times New Roman" w:hAnsi="Times New Roman"/>
          <w:b w:val="false"/>
          <w:i w:val="false"/>
          <w:color w:val="000000"/>
          <w:sz w:val="24"/>
        </w:rPr>
        <w:t>E—No manual transmission equipped CMV</w:t>
      </w:r>
    </w:p>
    <w:p>
      <w:pPr>
        <w:spacing w:before="0" w:after="0" w:line="480"/>
        <w:ind w:left="120"/>
        <w:jc w:val="both"/>
      </w:pPr>
      <w:r>
        <w:rPr>
          <w:rFonts w:ascii="Times New Roman" w:hAnsi="Times New Roman"/>
          <w:b w:val="false"/>
          <w:i w:val="false"/>
          <w:color w:val="000000"/>
          <w:sz w:val="24"/>
        </w:rPr>
        <w:t>G—No driving when headlights required</w:t>
      </w:r>
    </w:p>
    <w:p>
      <w:pPr>
        <w:spacing w:before="0" w:after="0" w:line="480"/>
        <w:ind w:left="120"/>
        <w:jc w:val="both"/>
      </w:pPr>
      <w:r>
        <w:rPr>
          <w:rFonts w:ascii="Times New Roman" w:hAnsi="Times New Roman"/>
          <w:b w:val="false"/>
          <w:i w:val="false"/>
          <w:color w:val="000000"/>
          <w:sz w:val="24"/>
        </w:rPr>
        <w:t>H—Hazardous material</w:t>
      </w:r>
    </w:p>
    <w:p>
      <w:pPr>
        <w:spacing w:before="0" w:after="0" w:line="480"/>
        <w:ind w:left="120"/>
        <w:jc w:val="both"/>
      </w:pPr>
      <w:r>
        <w:rPr>
          <w:rFonts w:ascii="Times New Roman" w:hAnsi="Times New Roman"/>
          <w:b w:val="false"/>
          <w:i w:val="false"/>
          <w:color w:val="000000"/>
          <w:sz w:val="24"/>
        </w:rPr>
        <w:t>Q—No interstate or freeway driving</w:t>
      </w:r>
    </w:p>
    <w:p>
      <w:pPr>
        <w:spacing w:before="0" w:after="0" w:line="480"/>
        <w:ind w:left="120"/>
        <w:jc w:val="both"/>
      </w:pPr>
      <w:r>
        <w:rPr>
          <w:rFonts w:ascii="Times New Roman" w:hAnsi="Times New Roman"/>
          <w:b w:val="false"/>
          <w:i w:val="false"/>
          <w:color w:val="000000"/>
          <w:sz w:val="24"/>
        </w:rPr>
        <w:t>X—Hazardous material and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Notwithstanding any other provision of this subrule to the contrary, the department may accept an electronic replacement application if the license contains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“J” restriction unless the restriction requires supervision of the driver by occupational therapy staff or is a specialized, nonstandard restriction.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“K” restriction that the applicant is electing to add or remove.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“H,” “I,” “S,” “W” or “9” restriction if the restriction is no longer applicable or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Expired privileges, endorsements or certifications, which will be removed at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department may deny electronic replacement and require the applicant to appear in person for a replacement at a driver’s license service center, including if it appears to the department that the applicant may have a physical or mental condition that may impair the applicant’s ability to safely operate a motor vehicle, even if the applicant otherwise meets the criteria in paragraph </w:t>
      </w:r>
      <w:hyperlink r:id="rId60">
        <w:r>
          <w:rPr>
            <w:rStyle w:val="Hyperlink"/>
            <w:rFonts w:ascii="Times New Roman" w:hAnsi="Times New Roman"/>
            <w:b w:val="false"/>
            <w:i w:val="false"/>
            <w:color w:val="000000"/>
            <w:sz w:val="24"/>
            <w:u w:val="single"/>
          </w:rPr>
          <w:t>605.10(3)</w:t>
        </w:r>
      </w:hyperlink>
      <w:r>
        <w:rPr>
          <w:rFonts w:ascii="Times New Roman" w:hAnsi="Times New Roman"/>
          <w:b w:val="false"/>
          <w:i/>
          <w:color w:val="000000"/>
          <w:sz w:val="24"/>
          <w:u w:val="single"/>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 applicant who has not previously been issued a driver’s license that is compliant with the REAL ID Act of 2005, </w:t>
      </w:r>
      <w:r>
        <w:rPr>
          <w:rFonts w:ascii="Times New Roman" w:hAnsi="Times New Roman"/>
          <w:b w:val="false"/>
          <w:i w:val="false"/>
          <w:color w:val="000000"/>
          <w:sz w:val="24"/>
          <w:u w:val="single"/>
        </w:rPr>
        <w:t>49 U.S.C.</w:t>
      </w:r>
      <w:r>
        <w:rPr>
          <w:rFonts w:ascii="Times New Roman" w:hAnsi="Times New Roman"/>
          <w:b w:val="false"/>
          <w:i w:val="false"/>
          <w:color w:val="000000"/>
          <w:sz w:val="24"/>
          <w:u w:val="single"/>
        </w:rPr>
        <w:t xml:space="preserve"> Section 30301 note, implemented in </w:t>
      </w:r>
      <w:r>
        <w:rPr>
          <w:rFonts w:ascii="Times New Roman" w:hAnsi="Times New Roman"/>
          <w:b w:val="false"/>
          <w:i w:val="false"/>
          <w:color w:val="000000"/>
          <w:sz w:val="24"/>
          <w:u w:val="single"/>
        </w:rPr>
        <w:t>6 CFR Part 37</w:t>
      </w:r>
      <w:r>
        <w:rPr>
          <w:rFonts w:ascii="Times New Roman" w:hAnsi="Times New Roman"/>
          <w:b w:val="false"/>
          <w:i w:val="false"/>
          <w:color w:val="000000"/>
          <w:sz w:val="24"/>
          <w:u w:val="single"/>
        </w:rPr>
        <w:t xml:space="preserve"> effective January 1, 2025 (a REAL ID driver’s license), cannot request a REAL ID driver’s license by electronic replacement.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1">
        <w:r>
          <w:rPr>
            <w:rStyle w:val="Hyperlink"/>
            <w:rFonts w:ascii="Times New Roman" w:hAnsi="Times New Roman"/>
            <w:b w:val="false"/>
            <w:i w:val="false"/>
            <w:color w:val="000000"/>
            <w:sz w:val="24"/>
          </w:rPr>
          <w:t>307.12(1)</w:t>
        </w:r>
      </w:hyperlink>
      <w:r>
        <w:rPr>
          <w:rFonts w:ascii="Times New Roman" w:hAnsi="Times New Roman"/>
          <w:b w:val="false"/>
          <w:i/>
          <w:color w:val="000000"/>
          <w:sz w:val="24"/>
        </w:rPr>
        <w:t>“j,”</w:t>
      </w:r>
      <w:r>
        <w:rPr>
          <w:rFonts w:ascii="Times New Roman" w:hAnsi="Times New Roman"/>
          <w:b w:val="false"/>
          <w:i w:val="false"/>
          <w:color w:val="000000"/>
          <w:sz w:val="24"/>
        </w:rPr>
        <w:t> </w:t>
      </w:r>
      <w:hyperlink r:id="rId62">
        <w:r>
          <w:rPr>
            <w:rStyle w:val="Hyperlink"/>
            <w:rFonts w:ascii="Times New Roman" w:hAnsi="Times New Roman"/>
            <w:b w:val="false"/>
            <w:i w:val="false"/>
            <w:color w:val="000000"/>
            <w:sz w:val="24"/>
          </w:rPr>
          <w:t>321.13</w:t>
        </w:r>
      </w:hyperlink>
      <w:r>
        <w:rPr>
          <w:rFonts w:ascii="Times New Roman" w:hAnsi="Times New Roman"/>
          <w:b w:val="false"/>
          <w:i w:val="false"/>
          <w:color w:val="000000"/>
          <w:sz w:val="24"/>
        </w:rPr>
        <w:t xml:space="preserve">, </w:t>
      </w:r>
      <w:hyperlink r:id="rId63">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 xml:space="preserve">, </w:t>
      </w:r>
      <w:hyperlink r:id="rId64">
        <w:r>
          <w:rPr>
            <w:rStyle w:val="Hyperlink"/>
            <w:rFonts w:ascii="Times New Roman" w:hAnsi="Times New Roman"/>
            <w:b w:val="false"/>
            <w:i w:val="false"/>
            <w:color w:val="000000"/>
            <w:sz w:val="24"/>
          </w:rPr>
          <w:t>321.195</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26,</w:t>
      </w:r>
      <w:r>
        <w:rPr>
          <w:rFonts w:ascii="Times New Roman" w:hAnsi="Times New Roman"/>
          <w:b w:val="false"/>
          <w:i w:val="false"/>
          <w:color w:val="000000"/>
          <w:sz w:val="24"/>
        </w:rPr>
        <w:t xml:space="preserve"> and </w:t>
      </w:r>
      <w:hyperlink r:id="rId65">
        <w:r>
          <w:rPr>
            <w:rStyle w:val="Hyperlink"/>
            <w:rFonts w:ascii="Times New Roman" w:hAnsi="Times New Roman"/>
            <w:b w:val="false"/>
            <w:i w:val="false"/>
            <w:color w:val="000000"/>
            <w:sz w:val="24"/>
          </w:rPr>
          <w:t>321.208</w:t>
        </w:r>
      </w:hyperlink>
      <w:r>
        <w:rPr>
          <w:rFonts w:ascii="Times New Roman" w:hAnsi="Times New Roman"/>
          <w:b w:val="false"/>
          <w:i w:val="false"/>
          <w:color w:val="000000"/>
          <w:sz w:val="24"/>
        </w:rPr>
        <w:t>;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amended by the REAL ID Modernization Act, H.R. 133, Division U, Title X;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605.14(2)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605.14(2)</w:t>
      </w:r>
      <w:r>
        <w:rPr>
          <w:rFonts w:ascii="Times New Roman" w:hAnsi="Times New Roman"/>
          <w:b w:val="false"/>
          <w:i w:val="false"/>
          <w:color w:val="000000"/>
          <w:sz w:val="24"/>
        </w:rPr>
        <w:t> </w:t>
      </w:r>
      <w:r>
        <w:rPr>
          <w:rFonts w:ascii="Times New Roman" w:hAnsi="Times New Roman"/>
          <w:b w:val="false"/>
          <w:i w:val="false"/>
          <w:color w:val="000000"/>
          <w:sz w:val="24"/>
        </w:rPr>
        <w:t>The fee to add a privilege to a driver’s license is computed per year of new license validity as follows:</w:t>
      </w:r>
    </w:p>
    <w:tbl>
      <w:tblPr>
        <w:tblW w:w="0" w:type="auto"/>
        <w:tblCellSpacing w:w="0" w:type="auto"/>
        <w:tblBorders>
          <w:top w:val="none"/>
          <w:left w:val="none"/>
          <w:bottom w:val="none"/>
          <w:right w:val="none"/>
          <w:insideH w:val="none"/>
          <w:insideV w:val="none"/>
        </w:tblBorders>
        <w:tblLayout w:type="fixed"/>
      </w:tblPr>
      <w:tblGrid>
        <w:gridCol w:w="6588"/>
        <w:gridCol w:w="2364"/>
      </w:tblGrid>
      <w:tr>
        <w:trPr>
          <w:trHeight w:val="345" w:hRule="atLeast"/>
        </w:trPr>
        <w:tc>
          <w:tcPr>
            <w:tcW w:w="6588"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Noncommercial Class C</w:t>
            </w:r>
          </w:p>
          <w:p>
            <w:pPr>
              <w:spacing w:before="0" w:after="0" w:line="264"/>
              <w:ind w:left="160"/>
              <w:jc w:val="left"/>
            </w:pPr>
            <w:r>
              <w:rPr>
                <w:rFonts w:ascii="Times New Roman" w:hAnsi="Times New Roman"/>
                <w:b w:val="false"/>
                <w:i w:val="false"/>
                <w:color w:val="000000"/>
                <w:sz w:val="14"/>
              </w:rPr>
              <w:t>(full privileges from a restricted Class C)</w:t>
            </w:r>
          </w:p>
        </w:tc>
        <w:tc>
          <w:tcPr>
            <w:tcW w:w="236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$4 per year</w:t>
            </w:r>
          </w:p>
        </w:tc>
      </w:tr>
      <w:tr>
        <w:trPr>
          <w:trHeight w:val="180" w:hRule="atLeast"/>
        </w:trPr>
        <w:tc>
          <w:tcPr>
            <w:tcW w:w="65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Motorized bicycle</w:t>
            </w:r>
          </w:p>
        </w:tc>
        <w:tc>
          <w:tcPr>
            <w:tcW w:w="23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per year</w:t>
            </w:r>
          </w:p>
        </w:tc>
      </w:tr>
      <w:tr>
        <w:trPr>
          <w:trHeight w:val="180" w:hRule="atLeast"/>
        </w:trPr>
        <w:tc>
          <w:tcPr>
            <w:tcW w:w="65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strike/>
                <w:color w:val="000000"/>
                <w:sz w:val="14"/>
              </w:rPr>
              <w:t>Minor’s restricted license</w:t>
            </w:r>
          </w:p>
        </w:tc>
        <w:tc>
          <w:tcPr>
            <w:tcW w:w="23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strike/>
                <w:color w:val="000000"/>
                <w:sz w:val="14"/>
              </w:rPr>
              <w:t>$4 per year</w:t>
            </w:r>
          </w:p>
        </w:tc>
      </w:tr>
      <w:tr>
        <w:trPr>
          <w:trHeight w:val="180" w:hRule="atLeast"/>
        </w:trPr>
        <w:tc>
          <w:tcPr>
            <w:tcW w:w="65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strike/>
                <w:color w:val="000000"/>
                <w:sz w:val="14"/>
              </w:rPr>
              <w:t>Special minor’s restricted license</w:t>
            </w:r>
          </w:p>
        </w:tc>
        <w:tc>
          <w:tcPr>
            <w:tcW w:w="23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strike/>
                <w:color w:val="000000"/>
                <w:sz w:val="14"/>
              </w:rPr>
              <w:t>$4 per year</w:t>
            </w:r>
          </w:p>
        </w:tc>
      </w:tr>
      <w:tr>
        <w:trPr>
          <w:trHeight w:val="180" w:hRule="atLeast"/>
        </w:trPr>
        <w:tc>
          <w:tcPr>
            <w:tcW w:w="65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Motorcycle instruction permit</w:t>
            </w:r>
          </w:p>
        </w:tc>
        <w:tc>
          <w:tcPr>
            <w:tcW w:w="23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per year</w:t>
            </w:r>
          </w:p>
        </w:tc>
      </w:tr>
      <w:tr>
        <w:trPr>
          <w:trHeight w:val="180" w:hRule="atLeast"/>
        </w:trPr>
        <w:tc>
          <w:tcPr>
            <w:tcW w:w="65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Motorcycle endorsement</w:t>
            </w:r>
          </w:p>
        </w:tc>
        <w:tc>
          <w:tcPr>
            <w:tcW w:w="23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per year</w:t>
            </w:r>
          </w:p>
        </w:tc>
      </w:tr>
    </w:tbl>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761—605.15(307,321)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761—605.15</w:t>
      </w:r>
      <w:r>
        <w:rPr>
          <w:rFonts w:ascii="Times New Roman" w:hAnsi="Times New Roman"/>
          <w:b/>
          <w:i w:val="false"/>
          <w:color w:val="000000"/>
          <w:sz w:val="24"/>
        </w:rPr>
        <w:t xml:space="preserve">(307,321) </w:t>
      </w:r>
      <w:r>
        <w:rPr>
          <w:rFonts w:ascii="Times New Roman" w:hAnsi="Times New Roman"/>
          <w:b/>
          <w:i w:val="false"/>
          <w:color w:val="000000"/>
          <w:sz w:val="24"/>
        </w:rPr>
        <w:t xml:space="preserve">License renewal.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605.15(1)</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605.15(2)</w:t>
      </w:r>
      <w:r>
        <w:rPr>
          <w:rFonts w:ascii="Times New Roman" w:hAnsi="Times New Roman"/>
          <w:b w:val="false"/>
          <w:i w:val="false"/>
          <w:color w:val="000000"/>
          <w:sz w:val="24"/>
        </w:rPr>
        <w:t> </w:t>
      </w:r>
      <w:r>
        <w:rPr>
          <w:rFonts w:ascii="Times New Roman" w:hAnsi="Times New Roman"/>
          <w:b w:val="false"/>
          <w:i w:val="false"/>
          <w:color w:val="000000"/>
          <w:sz w:val="24"/>
        </w:rPr>
        <w:t xml:space="preserve">A valid noncommercial license may be renewed within 180 days before the expiration date. The department for good cause may renew a noncommercial license earlier, except the department will not renew a REAL ID driver’s license issued under rule </w:t>
      </w:r>
      <w:hyperlink r:id="rId66">
        <w:r>
          <w:rPr>
            <w:rStyle w:val="Hyperlink"/>
            <w:rFonts w:ascii="Times New Roman" w:hAnsi="Times New Roman"/>
            <w:b w:val="false"/>
            <w:i w:val="false"/>
            <w:strike/>
            <w:color w:val="000000"/>
            <w:sz w:val="24"/>
          </w:rPr>
          <w:t>761—601.7</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67">
        <w:r>
          <w:rPr>
            <w:rStyle w:val="Hyperlink"/>
            <w:rFonts w:ascii="Times New Roman" w:hAnsi="Times New Roman"/>
            <w:b w:val="false"/>
            <w:i w:val="false"/>
            <w:color w:val="000000"/>
            <w:sz w:val="24"/>
            <w:u w:val="single"/>
          </w:rPr>
          <w:t>761—601.6</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earlier than 180 days before the expiration date if such a renewal would result in noncompliance under 6 CFR Section 37.5(a)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605.15(3)</w:t>
      </w:r>
      <w:r>
        <w:rPr>
          <w:rFonts w:ascii="Times New Roman" w:hAnsi="Times New Roman"/>
          <w:b w:val="false"/>
          <w:i w:val="false"/>
          <w:color w:val="000000"/>
          <w:sz w:val="24"/>
        </w:rPr>
        <w:t> </w:t>
      </w:r>
      <w:r>
        <w:rPr>
          <w:rFonts w:ascii="Times New Roman" w:hAnsi="Times New Roman"/>
          <w:b w:val="false"/>
          <w:i w:val="false"/>
          <w:color w:val="000000"/>
          <w:sz w:val="24"/>
        </w:rPr>
        <w:t>If the licensee’s current residential address, name or date of birth has changed since the previous license was issued, the licensee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Notify the department to establish the current residential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Comply with the requirements of </w:t>
      </w:r>
      <w:hyperlink r:id="rId68">
        <w:r>
          <w:rPr>
            <w:rStyle w:val="Hyperlink"/>
            <w:rFonts w:ascii="Times New Roman" w:hAnsi="Times New Roman"/>
            <w:b w:val="false"/>
            <w:i w:val="false"/>
            <w:strike/>
            <w:color w:val="000000"/>
            <w:sz w:val="24"/>
          </w:rPr>
          <w:t>761—subrule 601.5(5)</w:t>
        </w:r>
      </w:hyperlink>
      <w:r>
        <w:rPr>
          <w:rFonts w:ascii="Times New Roman" w:hAnsi="Times New Roman"/>
          <w:b w:val="false"/>
          <w:i w:val="false"/>
          <w:color w:val="000000"/>
          <w:sz w:val="24"/>
          <w:u w:val="single"/>
        </w:rPr>
        <w:t> </w:t>
      </w:r>
      <w:hyperlink r:id="rId69">
        <w:r>
          <w:rPr>
            <w:rStyle w:val="Hyperlink"/>
            <w:rFonts w:ascii="Times New Roman" w:hAnsi="Times New Roman"/>
            <w:b w:val="false"/>
            <w:i w:val="false"/>
            <w:color w:val="000000"/>
            <w:sz w:val="24"/>
            <w:u w:val="single"/>
          </w:rPr>
          <w:t>761—subrule 601.4(5)</w:t>
        </w:r>
      </w:hyperlink>
      <w:r>
        <w:rPr>
          <w:rFonts w:ascii="Times New Roman" w:hAnsi="Times New Roman"/>
          <w:b w:val="false"/>
          <w:i w:val="false"/>
          <w:color w:val="000000"/>
          <w:sz w:val="24"/>
        </w:rPr>
        <w:t xml:space="preserve"> to establish a name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Comply with the requirements of </w:t>
      </w:r>
      <w:hyperlink r:id="rId70">
        <w:r>
          <w:rPr>
            <w:rStyle w:val="Hyperlink"/>
            <w:rFonts w:ascii="Times New Roman" w:hAnsi="Times New Roman"/>
            <w:b w:val="false"/>
            <w:i w:val="false"/>
            <w:strike/>
            <w:color w:val="000000"/>
            <w:sz w:val="24"/>
          </w:rPr>
          <w:t>761—subrule 601.5(6)</w:t>
        </w:r>
      </w:hyperlink>
      <w:r>
        <w:rPr>
          <w:rFonts w:ascii="Times New Roman" w:hAnsi="Times New Roman"/>
          <w:b w:val="false"/>
          <w:i w:val="false"/>
          <w:color w:val="000000"/>
          <w:sz w:val="24"/>
          <w:u w:val="single"/>
        </w:rPr>
        <w:t> </w:t>
      </w:r>
      <w:hyperlink r:id="rId71">
        <w:r>
          <w:rPr>
            <w:rStyle w:val="Hyperlink"/>
            <w:rFonts w:ascii="Times New Roman" w:hAnsi="Times New Roman"/>
            <w:b w:val="false"/>
            <w:i w:val="false"/>
            <w:color w:val="000000"/>
            <w:sz w:val="24"/>
            <w:u w:val="single"/>
          </w:rPr>
          <w:t>761—subrule 601.4(6)</w:t>
        </w:r>
      </w:hyperlink>
      <w:r>
        <w:rPr>
          <w:rFonts w:ascii="Times New Roman" w:hAnsi="Times New Roman"/>
          <w:b w:val="false"/>
          <w:i w:val="false"/>
          <w:color w:val="000000"/>
          <w:sz w:val="24"/>
        </w:rPr>
        <w:t xml:space="preserve"> to establish a change of date of birth.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605.15(4)</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who has not previously been issued a license that may be accepted for federal identification purposes under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(a REAL ID driver’s license), and wishes to obtain a REAL ID driver’s license upon renewal must comply with the requirements of rule </w:t>
      </w:r>
      <w:hyperlink r:id="rId72">
        <w:r>
          <w:rPr>
            <w:rStyle w:val="Hyperlink"/>
            <w:rFonts w:ascii="Times New Roman" w:hAnsi="Times New Roman"/>
            <w:b w:val="false"/>
            <w:i w:val="false"/>
            <w:strike/>
            <w:color w:val="000000"/>
            <w:sz w:val="24"/>
          </w:rPr>
          <w:t>761—601.5</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73">
        <w:r>
          <w:rPr>
            <w:rStyle w:val="Hyperlink"/>
            <w:rFonts w:ascii="Times New Roman" w:hAnsi="Times New Roman"/>
            <w:b w:val="false"/>
            <w:i w:val="false"/>
            <w:color w:val="000000"/>
            <w:sz w:val="24"/>
            <w:u w:val="single"/>
          </w:rPr>
          <w:t>761—601.4</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to obtain a REAL ID driver’s license upon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605.15(5)</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who is a foreign national who is temporarily present in this state must provide documentation of lawful status as required by </w:t>
      </w:r>
      <w:hyperlink r:id="rId74">
        <w:r>
          <w:rPr>
            <w:rStyle w:val="Hyperlink"/>
            <w:rFonts w:ascii="Times New Roman" w:hAnsi="Times New Roman"/>
            <w:b w:val="false"/>
            <w:i w:val="false"/>
            <w:strike/>
            <w:color w:val="000000"/>
            <w:sz w:val="24"/>
          </w:rPr>
          <w:t>761—subrule 601.5(4)</w:t>
        </w:r>
      </w:hyperlink>
      <w:r>
        <w:rPr>
          <w:rFonts w:ascii="Times New Roman" w:hAnsi="Times New Roman"/>
          <w:b w:val="false"/>
          <w:i w:val="false"/>
          <w:color w:val="000000"/>
          <w:sz w:val="24"/>
          <w:u w:val="single"/>
        </w:rPr>
        <w:t> </w:t>
      </w:r>
      <w:hyperlink r:id="rId75">
        <w:r>
          <w:rPr>
            <w:rStyle w:val="Hyperlink"/>
            <w:rFonts w:ascii="Times New Roman" w:hAnsi="Times New Roman"/>
            <w:b w:val="false"/>
            <w:i w:val="false"/>
            <w:color w:val="000000"/>
            <w:sz w:val="24"/>
            <w:u w:val="single"/>
          </w:rPr>
          <w:t>761—subrule 601.4(4)</w:t>
        </w:r>
      </w:hyperlink>
      <w:r>
        <w:rPr>
          <w:rFonts w:ascii="Times New Roman" w:hAnsi="Times New Roman"/>
          <w:b w:val="false"/>
          <w:i w:val="false"/>
          <w:color w:val="000000"/>
          <w:sz w:val="24"/>
        </w:rPr>
        <w:t xml:space="preserve"> at each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605.15(6)</w:t>
      </w:r>
      <w:r>
        <w:rPr>
          <w:rFonts w:ascii="Times New Roman" w:hAnsi="Times New Roman"/>
          <w:b w:val="false"/>
          <w:i w:val="false"/>
          <w:color w:val="000000"/>
          <w:sz w:val="24"/>
        </w:rPr>
        <w:t> </w:t>
      </w:r>
      <w:r>
        <w:rPr>
          <w:rFonts w:ascii="Times New Roman" w:hAnsi="Times New Roman"/>
          <w:b w:val="false"/>
          <w:i w:val="false"/>
          <w:color w:val="000000"/>
          <w:sz w:val="24"/>
        </w:rPr>
        <w:t>An applicant who meets the eligibility criteria may apply for electronic renewal of a noncommercial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Eligibility criteria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applicant is not subject to any of the following restrictions:</w:t>
      </w:r>
    </w:p>
    <w:p>
      <w:pPr>
        <w:spacing w:before="0" w:after="0" w:line="480"/>
        <w:ind w:left="120"/>
        <w:jc w:val="both"/>
      </w:pPr>
      <w:r>
        <w:rPr>
          <w:rFonts w:ascii="Times New Roman" w:hAnsi="Times New Roman"/>
          <w:b w:val="false"/>
          <w:i w:val="false"/>
          <w:color w:val="000000"/>
          <w:sz w:val="24"/>
        </w:rPr>
        <w:t>G—No driving when headlights required</w:t>
      </w:r>
    </w:p>
    <w:p>
      <w:pPr>
        <w:spacing w:before="0" w:after="0" w:line="480"/>
        <w:ind w:left="120"/>
        <w:jc w:val="both"/>
      </w:pPr>
      <w:r>
        <w:rPr>
          <w:rFonts w:ascii="Times New Roman" w:hAnsi="Times New Roman"/>
          <w:b w:val="false"/>
          <w:i w:val="false"/>
          <w:color w:val="000000"/>
          <w:sz w:val="24"/>
        </w:rPr>
        <w:t>J—Restrictions on the back of card</w:t>
      </w:r>
    </w:p>
    <w:p>
      <w:pPr>
        <w:spacing w:before="0" w:after="0" w:line="480"/>
        <w:ind w:left="120"/>
        <w:jc w:val="both"/>
      </w:pPr>
      <w:r>
        <w:rPr>
          <w:rFonts w:ascii="Times New Roman" w:hAnsi="Times New Roman"/>
          <w:b w:val="false"/>
          <w:i w:val="false"/>
          <w:strike/>
          <w:color w:val="000000"/>
          <w:sz w:val="24"/>
        </w:rPr>
        <w:t>T—Medical report required at renewal</w:t>
      </w:r>
    </w:p>
    <w:p>
      <w:pPr>
        <w:spacing w:before="0" w:after="0" w:line="480"/>
        <w:ind w:left="120"/>
        <w:jc w:val="both"/>
      </w:pPr>
      <w:r>
        <w:rPr>
          <w:rFonts w:ascii="Times New Roman" w:hAnsi="Times New Roman"/>
          <w:b w:val="false"/>
          <w:i w:val="false"/>
          <w:color w:val="000000"/>
          <w:sz w:val="24"/>
        </w:rPr>
        <w:t>8—Special instruction permit</w:t>
      </w:r>
    </w:p>
    <w:p>
      <w:pPr>
        <w:spacing w:before="0" w:after="0" w:line="480"/>
        <w:ind w:left="120"/>
        <w:jc w:val="both"/>
      </w:pPr>
      <w:r>
        <w:rPr>
          <w:rFonts w:ascii="Times New Roman" w:hAnsi="Times New Roman"/>
          <w:b w:val="false"/>
          <w:i w:val="false"/>
          <w:color w:val="000000"/>
          <w:sz w:val="24"/>
        </w:rPr>
        <w:t>Q—No interstate or freeway driving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any other provision of this subrule to the contrary, the department may accept an electronic renewal application if the license contains </w:t>
      </w:r>
      <w:r>
        <w:rPr>
          <w:rFonts w:ascii="Times New Roman" w:hAnsi="Times New Roman"/>
          <w:b w:val="false"/>
          <w:i w:val="false"/>
          <w:strike/>
          <w:color w:val="000000"/>
          <w:sz w:val="24"/>
        </w:rPr>
        <w:t>a single “J” restriction accompanied by a “7” or “Y” restriction.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“J” restriction accompanied by a “7” or “Y” restriction or a “J” restriction accompanying an “H” or “X” endorsement that is being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“H,” “I,” “S,” “W” or “9” restriction if the restriction is no longer applicable or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motorcycle endorsement that the licensee is electing to remove.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Expired privileges, endorsements or certifications, which will be removed at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deny electronic renewal and require the applicant to apply in person for renewal at a driver’s license service center</w:t>
      </w:r>
      <w:r>
        <w:rPr>
          <w:rFonts w:ascii="Times New Roman" w:hAnsi="Times New Roman"/>
          <w:b w:val="false"/>
          <w:i w:val="false"/>
          <w:color w:val="000000"/>
          <w:sz w:val="24"/>
          <w:u w:val="single"/>
        </w:rPr>
        <w:t>, including</w:t>
      </w:r>
      <w:r>
        <w:rPr>
          <w:rFonts w:ascii="Times New Roman" w:hAnsi="Times New Roman"/>
          <w:b w:val="false"/>
          <w:i w:val="false"/>
          <w:color w:val="000000"/>
          <w:sz w:val="24"/>
        </w:rPr>
        <w:t xml:space="preserve"> if it appears to the department that the applicant may have a physical or mental condition that may impair the applicant’s ability to safely operate a motor vehicle, even if the applicant otherwise meets the criteria in paragraph </w:t>
      </w:r>
      <w:hyperlink r:id="rId76">
        <w:r>
          <w:rPr>
            <w:rStyle w:val="Hyperlink"/>
            <w:rFonts w:ascii="Times New Roman" w:hAnsi="Times New Roman"/>
            <w:b w:val="false"/>
            <w:i w:val="false"/>
            <w:color w:val="000000"/>
            <w:sz w:val="24"/>
          </w:rPr>
          <w:t>605.15(6)</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who has not previously been issued a driver’s license that is compliant with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implemented in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(a REAL ID driver’s license), cannot request a REAL ID driver’s license by electronic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605.15(7)</w:t>
      </w:r>
      <w:r>
        <w:rPr>
          <w:rFonts w:ascii="Times New Roman" w:hAnsi="Times New Roman"/>
          <w:b w:val="false"/>
          <w:i w:val="false"/>
          <w:color w:val="000000"/>
          <w:sz w:val="24"/>
        </w:rPr>
        <w:t> </w:t>
      </w:r>
      <w:r>
        <w:rPr>
          <w:rFonts w:ascii="Times New Roman" w:hAnsi="Times New Roman"/>
          <w:b w:val="false"/>
          <w:i w:val="false"/>
          <w:color w:val="000000"/>
          <w:sz w:val="24"/>
        </w:rPr>
        <w:t xml:space="preserve">Subject to the requirements in paragraphs </w:t>
      </w:r>
      <w:hyperlink r:id="rId77">
        <w:r>
          <w:rPr>
            <w:rStyle w:val="Hyperlink"/>
            <w:rFonts w:ascii="Times New Roman" w:hAnsi="Times New Roman"/>
            <w:b w:val="false"/>
            <w:i w:val="false"/>
            <w:color w:val="000000"/>
            <w:sz w:val="24"/>
          </w:rPr>
          <w:t>605.15(6)</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 xml:space="preserve"> an applicant who meets the following eligibility criteria may apply for electronic renewal of a commercial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is otherwise eligible to renew a commercial driver’s license and meets the same eligibility requirements for renewing a noncommercial driver’s license listed in paragraph </w:t>
      </w:r>
      <w:hyperlink r:id="rId78">
        <w:r>
          <w:rPr>
            <w:rStyle w:val="Hyperlink"/>
            <w:rFonts w:ascii="Times New Roman" w:hAnsi="Times New Roman"/>
            <w:b w:val="false"/>
            <w:i w:val="false"/>
            <w:color w:val="000000"/>
            <w:sz w:val="24"/>
          </w:rPr>
          <w:t>605.15(6)</w:t>
        </w:r>
      </w:hyperlink>
      <w:r>
        <w:rPr>
          <w:rFonts w:ascii="Times New Roman" w:hAnsi="Times New Roman"/>
          <w:b w:val="false"/>
          <w:i/>
          <w:color w:val="000000"/>
          <w:sz w:val="24"/>
        </w:rPr>
        <w:t>“a”</w:t>
      </w:r>
      <w:r>
        <w:rPr>
          <w:rFonts w:ascii="Times New Roman" w:hAnsi="Times New Roman"/>
          <w:b w:val="false"/>
          <w:i w:val="false"/>
          <w:color w:val="000000"/>
          <w:sz w:val="24"/>
        </w:rPr>
        <w:t xml:space="preserve"> to renew the license electronically, except that numbered paragraph </w:t>
      </w:r>
      <w:hyperlink r:id="rId79">
        <w:r>
          <w:rPr>
            <w:rStyle w:val="Hyperlink"/>
            <w:rFonts w:ascii="Times New Roman" w:hAnsi="Times New Roman"/>
            <w:b w:val="false"/>
            <w:i w:val="false"/>
            <w:color w:val="000000"/>
            <w:sz w:val="24"/>
          </w:rPr>
          <w:t>605.15(6)</w:t>
        </w:r>
      </w:hyperlink>
      <w:r>
        <w:rPr>
          <w:rFonts w:ascii="Times New Roman" w:hAnsi="Times New Roman"/>
          <w:b w:val="false"/>
          <w:i/>
          <w:color w:val="000000"/>
          <w:sz w:val="24"/>
        </w:rPr>
        <w:t>“a”</w:t>
      </w:r>
      <w:r>
        <w:rPr>
          <w:rFonts w:ascii="Times New Roman" w:hAnsi="Times New Roman"/>
          <w:b w:val="false"/>
          <w:i w:val="false"/>
          <w:color w:val="000000"/>
          <w:sz w:val="24"/>
        </w:rPr>
        <w:t>(9)“3” does not apply if the applicant is adding or removing the “K” restriction from the license at the time of renewal</w:t>
      </w:r>
      <w:r>
        <w:rPr>
          <w:rFonts w:ascii="Times New Roman" w:hAnsi="Times New Roman"/>
          <w:b w:val="false"/>
          <w:i w:val="false"/>
          <w:strik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numbered paragraph </w:t>
      </w:r>
      <w:hyperlink r:id="rId80">
        <w:r>
          <w:rPr>
            <w:rStyle w:val="Hyperlink"/>
            <w:rFonts w:ascii="Times New Roman" w:hAnsi="Times New Roman"/>
            <w:b w:val="false"/>
            <w:i w:val="false"/>
            <w:color w:val="000000"/>
            <w:sz w:val="24"/>
            <w:u w:val="single"/>
          </w:rPr>
          <w:t>605.15(6)</w:t>
        </w:r>
        <w:r>
          <w:rPr>
            <w:rFonts w:ascii="Times New Roman" w:hAnsi="Times New Roman"/>
            <w:b w:val="false"/>
            <w:i/>
            <w:color w:val="000000"/>
            <w:sz w:val="24"/>
            <w:u w:val="single"/>
          </w:rPr>
          <w:t>“a”</w:t>
        </w:r>
      </w:hyperlink>
      <w:r>
        <w:rPr>
          <w:rFonts w:ascii="Times New Roman" w:hAnsi="Times New Roman"/>
          <w:b w:val="false"/>
          <w:i w:val="false"/>
          <w:color w:val="000000"/>
          <w:sz w:val="24"/>
          <w:u w:val="single"/>
        </w:rPr>
        <w:t xml:space="preserve">(9)“2” does not apply if the applicant is removing either endorsement under paragraph </w:t>
      </w:r>
      <w:hyperlink r:id="rId81">
        <w:r>
          <w:rPr>
            <w:rStyle w:val="Hyperlink"/>
            <w:rFonts w:ascii="Times New Roman" w:hAnsi="Times New Roman"/>
            <w:b w:val="false"/>
            <w:i w:val="false"/>
            <w:color w:val="000000"/>
            <w:sz w:val="24"/>
            <w:u w:val="single"/>
          </w:rPr>
          <w:t>605.15(7)</w:t>
        </w:r>
        <w:r>
          <w:rPr>
            <w:rFonts w:ascii="Times New Roman" w:hAnsi="Times New Roman"/>
            <w:b w:val="false"/>
            <w:i/>
            <w:color w:val="000000"/>
            <w:sz w:val="24"/>
            <w:u w:val="single"/>
          </w:rPr>
          <w:t>“b.”</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is not subject to </w:t>
      </w:r>
      <w:r>
        <w:rPr>
          <w:rFonts w:ascii="Times New Roman" w:hAnsi="Times New Roman"/>
          <w:b w:val="false"/>
          <w:i w:val="false"/>
          <w:strike/>
          <w:color w:val="000000"/>
          <w:sz w:val="24"/>
        </w:rPr>
        <w:t>any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either</w:t>
      </w:r>
      <w:r>
        <w:rPr>
          <w:rFonts w:ascii="Times New Roman" w:hAnsi="Times New Roman"/>
          <w:b w:val="false"/>
          <w:i w:val="false"/>
          <w:color w:val="000000"/>
          <w:sz w:val="24"/>
        </w:rPr>
        <w:t xml:space="preserve"> of the following </w:t>
      </w:r>
      <w:r>
        <w:rPr>
          <w:rFonts w:ascii="Times New Roman" w:hAnsi="Times New Roman"/>
          <w:b w:val="false"/>
          <w:i w:val="false"/>
          <w:strike/>
          <w:color w:val="000000"/>
          <w:sz w:val="24"/>
        </w:rPr>
        <w:t>restrictions or</w:t>
      </w:r>
      <w:r>
        <w:rPr>
          <w:rFonts w:ascii="Times New Roman" w:hAnsi="Times New Roman"/>
          <w:b w:val="false"/>
          <w:i w:val="false"/>
          <w:color w:val="000000"/>
          <w:sz w:val="24"/>
        </w:rPr>
        <w:t xml:space="preserve"> endorsements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unless electing to remove either endorsement</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H—Hazardous material</w:t>
      </w:r>
    </w:p>
    <w:p>
      <w:pPr>
        <w:spacing w:before="0" w:after="0" w:line="480"/>
        <w:ind w:left="120"/>
        <w:jc w:val="both"/>
      </w:pPr>
      <w:r>
        <w:rPr>
          <w:rFonts w:ascii="Times New Roman" w:hAnsi="Times New Roman"/>
          <w:b w:val="false"/>
          <w:i w:val="false"/>
          <w:color w:val="000000"/>
          <w:sz w:val="24"/>
        </w:rPr>
        <w:t>X—Hazardous material and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does not also hold a valid commercial learner’s permit under Iowa Code section </w:t>
      </w:r>
      <w:hyperlink r:id="rId82">
        <w:r>
          <w:rPr>
            <w:rStyle w:val="Hyperlink"/>
            <w:rFonts w:ascii="Times New Roman" w:hAnsi="Times New Roman"/>
            <w:b w:val="false"/>
            <w:i w:val="false"/>
            <w:color w:val="000000"/>
            <w:sz w:val="24"/>
          </w:rPr>
          <w:t>321.180(2)</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as documented by restriction “3” on the commercial driver’s license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3">
        <w:r>
          <w:rPr>
            <w:rStyle w:val="Hyperlink"/>
            <w:rFonts w:ascii="Times New Roman" w:hAnsi="Times New Roman"/>
            <w:b w:val="false"/>
            <w:i w:val="false"/>
            <w:color w:val="000000"/>
            <w:sz w:val="24"/>
          </w:rPr>
          <w:t>307.12(1)</w:t>
        </w:r>
      </w:hyperlink>
      <w:r>
        <w:rPr>
          <w:rFonts w:ascii="Times New Roman" w:hAnsi="Times New Roman"/>
          <w:b w:val="false"/>
          <w:i/>
          <w:color w:val="000000"/>
          <w:sz w:val="24"/>
        </w:rPr>
        <w:t>“j,”</w:t>
      </w:r>
      <w:r>
        <w:rPr>
          <w:rFonts w:ascii="Times New Roman" w:hAnsi="Times New Roman"/>
          <w:b w:val="false"/>
          <w:i w:val="false"/>
          <w:color w:val="000000"/>
          <w:sz w:val="24"/>
        </w:rPr>
        <w:t> </w:t>
      </w:r>
      <w:hyperlink r:id="rId84">
        <w:r>
          <w:rPr>
            <w:rStyle w:val="Hyperlink"/>
            <w:rFonts w:ascii="Times New Roman" w:hAnsi="Times New Roman"/>
            <w:b w:val="false"/>
            <w:i w:val="false"/>
            <w:color w:val="000000"/>
            <w:sz w:val="24"/>
          </w:rPr>
          <w:t>321.186</w:t>
        </w:r>
      </w:hyperlink>
      <w:r>
        <w:rPr>
          <w:rFonts w:ascii="Times New Roman" w:hAnsi="Times New Roman"/>
          <w:b w:val="false"/>
          <w:i w:val="false"/>
          <w:color w:val="000000"/>
          <w:sz w:val="24"/>
        </w:rPr>
        <w:t xml:space="preserve">, </w:t>
      </w:r>
      <w:hyperlink r:id="rId85">
        <w:r>
          <w:rPr>
            <w:rStyle w:val="Hyperlink"/>
            <w:rFonts w:ascii="Times New Roman" w:hAnsi="Times New Roman"/>
            <w:b w:val="false"/>
            <w:i w:val="false"/>
            <w:color w:val="000000"/>
            <w:sz w:val="24"/>
          </w:rPr>
          <w:t>321.188</w:t>
        </w:r>
      </w:hyperlink>
      <w:r>
        <w:rPr>
          <w:rFonts w:ascii="Times New Roman" w:hAnsi="Times New Roman"/>
          <w:b w:val="false"/>
          <w:i w:val="false"/>
          <w:color w:val="000000"/>
          <w:sz w:val="24"/>
        </w:rPr>
        <w:t xml:space="preserve"> and </w:t>
      </w:r>
      <w:hyperlink r:id="rId86">
        <w:r>
          <w:rPr>
            <w:rStyle w:val="Hyperlink"/>
            <w:rFonts w:ascii="Times New Roman" w:hAnsi="Times New Roman"/>
            <w:b w:val="false"/>
            <w:i w:val="false"/>
            <w:color w:val="000000"/>
            <w:sz w:val="24"/>
          </w:rPr>
          <w:t>321.196</w:t>
        </w:r>
      </w:hyperlink>
      <w:r>
        <w:rPr>
          <w:rFonts w:ascii="Times New Roman" w:hAnsi="Times New Roman"/>
          <w:b w:val="false"/>
          <w:i w:val="false"/>
          <w:color w:val="000000"/>
          <w:sz w:val="24"/>
        </w:rPr>
        <w:t>;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amended by the REAL ID Modernization Act, H.R. 133, Division U, Title X;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bookmarkStart w:name="lastARC" w:id="2"/>
      <w:bookmarkEnd w:id="2"/>
    </w:p>
    <w:sectPr>
      <w:footerReference r:id="rId8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63379019520033?p=L3HIEHbtaE3CxhoiMT" Type="http://schemas.openxmlformats.org/officeDocument/2006/relationships/hyperlink" Id="rId5"/>
    <Relationship TargetMode="External" Target="https://teams.microsoft.com/meet/291724170413941?p=l529gwX4v0YzKMaoty"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48.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ac/rule/761.615.14.pdf" Type="http://schemas.openxmlformats.org/officeDocument/2006/relationships/hyperlink" Id="rId11"/>
    <Relationship TargetMode="External" Target="https://www.legis.iowa.gov/docs/iac/rule/761.615.4.pdf" Type="http://schemas.openxmlformats.org/officeDocument/2006/relationships/hyperlink" Id="rId12"/>
    <Relationship TargetMode="External" Target="https://www.legis.iowa.gov/docs/iac/rule/761.615.7.pdf" Type="http://schemas.openxmlformats.org/officeDocument/2006/relationships/hyperlink" Id="rId13"/>
    <Relationship TargetMode="External" Target="https://www.legis.iowa.gov/docs/ico/chapter/321.189.pdf" Type="http://schemas.openxmlformats.org/officeDocument/2006/relationships/hyperlink" Id="rId14"/>
    <Relationship TargetMode="External" Target="https://www.legis.iowa.gov/docs/iac/rule/761.601.5.pdf" Type="http://schemas.openxmlformats.org/officeDocument/2006/relationships/hyperlink" Id="rId15"/>
    <Relationship TargetMode="External" Target="https://www.legis.iowa.gov/docs/iac/rule/761.601.5.pdf" Type="http://schemas.openxmlformats.org/officeDocument/2006/relationships/hyperlink" Id="rId16"/>
    <Relationship TargetMode="External" Target="https://www.legis.iowa.gov/docs/iac/rule/761.601.4.pdf" Type="http://schemas.openxmlformats.org/officeDocument/2006/relationships/hyperlink" Id="rId17"/>
    <Relationship TargetMode="External" Target="https://www.legis.iowa.gov/docs/iac/rule/761.601.4.pdf" Type="http://schemas.openxmlformats.org/officeDocument/2006/relationships/hyperlink" Id="rId18"/>
    <Relationship TargetMode="External" Target="https://www.legis.iowa.gov/docs/iac/rule/761.601.1.pdf" Type="http://schemas.openxmlformats.org/officeDocument/2006/relationships/hyperlink" Id="rId19"/>
    <Relationship TargetMode="External" Target="https://www.legis.iowa.gov/docs/iac/rule/761.601.2.pdf" Type="http://schemas.openxmlformats.org/officeDocument/2006/relationships/hyperlink" Id="rId20"/>
    <Relationship TargetMode="External" Target="https://www.legis.iowa.gov/docs/iac/rule/761.601.1.pdf" Type="http://schemas.openxmlformats.org/officeDocument/2006/relationships/hyperlink" Id="rId21"/>
    <Relationship TargetMode="External" Target="https://www.legis.iowa.gov/docs/iac/rule/761.601.5.pdf" Type="http://schemas.openxmlformats.org/officeDocument/2006/relationships/hyperlink" Id="rId22"/>
    <Relationship TargetMode="External" Target="https://www.legis.iowa.gov/docs/iac/rule/761.601.2.pdf" Type="http://schemas.openxmlformats.org/officeDocument/2006/relationships/hyperlink" Id="rId23"/>
    <Relationship TargetMode="External" Target="https://www.legis.iowa.gov/docs/iac/rule/761.601.4.pdf" Type="http://schemas.openxmlformats.org/officeDocument/2006/relationships/hyperlink" Id="rId24"/>
    <Relationship TargetMode="External" Target="https://www.legis.iowa.gov/docs/iac/rule/761.601.1.pdf" Type="http://schemas.openxmlformats.org/officeDocument/2006/relationships/hyperlink" Id="rId25"/>
    <Relationship TargetMode="External" Target="https://www.legis.iowa.gov/docs/iac/rule/761.601.2.pdf" Type="http://schemas.openxmlformats.org/officeDocument/2006/relationships/hyperlink" Id="rId26"/>
    <Relationship TargetMode="External" Target="https://www.legis.iowa.gov/docs/iac/rule/761.601.5.pdf" Type="http://schemas.openxmlformats.org/officeDocument/2006/relationships/hyperlink" Id="rId27"/>
    <Relationship TargetMode="External" Target="https://www.legis.iowa.gov/docs/iac/rule/761.601.5.pdf" Type="http://schemas.openxmlformats.org/officeDocument/2006/relationships/hyperlink" Id="rId28"/>
    <Relationship TargetMode="External" Target="https://www.legis.iowa.gov/docs/iac/rule/761.601.4.pdf" Type="http://schemas.openxmlformats.org/officeDocument/2006/relationships/hyperlink" Id="rId29"/>
    <Relationship TargetMode="External" Target="https://www.legis.iowa.gov/docs/iac/rule/761.601.4.pdf" Type="http://schemas.openxmlformats.org/officeDocument/2006/relationships/hyperlink" Id="rId30"/>
    <Relationship TargetMode="External" Target="https://www.legis.iowa.gov/docs/iac/rule/761.601.5.pdf" Type="http://schemas.openxmlformats.org/officeDocument/2006/relationships/hyperlink" Id="rId31"/>
    <Relationship TargetMode="External" Target="https://www.legis.iowa.gov/docs/iac/rule/761.601.4.pdf" Type="http://schemas.openxmlformats.org/officeDocument/2006/relationships/hyperlink" Id="rId32"/>
    <Relationship TargetMode="External" Target="https://www.legis.iowa.gov/docs/iac/rule/761.601.7.pdf" Type="http://schemas.openxmlformats.org/officeDocument/2006/relationships/hyperlink" Id="rId33"/>
    <Relationship TargetMode="External" Target="https://www.legis.iowa.gov/docs/iac/rule/761.601.6.pdf" Type="http://schemas.openxmlformats.org/officeDocument/2006/relationships/hyperlink" Id="rId34"/>
    <Relationship TargetMode="External" Target="https://www.legis.iowa.gov/docs/iac/rule/761.601.7.pdf" Type="http://schemas.openxmlformats.org/officeDocument/2006/relationships/hyperlink" Id="rId35"/>
    <Relationship TargetMode="External" Target="https://www.legis.iowa.gov/docs/iac/rule/761.601.6.pdf" Type="http://schemas.openxmlformats.org/officeDocument/2006/relationships/hyperlink" Id="rId36"/>
    <Relationship TargetMode="External" Target="https://www.legis.iowa.gov/docs/ico/chapter/4.1A.pdf" Type="http://schemas.openxmlformats.org/officeDocument/2006/relationships/hyperlink" Id="rId37"/>
    <Relationship TargetMode="External" Target="https://www.legis.iowa.gov/docs/ico/chapter/142C.3.pdf" Type="http://schemas.openxmlformats.org/officeDocument/2006/relationships/hyperlink" Id="rId38"/>
    <Relationship TargetMode="External" Target="https://www.legis.iowa.gov/docs/ico/chapter/321.189.pdf" Type="http://schemas.openxmlformats.org/officeDocument/2006/relationships/hyperlink" Id="rId39"/>
    <Relationship TargetMode="External" Target="https://www.legis.iowa.gov/docs/ico/chapter/321.189.pdf" Type="http://schemas.openxmlformats.org/officeDocument/2006/relationships/hyperlink" Id="rId40"/>
    <Relationship TargetMode="External" Target="https://www.legis.iowa.gov/docs/ico/chapter/321A.pdf" Type="http://schemas.openxmlformats.org/officeDocument/2006/relationships/hyperlink" Id="rId41"/>
    <Relationship TargetMode="External" Target="https://www.legis.iowa.gov/docs/ico/chapter/321.177.pdf" Type="http://schemas.openxmlformats.org/officeDocument/2006/relationships/hyperlink" Id="rId42"/>
    <Relationship TargetMode="External" Target="https://www.legis.iowa.gov/docs/ico/chapter/321.178.pdf" Type="http://schemas.openxmlformats.org/officeDocument/2006/relationships/hyperlink" Id="rId43"/>
    <Relationship TargetMode="External" Target="https://www.legis.iowa.gov/docs/ico/chapter/321.180.pdf" Type="http://schemas.openxmlformats.org/officeDocument/2006/relationships/hyperlink" Id="rId44"/>
    <Relationship TargetMode="External" Target="https://www.legis.iowa.gov/docs/ico/chapter/321.180B.pdf" Type="http://schemas.openxmlformats.org/officeDocument/2006/relationships/hyperlink" Id="rId45"/>
    <Relationship TargetMode="External" Target="https://www.legis.iowa.gov/docs/ico/chapter/321.186.pdf" Type="http://schemas.openxmlformats.org/officeDocument/2006/relationships/hyperlink" Id="rId46"/>
    <Relationship TargetMode="External" Target="https://www.legis.iowa.gov/docs/ico/chapter/321.188.pdf" Type="http://schemas.openxmlformats.org/officeDocument/2006/relationships/hyperlink" Id="rId47"/>
    <Relationship TargetMode="External" Target="https://www.legis.iowa.gov/docs/ico/chapter/321.189.pdf" Type="http://schemas.openxmlformats.org/officeDocument/2006/relationships/hyperlink" Id="rId48"/>
    <Relationship TargetMode="External" Target="https://www.legis.iowa.gov/docs/ico/chapter/321.193.pdf" Type="http://schemas.openxmlformats.org/officeDocument/2006/relationships/hyperlink" Id="rId49"/>
    <Relationship TargetMode="External" Target="https://www.legis.iowa.gov/docs/ico/chapter/321.194.pdf" Type="http://schemas.openxmlformats.org/officeDocument/2006/relationships/hyperlink" Id="rId50"/>
    <Relationship TargetMode="External" Target="https://www.legis.iowa.gov/docs/ico/chapter/321.215.pdf" Type="http://schemas.openxmlformats.org/officeDocument/2006/relationships/hyperlink" Id="rId51"/>
    <Relationship TargetMode="External" Target="https://www.legis.iowa.gov/docs/ico/chapter/321J.4.pdf" Type="http://schemas.openxmlformats.org/officeDocument/2006/relationships/hyperlink" Id="rId52"/>
    <Relationship TargetMode="External" Target="https://www.legis.iowa.gov/docs/ico/chapter/321J.20.pdf" Type="http://schemas.openxmlformats.org/officeDocument/2006/relationships/hyperlink" Id="rId53"/>
    <Relationship TargetMode="External" Target="https://www.legis.iowa.gov/docs/ico/chapter/321.196.pdf" Type="http://schemas.openxmlformats.org/officeDocument/2006/relationships/hyperlink" Id="rId54"/>
    <Relationship TargetMode="External" Target="https://www.legis.iowa.gov/docs/iac/rule/761.601.5.pdf" Type="http://schemas.openxmlformats.org/officeDocument/2006/relationships/hyperlink" Id="rId55"/>
    <Relationship TargetMode="External" Target="https://www.legis.iowa.gov/docs/iac/rule/761.605.15.pdf" Type="http://schemas.openxmlformats.org/officeDocument/2006/relationships/hyperlink" Id="rId56"/>
    <Relationship TargetMode="External" Target="https://www.legis.iowa.gov/docs/iac/rule/761.605.15.pdf" Type="http://schemas.openxmlformats.org/officeDocument/2006/relationships/hyperlink" Id="rId57"/>
    <Relationship TargetMode="External" Target="https://www.legis.iowa.gov/docs/iac/rule/761.605.15.pdf" Type="http://schemas.openxmlformats.org/officeDocument/2006/relationships/hyperlink" Id="rId58"/>
    <Relationship TargetMode="External" Target="https://www.legis.iowa.gov/docs/ico/chapter/321.189.pdf" Type="http://schemas.openxmlformats.org/officeDocument/2006/relationships/hyperlink" Id="rId59"/>
    <Relationship TargetMode="External" Target="https://www.legis.iowa.gov/docs/iac/rule/761.605.10.pdf" Type="http://schemas.openxmlformats.org/officeDocument/2006/relationships/hyperlink" Id="rId60"/>
    <Relationship TargetMode="External" Target="https://www.legis.iowa.gov/docs/ico/chapter/307.12.pdf" Type="http://schemas.openxmlformats.org/officeDocument/2006/relationships/hyperlink" Id="rId61"/>
    <Relationship TargetMode="External" Target="https://www.legis.iowa.gov/docs/ico/chapter/321.13.pdf" Type="http://schemas.openxmlformats.org/officeDocument/2006/relationships/hyperlink" Id="rId62"/>
    <Relationship TargetMode="External" Target="https://www.legis.iowa.gov/docs/ico/chapter/321.189.pdf" Type="http://schemas.openxmlformats.org/officeDocument/2006/relationships/hyperlink" Id="rId63"/>
    <Relationship TargetMode="External" Target="https://www.legis.iowa.gov/docs/ico/chapter/321.195.pdf" Type="http://schemas.openxmlformats.org/officeDocument/2006/relationships/hyperlink" Id="rId64"/>
    <Relationship TargetMode="External" Target="https://www.legis.iowa.gov/docs/ico/chapter/321.208.pdf" Type="http://schemas.openxmlformats.org/officeDocument/2006/relationships/hyperlink" Id="rId65"/>
    <Relationship TargetMode="External" Target="https://www.legis.iowa.gov/docs/iac/rule/761.601.7.pdf" Type="http://schemas.openxmlformats.org/officeDocument/2006/relationships/hyperlink" Id="rId66"/>
    <Relationship TargetMode="External" Target="https://www.legis.iowa.gov/docs/iac/rule/761.601.6.pdf" Type="http://schemas.openxmlformats.org/officeDocument/2006/relationships/hyperlink" Id="rId67"/>
    <Relationship TargetMode="External" Target="https://www.legis.iowa.gov/docs/iac/rule/761.601.5.pdf" Type="http://schemas.openxmlformats.org/officeDocument/2006/relationships/hyperlink" Id="rId68"/>
    <Relationship TargetMode="External" Target="https://www.legis.iowa.gov/docs/iac/rule/761.601.4.pdf" Type="http://schemas.openxmlformats.org/officeDocument/2006/relationships/hyperlink" Id="rId69"/>
    <Relationship TargetMode="External" Target="https://www.legis.iowa.gov/docs/iac/rule/761.601.5.pdf" Type="http://schemas.openxmlformats.org/officeDocument/2006/relationships/hyperlink" Id="rId70"/>
    <Relationship TargetMode="External" Target="https://www.legis.iowa.gov/docs/iac/rule/761.601.4.pdf" Type="http://schemas.openxmlformats.org/officeDocument/2006/relationships/hyperlink" Id="rId71"/>
    <Relationship TargetMode="External" Target="https://www.legis.iowa.gov/docs/iac/rule/761.601.5.pdf" Type="http://schemas.openxmlformats.org/officeDocument/2006/relationships/hyperlink" Id="rId72"/>
    <Relationship TargetMode="External" Target="https://www.legis.iowa.gov/docs/iac/rule/761.601.4.pdf" Type="http://schemas.openxmlformats.org/officeDocument/2006/relationships/hyperlink" Id="rId73"/>
    <Relationship TargetMode="External" Target="https://www.legis.iowa.gov/docs/iac/rule/761.601.5.pdf" Type="http://schemas.openxmlformats.org/officeDocument/2006/relationships/hyperlink" Id="rId74"/>
    <Relationship TargetMode="External" Target="https://www.legis.iowa.gov/docs/iac/rule/761.601.4.pdf" Type="http://schemas.openxmlformats.org/officeDocument/2006/relationships/hyperlink" Id="rId75"/>
    <Relationship TargetMode="External" Target="https://www.legis.iowa.gov/docs/iac/rule/761.605.15.pdf" Type="http://schemas.openxmlformats.org/officeDocument/2006/relationships/hyperlink" Id="rId76"/>
    <Relationship TargetMode="External" Target="https://www.legis.iowa.gov/docs/iac/rule/761.605.15.pdf" Type="http://schemas.openxmlformats.org/officeDocument/2006/relationships/hyperlink" Id="rId77"/>
    <Relationship TargetMode="External" Target="https://www.legis.iowa.gov/docs/iac/rule/761.605.15.pdf" Type="http://schemas.openxmlformats.org/officeDocument/2006/relationships/hyperlink" Id="rId78"/>
    <Relationship TargetMode="External" Target="https://www.legis.iowa.gov/docs/iac/rule/761.605.15.pdf" Type="http://schemas.openxmlformats.org/officeDocument/2006/relationships/hyperlink" Id="rId79"/>
    <Relationship TargetMode="External" Target="https://www.legis.iowa.gov/docs/iac/rule/761.605.15.pdf" Type="http://schemas.openxmlformats.org/officeDocument/2006/relationships/hyperlink" Id="rId80"/>
    <Relationship TargetMode="External" Target="https://www.legis.iowa.gov/docs/iac/rule/761.605.15.pdf" Type="http://schemas.openxmlformats.org/officeDocument/2006/relationships/hyperlink" Id="rId81"/>
    <Relationship TargetMode="External" Target="https://www.legis.iowa.gov/docs/ico/chapter/321.180.pdf" Type="http://schemas.openxmlformats.org/officeDocument/2006/relationships/hyperlink" Id="rId82"/>
    <Relationship TargetMode="External" Target="https://www.legis.iowa.gov/docs/ico/chapter/307.12.pdf" Type="http://schemas.openxmlformats.org/officeDocument/2006/relationships/hyperlink" Id="rId83"/>
    <Relationship TargetMode="External" Target="https://www.legis.iowa.gov/docs/ico/chapter/321.186.pdf" Type="http://schemas.openxmlformats.org/officeDocument/2006/relationships/hyperlink" Id="rId84"/>
    <Relationship TargetMode="External" Target="https://www.legis.iowa.gov/docs/ico/chapter/321.188.pdf" Type="http://schemas.openxmlformats.org/officeDocument/2006/relationships/hyperlink" Id="rId85"/>
    <Relationship TargetMode="External" Target="https://www.legis.iowa.gov/docs/ico/chapter/321.196.pdf" Type="http://schemas.openxmlformats.org/officeDocument/2006/relationships/hyperlink" Id="rId86"/>
    <Relationship Target="footer.xml" Type="http://schemas.openxmlformats.org/officeDocument/2006/relationships/footer" Id="rId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