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17D" w:id="1"/>
    <w:p>
      <w:pPr>
        <w:spacing w:before="0" w:after="0" w:line="480"/>
        <w:ind w:left="120"/>
        <w:jc w:val="right"/>
      </w:pPr>
      <w:r>
        <w:rPr>
          <w:rFonts w:ascii="Times New Roman" w:hAnsi="Times New Roman"/>
          <w:b/>
          <w:i w:val="false"/>
          <w:color w:val="000000"/>
          <w:sz w:val="28"/>
        </w:rPr>
        <w:t>ARC 0517D</w:t>
      </w:r>
    </w:p>
    <w:bookmarkEnd w:id="1"/>
    <w:p>
      <w:pPr>
        <w:pBdr>
          <w:top w:space="5"/>
        </w:pBdr>
        <w:spacing w:before="0" w:after="0" w:line="480"/>
        <w:ind w:left="120"/>
        <w:jc w:val="center"/>
      </w:pPr>
      <w:r>
        <w:rPr>
          <w:rFonts w:ascii="Times New Roman" w:hAnsi="Times New Roman"/>
          <w:b/>
          <w:i w:val="false"/>
          <w:color w:val="000000"/>
          <w:sz w:val="28"/>
        </w:rPr>
        <w:t>TRANSPORTATION DEPARTMENT[761]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nonoperator’s identification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Transportation hereby proposes to amend Chapter 630, “Nonoperator’s Identification,”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321.190 and 321.195.</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321.190 and 321.195 and 2026 Iowa Acts, Senate File 2088.</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amendments is to align the rules with 2026 Iowa Acts, Senate File 2088, sections 15 and 16, which authorize the Department to provide electronic nonoperator’s identification card renewal and replacement services through the Department’s new information technology (IT) system. The amendments also make corresponding technical and citation changes throughout the chapter.</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10,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7, 2026</w:t>
      </w:r>
    </w:p>
    <w:p>
      <w:pPr>
        <w:spacing w:before="0" w:after="0" w:line="480"/>
        <w:ind w:left="120"/>
        <w:jc w:val="both"/>
      </w:pPr>
      <w:r>
        <w:rPr>
          <w:rFonts w:ascii="Times New Roman" w:hAnsi="Times New Roman"/>
          <w:b w:val="false"/>
          <w:i w:val="false"/>
          <w:color w:val="000000"/>
          <w:sz w:val="24"/>
        </w:rPr>
        <w:t>    The Department received no comments.</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September 22,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Ryan Pell </w:t>
            </w:r>
            <w:r>
              <w:br/>
            </w:r>
            <w:r>
              <w:rPr>
                <w:rFonts w:ascii="Times New Roman" w:hAnsi="Times New Roman"/>
                <w:b w:val="false"/>
                <w:i w:val="false"/>
                <w:color w:val="000000"/>
                <w:sz w:val="14"/>
              </w:rPr>
              <w:t xml:space="preserve">Department of Transportation </w:t>
            </w:r>
            <w:r>
              <w:br/>
            </w:r>
            <w:r>
              <w:rPr>
                <w:rFonts w:ascii="Times New Roman" w:hAnsi="Times New Roman"/>
                <w:b w:val="false"/>
                <w:i w:val="false"/>
                <w:color w:val="000000"/>
                <w:sz w:val="14"/>
              </w:rPr>
              <w:t>DOT Rules Administrator, Office of the Director</w:t>
            </w:r>
            <w:r>
              <w:br/>
            </w:r>
            <w:r>
              <w:rPr>
                <w:rFonts w:ascii="Times New Roman" w:hAnsi="Times New Roman"/>
                <w:b w:val="false"/>
                <w:i w:val="false"/>
                <w:color w:val="000000"/>
                <w:sz w:val="14"/>
              </w:rPr>
              <w:t>800 Lincoln Way</w:t>
            </w:r>
            <w:r>
              <w:br/>
            </w:r>
            <w:r>
              <w:rPr>
                <w:rFonts w:ascii="Times New Roman" w:hAnsi="Times New Roman"/>
                <w:b w:val="false"/>
                <w:i w:val="false"/>
                <w:color w:val="000000"/>
                <w:sz w:val="14"/>
              </w:rPr>
              <w:t xml:space="preserve">Ames, Iowa 50010 </w:t>
            </w:r>
            <w:r>
              <w:br/>
            </w:r>
            <w:r>
              <w:rPr>
                <w:rFonts w:ascii="Times New Roman" w:hAnsi="Times New Roman"/>
                <w:b w:val="false"/>
                <w:i w:val="false"/>
                <w:color w:val="000000"/>
                <w:sz w:val="14"/>
              </w:rPr>
              <w:t xml:space="preserve">Phone: 515.239.1358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ryan.pell@iowadot.us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22, 2026</w:t>
            </w:r>
            <w:r>
              <w:br/>
            </w:r>
            <w:r>
              <w:rPr>
                <w:rFonts w:ascii="Times New Roman" w:hAnsi="Times New Roman"/>
                <w:b w:val="false"/>
                <w:i w:val="false"/>
                <w:color w:val="000000"/>
                <w:sz w:val="14"/>
              </w:rPr>
              <w:t xml:space="preserve">8:30 to 9 a.m. </w:t>
            </w:r>
          </w:p>
        </w:tc>
        <w:tc>
          <w:tcPr>
            <w:tcW w:w="4476" w:type="dxa"/>
            <w:tcBorders/>
            <w:tcMar>
              <w:top w:w="30" w:type="dxa"/>
              <w:left w:w="30" w:type="dxa"/>
              <w:bottom w:w="15" w:type="dxa"/>
              <w:right w:w="30" w:type="dxa"/>
            </w:tcMar>
            <w:vAlign w:val="top"/>
          </w:tcPr>
          <w:p>
            <w:pPr>
              <w:spacing w:before="0" w:after="0" w:line="264"/>
              <w:ind w:left="0"/>
              <w:jc w:val="left"/>
            </w:pPr>
            <w:hyperlink r:id="rId5">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298 454 742#</w:t>
            </w:r>
            <w:r>
              <w:br/>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22, 2026</w:t>
            </w:r>
            <w:r>
              <w:br/>
            </w:r>
            <w:r>
              <w:rPr>
                <w:rFonts w:ascii="Times New Roman" w:hAnsi="Times New Roman"/>
                <w:b w:val="false"/>
                <w:i w:val="false"/>
                <w:color w:val="000000"/>
                <w:sz w:val="14"/>
              </w:rPr>
              <w:t xml:space="preserve">3 to 3:30 p.m. </w:t>
            </w:r>
          </w:p>
        </w:tc>
        <w:tc>
          <w:tcPr>
            <w:tcW w:w="4476" w:type="dxa"/>
            <w:tcBorders/>
            <w:tcMar>
              <w:top w:w="30" w:type="dxa"/>
              <w:left w:w="30" w:type="dxa"/>
              <w:bottom w:w="15" w:type="dxa"/>
              <w:right w:w="30" w:type="dxa"/>
            </w:tcMar>
            <w:vAlign w:val="top"/>
          </w:tcPr>
          <w:p>
            <w:pPr>
              <w:spacing w:before="0" w:after="0" w:line="264"/>
              <w:ind w:left="0"/>
              <w:jc w:val="left"/>
            </w:pPr>
            <w:hyperlink r:id="rId6">
              <w:r>
                <w:rPr>
                  <w:rStyle w:val="Hyperlink"/>
                  <w:rFonts w:ascii="Times New Roman" w:hAnsi="Times New Roman"/>
                  <w:b w:val="false"/>
                  <w:i w:val="false"/>
                  <w:color w:val="0000ff"/>
                  <w:sz w:val="14"/>
                </w:rPr>
                <w:t>Microsoft Teams</w:t>
              </w:r>
            </w:hyperlink>
            <w:r>
              <w:br/>
            </w:r>
            <w:r>
              <w:rPr>
                <w:rFonts w:ascii="Times New Roman" w:hAnsi="Times New Roman"/>
                <w:b w:val="false"/>
                <w:i w:val="false"/>
                <w:color w:val="000000"/>
                <w:sz w:val="14"/>
              </w:rPr>
              <w:t>Or dial: 515.817.6093</w:t>
            </w:r>
            <w:r>
              <w:br/>
            </w:r>
            <w:r>
              <w:rPr>
                <w:rFonts w:ascii="Times New Roman" w:hAnsi="Times New Roman"/>
                <w:b w:val="false"/>
                <w:i w:val="false"/>
                <w:color w:val="000000"/>
                <w:sz w:val="14"/>
              </w:rPr>
              <w:t>Conference ID: 648 743 567#</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i w:val="false"/>
          <w:color w:val="000000"/>
          <w:sz w:val="24"/>
        </w:rPr>
        <w:t>630.1(2)</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“Temporarily present in this state,”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“Temporarily present in this state”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person who has temporary lawful status as defined in 6 CFR Section 37.3 effective January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761—630.2(321)</w:t>
      </w:r>
      <w:r>
        <w:rPr>
          <w:rFonts w:ascii="Times New Roman" w:hAnsi="Times New Roman"/>
          <w:b w:val="false"/>
          <w:i w:val="false"/>
          <w:color w:val="000000"/>
          <w:sz w:val="24"/>
        </w:rPr>
        <w:t>, catchwords</w:t>
      </w:r>
      <w:r>
        <w:rPr>
          <w:rFonts w:ascii="Times New Roman" w:hAnsi="Times New Roman"/>
          <w:b w:val="false"/>
          <w:i w:val="false"/>
          <w:color w:val="000000"/>
          <w:sz w:val="24"/>
        </w:rPr>
        <w:t>, as follows:</w:t>
      </w:r>
    </w:p>
    <w:p>
      <w:pPr>
        <w:spacing w:before="210" w:after="0" w:line="480"/>
        <w:ind w:left="120"/>
        <w:jc w:val="both"/>
      </w:pPr>
      <w:r>
        <w:rPr>
          <w:rFonts w:ascii="Times New Roman" w:hAnsi="Times New Roman"/>
          <w:b/>
          <w:i w:val="false"/>
          <w:color w:val="000000"/>
          <w:sz w:val="24"/>
        </w:rPr>
        <w:t>761—630.2</w:t>
      </w:r>
      <w:r>
        <w:rPr>
          <w:rFonts w:ascii="Times New Roman" w:hAnsi="Times New Roman"/>
          <w:b/>
          <w:i w:val="false"/>
          <w:color w:val="000000"/>
          <w:sz w:val="24"/>
        </w:rPr>
        <w:t xml:space="preserve">(321) </w:t>
      </w:r>
      <w:r>
        <w:rPr>
          <w:rFonts w:ascii="Times New Roman" w:hAnsi="Times New Roman"/>
          <w:b/>
          <w:i w:val="false"/>
          <w:color w:val="000000"/>
          <w:sz w:val="24"/>
        </w:rPr>
        <w:t>Application</w:t>
      </w:r>
      <w:r>
        <w:rPr>
          <w:rFonts w:ascii="Times New Roman" w:hAnsi="Times New Roman"/>
          <w:b/>
          <w:i w:val="false"/>
          <w:color w:val="000000"/>
          <w:sz w:val="24"/>
          <w:u w:val="single"/>
        </w:rPr>
        <w:t>,</w:t>
      </w:r>
      <w:r>
        <w:rPr>
          <w:rFonts w:ascii="Times New Roman" w:hAnsi="Times New Roman"/>
          <w:b/>
          <w:i w:val="false"/>
          <w:color w:val="000000"/>
          <w:sz w:val="24"/>
        </w:rPr>
        <w:t xml:space="preserve"> </w:t>
      </w:r>
      <w:r>
        <w:rPr>
          <w:rFonts w:ascii="Times New Roman" w:hAnsi="Times New Roman"/>
          <w:b/>
          <w:i w:val="false"/>
          <w:strike/>
          <w:color w:val="000000"/>
          <w:sz w:val="24"/>
        </w:rPr>
        <w:t>and</w:t>
      </w:r>
      <w:r>
        <w:rPr>
          <w:rFonts w:ascii="Times New Roman" w:hAnsi="Times New Roman"/>
          <w:b/>
          <w:i w:val="false"/>
          <w:color w:val="000000"/>
          <w:sz w:val="24"/>
        </w:rPr>
        <w:t xml:space="preserve"> issuance</w:t>
      </w:r>
      <w:r>
        <w:rPr>
          <w:rFonts w:ascii="Times New Roman" w:hAnsi="Times New Roman"/>
          <w:b/>
          <w:i w:val="false"/>
          <w:color w:val="000000"/>
          <w:sz w:val="24"/>
          <w:u w:val="single"/>
        </w:rPr>
        <w:t> </w:t>
      </w:r>
      <w:r>
        <w:rPr>
          <w:rFonts w:ascii="Times New Roman" w:hAnsi="Times New Roman"/>
          <w:b/>
          <w:i w:val="false"/>
          <w:color w:val="000000"/>
          <w:sz w:val="24"/>
          <w:u w:val="single"/>
        </w:rPr>
        <w:t>and renewal</w:t>
      </w:r>
      <w:r>
        <w:rPr>
          <w:rFonts w:ascii="Times New Roman" w:hAnsi="Times New Roman"/>
          <w:b/>
          <w:i w:val="false"/>
          <w:color w:val="000000"/>
          <w:sz w:val="24"/>
        </w:rPr>
        <w:t xml:space="preserve">. </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630.2(1)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630.2(1)</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for a nonoperator’s identification card </w:t>
      </w:r>
      <w:r>
        <w:rPr>
          <w:rFonts w:ascii="Times New Roman" w:hAnsi="Times New Roman"/>
          <w:b w:val="false"/>
          <w:i w:val="false"/>
          <w:strike/>
          <w:color w:val="000000"/>
          <w:sz w:val="24"/>
        </w:rPr>
        <w:t>is to complete and sign an application form at a driver’s license service center. The signature shall be without qualification and contain only the applicant’s usual signature without any other titles, characters or symbols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or a current cardholder may provide the department with emergency contact information in accordance with rule </w:t>
      </w:r>
      <w:hyperlink r:id="rId8">
        <w:r>
          <w:rPr>
            <w:rStyle w:val="Hyperlink"/>
            <w:rFonts w:ascii="Times New Roman" w:hAnsi="Times New Roman"/>
            <w:b w:val="false"/>
            <w:i w:val="false"/>
            <w:color w:val="000000"/>
            <w:sz w:val="24"/>
            <w:u w:val="single"/>
          </w:rPr>
          <w:t>761—601.3</w:t>
        </w:r>
      </w:hyperlink>
      <w:r>
        <w:rPr>
          <w:rFonts w:ascii="Times New Roman" w:hAnsi="Times New Roman"/>
          <w:b w:val="false"/>
          <w:i w:val="false"/>
          <w:color w:val="000000"/>
          <w:sz w:val="24"/>
          <w:u w:val="single"/>
        </w:rPr>
        <w:t xml:space="preserve">(321) and is otherwise subject to the application, proof, authentication and consent requirements in </w:t>
      </w:r>
      <w:hyperlink r:id="rId9">
        <w:r>
          <w:rPr>
            <w:rStyle w:val="Hyperlink"/>
            <w:rFonts w:ascii="Times New Roman" w:hAnsi="Times New Roman"/>
            <w:b w:val="false"/>
            <w:i w:val="false"/>
            <w:color w:val="000000"/>
            <w:sz w:val="24"/>
            <w:u w:val="single"/>
          </w:rPr>
          <w:t>761—Chapter 601</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subrule </w:t>
      </w:r>
      <w:r>
        <w:rPr>
          <w:rFonts w:ascii="Times New Roman" w:hAnsi="Times New Roman"/>
          <w:b/>
          <w:i w:val="false"/>
          <w:color w:val="000000"/>
          <w:sz w:val="24"/>
        </w:rPr>
        <w:t>630.2(2)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630.2(5)</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630.2(5)</w:t>
      </w:r>
      <w:r>
        <w:rPr>
          <w:rFonts w:ascii="Times New Roman" w:hAnsi="Times New Roman"/>
          <w:b w:val="false"/>
          <w:i w:val="false"/>
          <w:color w:val="000000"/>
          <w:sz w:val="24"/>
        </w:rPr>
        <w:t> </w:t>
      </w:r>
      <w:r>
        <w:rPr>
          <w:rFonts w:ascii="Times New Roman" w:hAnsi="Times New Roman"/>
          <w:b w:val="false"/>
          <w:i w:val="false"/>
          <w:color w:val="000000"/>
          <w:sz w:val="24"/>
        </w:rPr>
        <w:t xml:space="preserve">No issuance fee is to be charged for a person whose license has been suspended for incapability pursuant to rule </w:t>
      </w:r>
      <w:hyperlink r:id="rId10">
        <w:r>
          <w:rPr>
            <w:rStyle w:val="Hyperlink"/>
            <w:rFonts w:ascii="Times New Roman" w:hAnsi="Times New Roman"/>
            <w:b w:val="false"/>
            <w:i w:val="false"/>
            <w:strike/>
            <w:color w:val="000000"/>
            <w:sz w:val="24"/>
          </w:rPr>
          <w:t>761—615.14</w:t>
        </w:r>
      </w:hyperlink>
      <w:r>
        <w:rPr>
          <w:rFonts w:ascii="Times New Roman" w:hAnsi="Times New Roman"/>
          <w:b w:val="false"/>
          <w:i w:val="false"/>
          <w:strike/>
          <w:color w:val="000000"/>
          <w:sz w:val="24"/>
        </w:rPr>
        <w:t>(321)</w:t>
      </w:r>
      <w:r>
        <w:rPr>
          <w:rFonts w:ascii="Times New Roman" w:hAnsi="Times New Roman"/>
          <w:b w:val="false"/>
          <w:i w:val="false"/>
          <w:color w:val="000000"/>
          <w:sz w:val="24"/>
          <w:u w:val="single"/>
        </w:rPr>
        <w:t> </w:t>
      </w:r>
      <w:hyperlink r:id="rId11">
        <w:r>
          <w:rPr>
            <w:rStyle w:val="Hyperlink"/>
            <w:rFonts w:ascii="Times New Roman" w:hAnsi="Times New Roman"/>
            <w:b w:val="false"/>
            <w:i w:val="false"/>
            <w:color w:val="000000"/>
            <w:sz w:val="24"/>
            <w:u w:val="single"/>
          </w:rPr>
          <w:t>761—615.7</w:t>
        </w:r>
      </w:hyperlink>
      <w:r>
        <w:rPr>
          <w:rFonts w:ascii="Times New Roman" w:hAnsi="Times New Roman"/>
          <w:b w:val="false"/>
          <w:i w:val="false"/>
          <w:color w:val="000000"/>
          <w:sz w:val="24"/>
          <w:u w:val="single"/>
        </w:rPr>
        <w:t>(321)</w:t>
      </w:r>
      <w:r>
        <w:rPr>
          <w:rFonts w:ascii="Times New Roman" w:hAnsi="Times New Roman"/>
          <w:b w:val="false"/>
          <w:i w:val="false"/>
          <w:color w:val="000000"/>
          <w:sz w:val="24"/>
        </w:rPr>
        <w:t xml:space="preserve">, who has been denied further licensing in lieu of a suspension for incapability pursuant to rule </w:t>
      </w:r>
      <w:hyperlink r:id="rId12">
        <w:r>
          <w:rPr>
            <w:rStyle w:val="Hyperlink"/>
            <w:rFonts w:ascii="Times New Roman" w:hAnsi="Times New Roman"/>
            <w:b w:val="false"/>
            <w:i w:val="false"/>
            <w:strike/>
            <w:color w:val="000000"/>
            <w:sz w:val="24"/>
          </w:rPr>
          <w:t>761—615.4</w:t>
        </w:r>
      </w:hyperlink>
      <w:r>
        <w:rPr>
          <w:rFonts w:ascii="Times New Roman" w:hAnsi="Times New Roman"/>
          <w:b w:val="false"/>
          <w:i w:val="false"/>
          <w:strike/>
          <w:color w:val="000000"/>
          <w:sz w:val="24"/>
        </w:rPr>
        <w:t>(321)</w:t>
      </w:r>
      <w:r>
        <w:rPr>
          <w:rFonts w:ascii="Times New Roman" w:hAnsi="Times New Roman"/>
          <w:b w:val="false"/>
          <w:i w:val="false"/>
          <w:color w:val="000000"/>
          <w:sz w:val="24"/>
          <w:u w:val="single"/>
        </w:rPr>
        <w:t> </w:t>
      </w:r>
      <w:hyperlink r:id="rId13">
        <w:r>
          <w:rPr>
            <w:rStyle w:val="Hyperlink"/>
            <w:rFonts w:ascii="Times New Roman" w:hAnsi="Times New Roman"/>
            <w:b w:val="false"/>
            <w:i w:val="false"/>
            <w:color w:val="000000"/>
            <w:sz w:val="24"/>
            <w:u w:val="single"/>
          </w:rPr>
          <w:t>761—615.7</w:t>
        </w:r>
      </w:hyperlink>
      <w:r>
        <w:rPr>
          <w:rFonts w:ascii="Times New Roman" w:hAnsi="Times New Roman"/>
          <w:b w:val="false"/>
          <w:i w:val="false"/>
          <w:color w:val="000000"/>
          <w:sz w:val="24"/>
          <w:u w:val="single"/>
        </w:rPr>
        <w:t>(321)</w:t>
      </w:r>
      <w:r>
        <w:rPr>
          <w:rFonts w:ascii="Times New Roman" w:hAnsi="Times New Roman"/>
          <w:b w:val="false"/>
          <w:i w:val="false"/>
          <w:color w:val="000000"/>
          <w:sz w:val="24"/>
        </w:rPr>
        <w:t xml:space="preserve">, or who voluntarily surrenders the person’s license in lieu of suspension for incapability pursuant to rule </w:t>
      </w:r>
      <w:hyperlink r:id="rId14">
        <w:r>
          <w:rPr>
            <w:rStyle w:val="Hyperlink"/>
            <w:rFonts w:ascii="Times New Roman" w:hAnsi="Times New Roman"/>
            <w:b w:val="false"/>
            <w:i w:val="false"/>
            <w:strike/>
            <w:color w:val="000000"/>
            <w:sz w:val="24"/>
          </w:rPr>
          <w:t>761—615.14</w:t>
        </w:r>
      </w:hyperlink>
      <w:r>
        <w:rPr>
          <w:rFonts w:ascii="Times New Roman" w:hAnsi="Times New Roman"/>
          <w:b w:val="false"/>
          <w:i w:val="false"/>
          <w:strike/>
          <w:color w:val="000000"/>
          <w:sz w:val="24"/>
        </w:rPr>
        <w:t>(321)</w:t>
      </w:r>
      <w:r>
        <w:rPr>
          <w:rFonts w:ascii="Times New Roman" w:hAnsi="Times New Roman"/>
          <w:b w:val="false"/>
          <w:i w:val="false"/>
          <w:color w:val="000000"/>
          <w:sz w:val="24"/>
          <w:u w:val="single"/>
        </w:rPr>
        <w:t> </w:t>
      </w:r>
      <w:hyperlink r:id="rId15">
        <w:r>
          <w:rPr>
            <w:rStyle w:val="Hyperlink"/>
            <w:rFonts w:ascii="Times New Roman" w:hAnsi="Times New Roman"/>
            <w:b w:val="false"/>
            <w:i w:val="false"/>
            <w:color w:val="000000"/>
            <w:sz w:val="24"/>
            <w:u w:val="single"/>
          </w:rPr>
          <w:t>761—615.7</w:t>
        </w:r>
      </w:hyperlink>
      <w:r>
        <w:rPr>
          <w:rFonts w:ascii="Times New Roman" w:hAnsi="Times New Roman"/>
          <w:b w:val="false"/>
          <w:i w:val="false"/>
          <w:color w:val="000000"/>
          <w:sz w:val="24"/>
          <w:u w:val="single"/>
        </w:rPr>
        <w:t>(321)</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630.2(6)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630.2(6)</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who is a foreign national who is temporarily present in this state must provide documentation of lawful status as required by </w:t>
      </w:r>
      <w:hyperlink r:id="rId16">
        <w:r>
          <w:rPr>
            <w:rStyle w:val="Hyperlink"/>
            <w:rFonts w:ascii="Times New Roman" w:hAnsi="Times New Roman"/>
            <w:b w:val="false"/>
            <w:i w:val="false"/>
            <w:strike/>
            <w:color w:val="000000"/>
            <w:sz w:val="24"/>
          </w:rPr>
          <w:t>761—subrule 601.5(4)</w:t>
        </w:r>
      </w:hyperlink>
      <w:r>
        <w:rPr>
          <w:rFonts w:ascii="Times New Roman" w:hAnsi="Times New Roman"/>
          <w:b w:val="false"/>
          <w:i w:val="false"/>
          <w:color w:val="000000"/>
          <w:sz w:val="24"/>
          <w:u w:val="single"/>
        </w:rPr>
        <w:t> </w:t>
      </w:r>
      <w:hyperlink r:id="rId17">
        <w:r>
          <w:rPr>
            <w:rStyle w:val="Hyperlink"/>
            <w:rFonts w:ascii="Times New Roman" w:hAnsi="Times New Roman"/>
            <w:b w:val="false"/>
            <w:i w:val="false"/>
            <w:color w:val="000000"/>
            <w:sz w:val="24"/>
            <w:u w:val="single"/>
          </w:rPr>
          <w:t>761—subrule 601.4(4)</w:t>
        </w:r>
      </w:hyperlink>
      <w:r>
        <w:rPr>
          <w:rFonts w:ascii="Times New Roman" w:hAnsi="Times New Roman"/>
          <w:b w:val="false"/>
          <w:i w:val="false"/>
          <w:color w:val="000000"/>
          <w:sz w:val="24"/>
        </w:rPr>
        <w:t xml:space="preserve"> at each renewal.</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630.2(7)</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630.2(7)</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who seeks a nonoperator’s identification card that is compliant with the REAL ID Act of 2005, </w:t>
      </w:r>
      <w:r>
        <w:rPr>
          <w:rFonts w:ascii="Times New Roman" w:hAnsi="Times New Roman"/>
          <w:b w:val="false"/>
          <w:i w:val="false"/>
          <w:color w:val="000000"/>
          <w:sz w:val="24"/>
        </w:rPr>
        <w:t>49 U.S.C.</w:t>
      </w:r>
      <w:r>
        <w:rPr>
          <w:rFonts w:ascii="Times New Roman" w:hAnsi="Times New Roman"/>
          <w:b w:val="false"/>
          <w:i w:val="false"/>
          <w:color w:val="000000"/>
          <w:sz w:val="24"/>
        </w:rPr>
        <w:t xml:space="preserve"> Section 30301 note, as implemented in </w:t>
      </w:r>
      <w:r>
        <w:rPr>
          <w:rFonts w:ascii="Times New Roman" w:hAnsi="Times New Roman"/>
          <w:b w:val="false"/>
          <w:i w:val="false"/>
          <w:color w:val="000000"/>
          <w:sz w:val="24"/>
        </w:rPr>
        <w:t>6 CFR Part 37</w:t>
      </w:r>
      <w:r>
        <w:rPr>
          <w:rFonts w:ascii="Times New Roman" w:hAnsi="Times New Roman"/>
          <w:b w:val="false"/>
          <w:i w:val="false"/>
          <w:color w:val="000000"/>
          <w:sz w:val="24"/>
        </w:rPr>
        <w:t xml:space="preserve"> (“REAL ID nonoperator’s identification card”) effective January 1, </w:t>
      </w:r>
      <w:r>
        <w:rPr>
          <w:rFonts w:ascii="Times New Roman" w:hAnsi="Times New Roman"/>
          <w:b w:val="false"/>
          <w:i w:val="false"/>
          <w:strike/>
          <w:color w:val="000000"/>
          <w:sz w:val="24"/>
        </w:rPr>
        <w:t>2024</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xml:space="preserve">, must meet and comply with all lawful requirements for an Iowa nonoperator’s identification card and must also meet and comply with all application and documentation requirements set forth at </w:t>
      </w:r>
      <w:r>
        <w:rPr>
          <w:rFonts w:ascii="Times New Roman" w:hAnsi="Times New Roman"/>
          <w:b w:val="false"/>
          <w:i w:val="false"/>
          <w:color w:val="000000"/>
          <w:sz w:val="24"/>
        </w:rPr>
        <w:t>6 CFR Part 37</w:t>
      </w:r>
      <w:r>
        <w:rPr>
          <w:rFonts w:ascii="Times New Roman" w:hAnsi="Times New Roman"/>
          <w:b w:val="false"/>
          <w:i w:val="false"/>
          <w:color w:val="000000"/>
          <w:sz w:val="24"/>
        </w:rPr>
        <w:t xml:space="preserve">, including but not limited to documentation of identity, date of birth, social security number, address of principal residence and evidence of lawful status in the United States. Documents and information provided will be verified pursuant to 6 CFR Section 37.13. An applicant for a REAL ID nonoperator’s identification card is subject to a mandatory facial image capture that meets the requirements of 6 CFR Section 37.11(a). A REAL ID nonoperator’s identification card may not be issued, reissued or renewed except as permitted in </w:t>
      </w:r>
      <w:r>
        <w:rPr>
          <w:rFonts w:ascii="Times New Roman" w:hAnsi="Times New Roman"/>
          <w:b w:val="false"/>
          <w:i w:val="false"/>
          <w:color w:val="000000"/>
          <w:sz w:val="24"/>
        </w:rPr>
        <w:t>6 CFR Part 37</w:t>
      </w:r>
      <w:r>
        <w:rPr>
          <w:rFonts w:ascii="Times New Roman" w:hAnsi="Times New Roman"/>
          <w:b w:val="false"/>
          <w:i w:val="false"/>
          <w:color w:val="000000"/>
          <w:sz w:val="24"/>
        </w:rPr>
        <w:t xml:space="preserve"> and may not be issued, reissued or renewed by any procedure, in any circumstance, to any person or for any term prohibited under </w:t>
      </w:r>
      <w:r>
        <w:rPr>
          <w:rFonts w:ascii="Times New Roman" w:hAnsi="Times New Roman"/>
          <w:b w:val="false"/>
          <w:i w:val="false"/>
          <w:color w:val="000000"/>
          <w:sz w:val="24"/>
        </w:rPr>
        <w:t>6 CFR Part 37</w:t>
      </w:r>
      <w:r>
        <w:rPr>
          <w:rFonts w:ascii="Times New Roman" w:hAnsi="Times New Roman"/>
          <w:b w:val="false"/>
          <w:i w:val="false"/>
          <w:color w:val="000000"/>
          <w:sz w:val="24"/>
        </w:rPr>
        <w:t>. The information on the front of any REAL ID nonoperator’s identification card must include all information and markings required by 6 CFR Section 37.17. Nothing in this subrule requires a person to obtain a REAL ID nonoperator’s identification card.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630.2(9)</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630.2(9)</w:t>
      </w:r>
      <w:r>
        <w:rPr>
          <w:rFonts w:ascii="Times New Roman" w:hAnsi="Times New Roman"/>
          <w:b w:val="false"/>
          <w:i w:val="false"/>
          <w:color w:val="000000"/>
          <w:sz w:val="24"/>
        </w:rPr>
        <w:t> </w:t>
      </w:r>
      <w:r>
        <w:rPr>
          <w:rFonts w:ascii="Times New Roman" w:hAnsi="Times New Roman"/>
          <w:b w:val="false"/>
          <w:i w:val="false"/>
          <w:color w:val="000000"/>
          <w:sz w:val="24"/>
        </w:rPr>
        <w:t xml:space="preserve">A nonoperator’s identification card that is not issued as a REAL ID nonoperator’s identification card as described in subrule </w:t>
      </w:r>
      <w:hyperlink r:id="rId18">
        <w:r>
          <w:rPr>
            <w:rStyle w:val="Hyperlink"/>
            <w:rFonts w:ascii="Times New Roman" w:hAnsi="Times New Roman"/>
            <w:b w:val="false"/>
            <w:i w:val="false"/>
            <w:strike/>
            <w:color w:val="000000"/>
            <w:sz w:val="24"/>
          </w:rPr>
          <w:t>630.2(7)</w:t>
        </w:r>
      </w:hyperlink>
      <w:r>
        <w:rPr>
          <w:rFonts w:ascii="Times New Roman" w:hAnsi="Times New Roman"/>
          <w:b w:val="false"/>
          <w:i w:val="false"/>
          <w:color w:val="000000"/>
          <w:sz w:val="24"/>
          <w:u w:val="single"/>
        </w:rPr>
        <w:t> </w:t>
      </w:r>
      <w:hyperlink r:id="rId19">
        <w:r>
          <w:rPr>
            <w:rStyle w:val="Hyperlink"/>
            <w:rFonts w:ascii="Times New Roman" w:hAnsi="Times New Roman"/>
            <w:b w:val="false"/>
            <w:i w:val="false"/>
            <w:color w:val="000000"/>
            <w:sz w:val="24"/>
            <w:u w:val="single"/>
          </w:rPr>
          <w:t>630.2(6)</w:t>
        </w:r>
      </w:hyperlink>
      <w:r>
        <w:rPr>
          <w:rFonts w:ascii="Times New Roman" w:hAnsi="Times New Roman"/>
          <w:b w:val="false"/>
          <w:i w:val="false"/>
          <w:color w:val="000000"/>
          <w:sz w:val="24"/>
        </w:rPr>
        <w:t xml:space="preserve"> is to include the following statement on the face of the card: “not for REAL ID Act purposes” as required by 6 CFR Section 37.71 and any subsequent guidance issued by the U.S. Department of Homeland Security.</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9.</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630.2(11)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630.2(11)</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for a nonoperator’s identification card is to surrender all other driver’s licenses and nonoperator’s identification cards, other than a temporary permit held under Iowa Code section </w:t>
      </w:r>
      <w:hyperlink r:id="rId20">
        <w:r>
          <w:rPr>
            <w:rStyle w:val="Hyperlink"/>
            <w:rFonts w:ascii="Times New Roman" w:hAnsi="Times New Roman"/>
            <w:b w:val="false"/>
            <w:i w:val="false"/>
            <w:color w:val="000000"/>
            <w:sz w:val="24"/>
          </w:rPr>
          <w:t>321.181</w:t>
        </w:r>
      </w:hyperlink>
      <w:r>
        <w:rPr>
          <w:rFonts w:ascii="Times New Roman" w:hAnsi="Times New Roman"/>
          <w:b w:val="false"/>
          <w:i w:val="false"/>
          <w:color w:val="000000"/>
          <w:sz w:val="24"/>
        </w:rPr>
        <w:t xml:space="preserve">. This includes any driver’s licenses or nonoperator’s identification cards issued by a state other than Iowa or a foreign jurisdiction unless otherwise provided in a letter of understanding or other written memorialization of reciprocity or understanding. An applicant who renews a nonoperator’s identification card electronically pursuant to subrule </w:t>
      </w:r>
      <w:hyperlink r:id="rId21">
        <w:r>
          <w:rPr>
            <w:rStyle w:val="Hyperlink"/>
            <w:rFonts w:ascii="Times New Roman" w:hAnsi="Times New Roman"/>
            <w:b w:val="false"/>
            <w:i w:val="false"/>
            <w:strike/>
            <w:color w:val="000000"/>
            <w:sz w:val="24"/>
          </w:rPr>
          <w:t>630.2(10)</w:t>
        </w:r>
      </w:hyperlink>
      <w:r>
        <w:rPr>
          <w:rFonts w:ascii="Times New Roman" w:hAnsi="Times New Roman"/>
          <w:b w:val="false"/>
          <w:i w:val="false"/>
          <w:color w:val="000000"/>
          <w:sz w:val="24"/>
          <w:u w:val="single"/>
        </w:rPr>
        <w:t> </w:t>
      </w:r>
      <w:hyperlink r:id="rId22">
        <w:r>
          <w:rPr>
            <w:rStyle w:val="Hyperlink"/>
            <w:rFonts w:ascii="Times New Roman" w:hAnsi="Times New Roman"/>
            <w:b w:val="false"/>
            <w:i w:val="false"/>
            <w:color w:val="000000"/>
            <w:sz w:val="24"/>
            <w:u w:val="single"/>
          </w:rPr>
          <w:t>630.2(9)</w:t>
        </w:r>
      </w:hyperlink>
      <w:r>
        <w:rPr>
          <w:rFonts w:ascii="Times New Roman" w:hAnsi="Times New Roman"/>
          <w:b w:val="false"/>
          <w:i w:val="false"/>
          <w:color w:val="000000"/>
          <w:sz w:val="24"/>
        </w:rPr>
        <w:t xml:space="preserve"> is to destroy the previous nonoperator’s identification card upon receipt of a renewed nonoperator’s identification card.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10.</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subrules </w:t>
      </w:r>
      <w:r>
        <w:rPr>
          <w:rFonts w:ascii="Times New Roman" w:hAnsi="Times New Roman"/>
          <w:b/>
          <w:i w:val="false"/>
          <w:color w:val="000000"/>
          <w:sz w:val="24"/>
        </w:rPr>
        <w:t>630.2(3)</w:t>
      </w:r>
      <w:r>
        <w:rPr>
          <w:rFonts w:ascii="Times New Roman" w:hAnsi="Times New Roman"/>
          <w:b w:val="false"/>
          <w:i w:val="false"/>
          <w:color w:val="000000"/>
          <w:sz w:val="24"/>
        </w:rPr>
        <w:t xml:space="preserve"> to </w:t>
      </w:r>
      <w:r>
        <w:rPr>
          <w:rFonts w:ascii="Times New Roman" w:hAnsi="Times New Roman"/>
          <w:b/>
          <w:i w:val="false"/>
          <w:color w:val="000000"/>
          <w:sz w:val="24"/>
        </w:rPr>
        <w:t>630.2(11)</w:t>
      </w:r>
      <w:r>
        <w:rPr>
          <w:rFonts w:ascii="Times New Roman" w:hAnsi="Times New Roman"/>
          <w:b w:val="false"/>
          <w:i w:val="false"/>
          <w:color w:val="000000"/>
          <w:sz w:val="24"/>
        </w:rPr>
        <w:t xml:space="preserve"> as </w:t>
      </w:r>
      <w:r>
        <w:rPr>
          <w:rFonts w:ascii="Times New Roman" w:hAnsi="Times New Roman"/>
          <w:b/>
          <w:i w:val="false"/>
          <w:color w:val="000000"/>
          <w:sz w:val="24"/>
        </w:rPr>
        <w:t>630.2(2)</w:t>
      </w:r>
      <w:r>
        <w:rPr>
          <w:rFonts w:ascii="Times New Roman" w:hAnsi="Times New Roman"/>
          <w:b w:val="false"/>
          <w:i w:val="false"/>
          <w:color w:val="000000"/>
          <w:sz w:val="24"/>
        </w:rPr>
        <w:t xml:space="preserve"> to </w:t>
      </w:r>
      <w:r>
        <w:rPr>
          <w:rFonts w:ascii="Times New Roman" w:hAnsi="Times New Roman"/>
          <w:b/>
          <w:i w:val="false"/>
          <w:color w:val="000000"/>
          <w:sz w:val="24"/>
        </w:rPr>
        <w:t>630.2(10)</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630.3(1)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630.3(1)</w:t>
      </w:r>
      <w:r>
        <w:rPr>
          <w:rFonts w:ascii="Times New Roman" w:hAnsi="Times New Roman"/>
          <w:b w:val="false"/>
          <w:i w:val="false"/>
          <w:color w:val="000000"/>
          <w:sz w:val="24"/>
        </w:rPr>
        <w:t> </w:t>
      </w:r>
      <w:r>
        <w:rPr>
          <w:rFonts w:ascii="Times New Roman" w:hAnsi="Times New Roman"/>
          <w:b w:val="false"/>
          <w:i/>
          <w:color w:val="000000"/>
          <w:sz w:val="24"/>
        </w:rPr>
        <w:t xml:space="preserve">Lost, stolen or destroyed card. </w:t>
      </w:r>
      <w:r>
        <w:rPr>
          <w:rFonts w:ascii="Times New Roman" w:hAnsi="Times New Roman"/>
          <w:b w:val="false"/>
          <w:i w:val="false"/>
          <w:color w:val="000000"/>
          <w:sz w:val="24"/>
        </w:rPr>
        <w:t xml:space="preserve">To replace a nonoperator’s identification card that is lost, stolen or destroyed, the cardholder shall provide the cardholder’s full legal name, date of birth and social security number, all of which must be verified by the department, and pay the statutory replacement fee. A cardholder subject to </w:t>
      </w:r>
      <w:hyperlink r:id="rId23">
        <w:r>
          <w:rPr>
            <w:rStyle w:val="Hyperlink"/>
            <w:rFonts w:ascii="Times New Roman" w:hAnsi="Times New Roman"/>
            <w:b w:val="false"/>
            <w:i w:val="false"/>
            <w:strike/>
            <w:color w:val="000000"/>
            <w:sz w:val="24"/>
          </w:rPr>
          <w:t>761—paragraph 601.5(2)</w:t>
        </w:r>
      </w:hyperlink>
      <w:r>
        <w:rPr>
          <w:rFonts w:ascii="Times New Roman" w:hAnsi="Times New Roman"/>
          <w:b w:val="false"/>
          <w:i/>
          <w:strike/>
          <w:color w:val="000000"/>
          <w:sz w:val="24"/>
        </w:rPr>
        <w:t>“b”</w:t>
      </w:r>
      <w:r>
        <w:rPr>
          <w:rFonts w:ascii="Times New Roman" w:hAnsi="Times New Roman"/>
          <w:b w:val="false"/>
          <w:i w:val="false"/>
          <w:color w:val="000000"/>
          <w:sz w:val="24"/>
          <w:u w:val="single"/>
        </w:rPr>
        <w:t> </w:t>
      </w:r>
      <w:hyperlink r:id="rId24">
        <w:r>
          <w:rPr>
            <w:rStyle w:val="Hyperlink"/>
            <w:rFonts w:ascii="Times New Roman" w:hAnsi="Times New Roman"/>
            <w:b w:val="false"/>
            <w:i w:val="false"/>
            <w:color w:val="000000"/>
            <w:sz w:val="24"/>
            <w:u w:val="single"/>
          </w:rPr>
          <w:t>761—paragraph 601.4(2)</w:t>
        </w:r>
      </w:hyperlink>
      <w:r>
        <w:rPr>
          <w:rFonts w:ascii="Times New Roman" w:hAnsi="Times New Roman"/>
          <w:b w:val="false"/>
          <w:i/>
          <w:color w:val="000000"/>
          <w:sz w:val="24"/>
          <w:u w:val="single"/>
        </w:rPr>
        <w:t>“b”</w:t>
      </w:r>
      <w:r>
        <w:rPr>
          <w:rFonts w:ascii="Times New Roman" w:hAnsi="Times New Roman"/>
          <w:b w:val="false"/>
          <w:i w:val="false"/>
          <w:color w:val="000000"/>
          <w:sz w:val="24"/>
        </w:rPr>
        <w:t xml:space="preserve"> is to provide the applicant’s U.S. Customs and Immigration Services number, which will be verified by the department. The department may investigate or require additional information as may be reasonably necessary to determine that the cardholder’s identity matches the identity of record and will not issue the replacement card if the cardholder’s identity is questionable, cannot be determined or otherwise does not match the identity of record. If the cardholder’s current residential address, name or date of birth has changed since the previous card was issued, the cardholder is to comply with </w:t>
      </w:r>
      <w:hyperlink r:id="rId25">
        <w:r>
          <w:rPr>
            <w:rStyle w:val="Hyperlink"/>
            <w:rFonts w:ascii="Times New Roman" w:hAnsi="Times New Roman"/>
            <w:b w:val="false"/>
            <w:i w:val="false"/>
            <w:strike/>
            <w:color w:val="000000"/>
            <w:sz w:val="24"/>
          </w:rPr>
          <w:t>761—subrule 605.11(2)</w:t>
        </w:r>
      </w:hyperlink>
      <w:r>
        <w:rPr>
          <w:rFonts w:ascii="Times New Roman" w:hAnsi="Times New Roman"/>
          <w:b w:val="false"/>
          <w:i w:val="false"/>
          <w:color w:val="000000"/>
          <w:sz w:val="24"/>
          <w:u w:val="single"/>
        </w:rPr>
        <w:t> </w:t>
      </w:r>
      <w:hyperlink r:id="rId26">
        <w:r>
          <w:rPr>
            <w:rStyle w:val="Hyperlink"/>
            <w:rFonts w:ascii="Times New Roman" w:hAnsi="Times New Roman"/>
            <w:b w:val="false"/>
            <w:i w:val="false"/>
            <w:color w:val="000000"/>
            <w:sz w:val="24"/>
            <w:u w:val="single"/>
          </w:rPr>
          <w:t>761—subrule 605.10(2)</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630.3(2)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630.3(2)</w:t>
      </w:r>
      <w:r>
        <w:rPr>
          <w:rFonts w:ascii="Times New Roman" w:hAnsi="Times New Roman"/>
          <w:b w:val="false"/>
          <w:i w:val="false"/>
          <w:color w:val="000000"/>
          <w:sz w:val="24"/>
        </w:rPr>
        <w:t> </w:t>
      </w:r>
      <w:r>
        <w:rPr>
          <w:rFonts w:ascii="Times New Roman" w:hAnsi="Times New Roman"/>
          <w:b w:val="false"/>
          <w:i/>
          <w:color w:val="000000"/>
          <w:sz w:val="24"/>
        </w:rPr>
        <w:t xml:space="preserve">Voluntary replacement. </w:t>
      </w:r>
      <w:r>
        <w:rPr>
          <w:rFonts w:ascii="Times New Roman" w:hAnsi="Times New Roman"/>
          <w:b w:val="false"/>
          <w:i w:val="false"/>
          <w:color w:val="000000"/>
          <w:sz w:val="24"/>
        </w:rPr>
        <w:t>To voluntarily replace a nonoperator’s identification card, the cardholder is to surrender to the department the card to be replaced. The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applicable</w:t>
      </w:r>
      <w:r>
        <w:rPr>
          <w:rFonts w:ascii="Times New Roman" w:hAnsi="Times New Roman"/>
          <w:b w:val="false"/>
          <w:i w:val="false"/>
          <w:color w:val="000000"/>
          <w:sz w:val="24"/>
        </w:rPr>
        <w:t xml:space="preserve"> reasons a card may be voluntarily replaced and any additional</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conditions on</w:t>
      </w:r>
      <w:r>
        <w:rPr>
          <w:rFonts w:ascii="Times New Roman" w:hAnsi="Times New Roman"/>
          <w:b w:val="false"/>
          <w:i w:val="false"/>
          <w:color w:val="000000"/>
          <w:sz w:val="24"/>
        </w:rPr>
        <w:t xml:space="preserve"> supporting documentation required are the same as those listed in </w:t>
      </w:r>
      <w:r>
        <w:rPr>
          <w:rFonts w:ascii="Times New Roman" w:hAnsi="Times New Roman"/>
          <w:b w:val="false"/>
          <w:i w:val="false"/>
          <w:strike/>
          <w:color w:val="000000"/>
          <w:sz w:val="24"/>
        </w:rPr>
        <w:t xml:space="preserve">761—paragraphs </w:t>
      </w:r>
      <w:hyperlink r:id="rId27">
        <w:r>
          <w:rPr>
            <w:rStyle w:val="Hyperlink"/>
            <w:rFonts w:ascii="Times New Roman" w:hAnsi="Times New Roman"/>
            <w:b w:val="false"/>
            <w:i w:val="false"/>
            <w:strike/>
            <w:color w:val="000000"/>
            <w:sz w:val="24"/>
          </w:rPr>
          <w:t>605.11(2)</w:t>
        </w:r>
      </w:hyperlink>
      <w:r>
        <w:rPr>
          <w:rFonts w:ascii="Times New Roman" w:hAnsi="Times New Roman"/>
          <w:b w:val="false"/>
          <w:i/>
          <w:strike/>
          <w:color w:val="000000"/>
          <w:sz w:val="24"/>
        </w:rPr>
        <w:t>“a”</w:t>
      </w:r>
      <w:r>
        <w:rPr>
          <w:rFonts w:ascii="Times New Roman" w:hAnsi="Times New Roman"/>
          <w:b w:val="false"/>
          <w:i w:val="false"/>
          <w:strike/>
          <w:color w:val="000000"/>
          <w:sz w:val="24"/>
        </w:rPr>
        <w:t xml:space="preserve"> through </w:t>
      </w:r>
      <w:r>
        <w:rPr>
          <w:rFonts w:ascii="Times New Roman" w:hAnsi="Times New Roman"/>
          <w:b w:val="false"/>
          <w:i/>
          <w:strike/>
          <w:color w:val="000000"/>
          <w:sz w:val="24"/>
        </w:rPr>
        <w:t>“j.”</w:t>
      </w:r>
      <w:r>
        <w:rPr>
          <w:rFonts w:ascii="Times New Roman" w:hAnsi="Times New Roman"/>
          <w:b w:val="false"/>
          <w:i w:val="false"/>
          <w:color w:val="000000"/>
          <w:sz w:val="24"/>
          <w:u w:val="single"/>
        </w:rPr>
        <w:t> </w:t>
      </w:r>
      <w:hyperlink r:id="rId28">
        <w:r>
          <w:rPr>
            <w:rStyle w:val="Hyperlink"/>
            <w:rFonts w:ascii="Times New Roman" w:hAnsi="Times New Roman"/>
            <w:b w:val="false"/>
            <w:i w:val="false"/>
            <w:color w:val="000000"/>
            <w:sz w:val="24"/>
            <w:u w:val="single"/>
          </w:rPr>
          <w:t>761—subrule 605.10(2)</w:t>
        </w:r>
      </w:hyperlink>
      <w:r>
        <w:rPr>
          <w:rFonts w:ascii="Times New Roman" w:hAnsi="Times New Roman"/>
          <w:b w:val="false"/>
          <w:i w:val="false"/>
          <w:color w:val="000000"/>
          <w:sz w:val="24"/>
          <w:u w:val="single"/>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subrule </w:t>
      </w:r>
      <w:r>
        <w:rPr>
          <w:rFonts w:ascii="Times New Roman" w:hAnsi="Times New Roman"/>
          <w:b w:val="false"/>
          <w:i w:val="false"/>
          <w:color w:val="000000"/>
          <w:sz w:val="24"/>
        </w:rPr>
        <w:t>630.3(3)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in lieu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630.3(3)</w:t>
      </w:r>
      <w:r>
        <w:rPr>
          <w:rFonts w:ascii="Times New Roman" w:hAnsi="Times New Roman"/>
          <w:b w:val="false"/>
          <w:i w:val="false"/>
          <w:color w:val="000000"/>
          <w:sz w:val="24"/>
        </w:rPr>
        <w:t> </w:t>
      </w:r>
      <w:r>
        <w:rPr>
          <w:rFonts w:ascii="Times New Roman" w:hAnsi="Times New Roman"/>
          <w:b w:val="false"/>
          <w:i/>
          <w:color w:val="000000"/>
          <w:sz w:val="24"/>
        </w:rPr>
        <w:t xml:space="preserve">Electronic replacement. </w:t>
      </w:r>
      <w:r>
        <w:rPr>
          <w:rFonts w:ascii="Times New Roman" w:hAnsi="Times New Roman"/>
          <w:b w:val="false"/>
          <w:i w:val="false"/>
          <w:color w:val="000000"/>
          <w:sz w:val="24"/>
        </w:rPr>
        <w:t xml:space="preserve">An applicant who meets the applicable eligibility criteria set forth in </w:t>
      </w:r>
      <w:hyperlink r:id="rId29">
        <w:r>
          <w:rPr>
            <w:rStyle w:val="Hyperlink"/>
            <w:rFonts w:ascii="Times New Roman" w:hAnsi="Times New Roman"/>
            <w:b w:val="false"/>
            <w:i w:val="false"/>
            <w:color w:val="000000"/>
            <w:sz w:val="24"/>
          </w:rPr>
          <w:t>761—subrule 605.10(3)</w:t>
        </w:r>
      </w:hyperlink>
      <w:r>
        <w:rPr>
          <w:rFonts w:ascii="Times New Roman" w:hAnsi="Times New Roman"/>
          <w:b w:val="false"/>
          <w:i w:val="false"/>
          <w:color w:val="000000"/>
          <w:sz w:val="24"/>
        </w:rPr>
        <w:t xml:space="preserve"> may apply for electronic replacement of a nonoperator’s identification card. The applicable reasons a card may be replaced by electronic application and any additional conditions or supporting documentation required are the same as those listed in </w:t>
      </w:r>
      <w:hyperlink r:id="rId30">
        <w:r>
          <w:rPr>
            <w:rStyle w:val="Hyperlink"/>
            <w:rFonts w:ascii="Times New Roman" w:hAnsi="Times New Roman"/>
            <w:b w:val="false"/>
            <w:i w:val="false"/>
            <w:color w:val="000000"/>
            <w:sz w:val="24"/>
          </w:rPr>
          <w:t>761—subrule 605.10(3)</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w:t>
      </w:r>
      <w:r>
        <w:rPr>
          <w:rFonts w:ascii="Times New Roman" w:hAnsi="Times New Roman"/>
          <w:b/>
          <w:i w:val="false"/>
          <w:color w:val="000000"/>
          <w:sz w:val="24"/>
        </w:rPr>
        <w:t>761—Chapter 630</w:t>
      </w:r>
      <w:r>
        <w:rPr>
          <w:rFonts w:ascii="Times New Roman" w:hAnsi="Times New Roman"/>
          <w:b w:val="false"/>
          <w:i w:val="false"/>
          <w:color w:val="000000"/>
          <w:sz w:val="24"/>
        </w:rPr>
        <w:t>, implementation sentence</w:t>
      </w:r>
      <w:r>
        <w:rPr>
          <w:rFonts w:ascii="Times New Roman" w:hAnsi="Times New Roman"/>
          <w:b w:val="false"/>
          <w:i w:val="false"/>
          <w:color w:val="000000"/>
          <w:sz w:val="24"/>
        </w:rPr>
        <w:t>, as follows:</w:t>
      </w:r>
    </w:p>
    <w:p>
      <w:pPr>
        <w:spacing w:before="0" w:after="0" w:line="480"/>
        <w:ind w:left="120"/>
        <w:jc w:val="left"/>
      </w:pPr>
      <w:r>
        <w:rPr>
          <w:rFonts w:ascii="Times New Roman" w:hAnsi="Times New Roman"/>
          <w:b w:val="false"/>
          <w:i w:val="false"/>
          <w:color w:val="000000"/>
          <w:sz w:val="24"/>
        </w:rPr>
        <w:t xml:space="preserve">These rules are intended to implement Iowa Code sections </w:t>
      </w:r>
      <w:hyperlink r:id="rId31">
        <w:r>
          <w:rPr>
            <w:rStyle w:val="Hyperlink"/>
            <w:rFonts w:ascii="Times New Roman" w:hAnsi="Times New Roman"/>
            <w:b w:val="false"/>
            <w:i w:val="false"/>
            <w:color w:val="000000"/>
            <w:sz w:val="24"/>
          </w:rPr>
          <w:t>321.13</w:t>
        </w:r>
      </w:hyperlink>
      <w:r>
        <w:rPr>
          <w:rFonts w:ascii="Times New Roman" w:hAnsi="Times New Roman"/>
          <w:b w:val="false"/>
          <w:i w:val="false"/>
          <w:color w:val="000000"/>
          <w:sz w:val="24"/>
        </w:rPr>
        <w:t xml:space="preserve">, </w:t>
      </w:r>
      <w:hyperlink r:id="rId32">
        <w:r>
          <w:rPr>
            <w:rStyle w:val="Hyperlink"/>
            <w:rFonts w:ascii="Times New Roman" w:hAnsi="Times New Roman"/>
            <w:b w:val="false"/>
            <w:i w:val="false"/>
            <w:color w:val="000000"/>
            <w:sz w:val="24"/>
          </w:rPr>
          <w:t>321.181</w:t>
        </w:r>
      </w:hyperlink>
      <w:r>
        <w:rPr>
          <w:rFonts w:ascii="Times New Roman" w:hAnsi="Times New Roman"/>
          <w:b w:val="false"/>
          <w:i w:val="false"/>
          <w:color w:val="000000"/>
          <w:sz w:val="24"/>
        </w:rPr>
        <w:t xml:space="preserve">, </w:t>
      </w:r>
      <w:hyperlink r:id="rId33">
        <w:r>
          <w:rPr>
            <w:rStyle w:val="Hyperlink"/>
            <w:rFonts w:ascii="Times New Roman" w:hAnsi="Times New Roman"/>
            <w:b w:val="false"/>
            <w:i w:val="false"/>
            <w:color w:val="000000"/>
            <w:sz w:val="24"/>
          </w:rPr>
          <w:t>321.189</w:t>
        </w:r>
      </w:hyperlink>
      <w:r>
        <w:rPr>
          <w:rFonts w:ascii="Times New Roman" w:hAnsi="Times New Roman"/>
          <w:b w:val="false"/>
          <w:i w:val="false"/>
          <w:color w:val="000000"/>
          <w:sz w:val="24"/>
        </w:rPr>
        <w:t xml:space="preserve">, </w:t>
      </w:r>
      <w:hyperlink r:id="rId34">
        <w:r>
          <w:rPr>
            <w:rStyle w:val="Hyperlink"/>
            <w:rFonts w:ascii="Times New Roman" w:hAnsi="Times New Roman"/>
            <w:b w:val="false"/>
            <w:i w:val="false"/>
            <w:color w:val="000000"/>
            <w:sz w:val="24"/>
          </w:rPr>
          <w:t>321.190</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as amended by </w:t>
      </w:r>
      <w:r>
        <w:rPr>
          <w:rFonts w:ascii="Times New Roman" w:hAnsi="Times New Roman"/>
          <w:b w:val="false"/>
          <w:i w:val="false"/>
          <w:color w:val="000000"/>
          <w:sz w:val="24"/>
          <w:u w:val="single"/>
        </w:rPr>
        <w:t>2026 Iowa Acts, Senate File 2088</w:t>
      </w:r>
      <w:r>
        <w:rPr>
          <w:rFonts w:ascii="Times New Roman" w:hAnsi="Times New Roman"/>
          <w:b w:val="false"/>
          <w:i w:val="false"/>
          <w:color w:val="000000"/>
          <w:sz w:val="24"/>
          <w:u w:val="single"/>
        </w:rPr>
        <w:t>, section 15</w:t>
      </w:r>
      <w:r>
        <w:rPr>
          <w:rFonts w:ascii="Times New Roman" w:hAnsi="Times New Roman"/>
          <w:b w:val="false"/>
          <w:i w:val="false"/>
          <w:color w:val="000000"/>
          <w:sz w:val="24"/>
        </w:rPr>
        <w:t xml:space="preserve">, </w:t>
      </w:r>
      <w:hyperlink r:id="rId35">
        <w:r>
          <w:rPr>
            <w:rStyle w:val="Hyperlink"/>
            <w:rFonts w:ascii="Times New Roman" w:hAnsi="Times New Roman"/>
            <w:b w:val="false"/>
            <w:i w:val="false"/>
            <w:color w:val="000000"/>
            <w:sz w:val="24"/>
          </w:rPr>
          <w:t>321.195</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as amended by </w:t>
      </w:r>
      <w:r>
        <w:rPr>
          <w:rFonts w:ascii="Times New Roman" w:hAnsi="Times New Roman"/>
          <w:b w:val="false"/>
          <w:i w:val="false"/>
          <w:color w:val="000000"/>
          <w:sz w:val="24"/>
          <w:u w:val="single"/>
        </w:rPr>
        <w:t>2026 Iowa Acts, Senate File 2088</w:t>
      </w:r>
      <w:r>
        <w:rPr>
          <w:rFonts w:ascii="Times New Roman" w:hAnsi="Times New Roman"/>
          <w:b w:val="false"/>
          <w:i w:val="false"/>
          <w:color w:val="000000"/>
          <w:sz w:val="24"/>
          <w:u w:val="single"/>
        </w:rPr>
        <w:t>, section 16,</w:t>
      </w:r>
      <w:r>
        <w:rPr>
          <w:rFonts w:ascii="Times New Roman" w:hAnsi="Times New Roman"/>
          <w:b w:val="false"/>
          <w:i w:val="false"/>
          <w:color w:val="000000"/>
          <w:sz w:val="24"/>
        </w:rPr>
        <w:t xml:space="preserve"> and </w:t>
      </w:r>
      <w:hyperlink r:id="rId36">
        <w:r>
          <w:rPr>
            <w:rStyle w:val="Hyperlink"/>
            <w:rFonts w:ascii="Times New Roman" w:hAnsi="Times New Roman"/>
            <w:b w:val="false"/>
            <w:i w:val="false"/>
            <w:color w:val="000000"/>
            <w:sz w:val="24"/>
          </w:rPr>
          <w:t>321.216</w:t>
        </w:r>
      </w:hyperlink>
      <w:r>
        <w:rPr>
          <w:rFonts w:ascii="Times New Roman" w:hAnsi="Times New Roman"/>
          <w:b w:val="false"/>
          <w:i w:val="false"/>
          <w:color w:val="000000"/>
          <w:sz w:val="24"/>
        </w:rPr>
        <w:t xml:space="preserve"> through </w:t>
      </w:r>
      <w:hyperlink r:id="rId37">
        <w:r>
          <w:rPr>
            <w:rStyle w:val="Hyperlink"/>
            <w:rFonts w:ascii="Times New Roman" w:hAnsi="Times New Roman"/>
            <w:b w:val="false"/>
            <w:i w:val="false"/>
            <w:color w:val="000000"/>
            <w:sz w:val="24"/>
          </w:rPr>
          <w:t>321.216C</w:t>
        </w:r>
      </w:hyperlink>
      <w:r>
        <w:rPr>
          <w:rFonts w:ascii="Times New Roman" w:hAnsi="Times New Roman"/>
          <w:b w:val="false"/>
          <w:i w:val="false"/>
          <w:color w:val="000000"/>
          <w:sz w:val="24"/>
        </w:rPr>
        <w:t>; the REAL ID Act of 2005 (</w:t>
      </w:r>
      <w:r>
        <w:rPr>
          <w:rFonts w:ascii="Times New Roman" w:hAnsi="Times New Roman"/>
          <w:b w:val="false"/>
          <w:i w:val="false"/>
          <w:color w:val="000000"/>
          <w:sz w:val="24"/>
        </w:rPr>
        <w:t>49 U.S.C.</w:t>
      </w:r>
      <w:r>
        <w:rPr>
          <w:rFonts w:ascii="Times New Roman" w:hAnsi="Times New Roman"/>
          <w:b w:val="false"/>
          <w:i w:val="false"/>
          <w:color w:val="000000"/>
          <w:sz w:val="24"/>
        </w:rPr>
        <w:t xml:space="preserve"> Section 30301 note) as amended by the REAL ID Modernization Act, H.R. 133, Division U, Title X; and </w:t>
      </w:r>
      <w:r>
        <w:rPr>
          <w:rFonts w:ascii="Times New Roman" w:hAnsi="Times New Roman"/>
          <w:b w:val="false"/>
          <w:i w:val="false"/>
          <w:color w:val="000000"/>
          <w:sz w:val="24"/>
        </w:rPr>
        <w:t>6 CFR Part 37</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3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ryan.pell@iowadot.us" Type="http://schemas.openxmlformats.org/officeDocument/2006/relationships/hyperlink" Id="rId4"/>
    <Relationship TargetMode="External" Target="https://teams.microsoft.com/meet/248948001292823?p=v75MhuA0LYygxFyJ1F" Type="http://schemas.openxmlformats.org/officeDocument/2006/relationships/hyperlink" Id="rId5"/>
    <Relationship TargetMode="External" Target="https://teams.microsoft.com/meet/256042286123741?p=mV2GFXoox8FL9znUYH"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ac/rule/761.601.3.pdf" Type="http://schemas.openxmlformats.org/officeDocument/2006/relationships/hyperlink" Id="rId8"/>
    <Relationship TargetMode="External" Target="https://www.legis.iowa.gov/docs/iac/chapter/761.601.pdf" Type="http://schemas.openxmlformats.org/officeDocument/2006/relationships/hyperlink" Id="rId9"/>
    <Relationship TargetMode="External" Target="https://www.legis.iowa.gov/docs/iac/rule/761.615.14.pdf" Type="http://schemas.openxmlformats.org/officeDocument/2006/relationships/hyperlink" Id="rId10"/>
    <Relationship TargetMode="External" Target="https://www.legis.iowa.gov/docs/iac/rule/761.615.7.pdf" Type="http://schemas.openxmlformats.org/officeDocument/2006/relationships/hyperlink" Id="rId11"/>
    <Relationship TargetMode="External" Target="https://www.legis.iowa.gov/docs/iac/rule/761.615.4.pdf" Type="http://schemas.openxmlformats.org/officeDocument/2006/relationships/hyperlink" Id="rId12"/>
    <Relationship TargetMode="External" Target="https://www.legis.iowa.gov/docs/iac/rule/761.615.7.pdf" Type="http://schemas.openxmlformats.org/officeDocument/2006/relationships/hyperlink" Id="rId13"/>
    <Relationship TargetMode="External" Target="https://www.legis.iowa.gov/docs/iac/rule/761.615.14.pdf" Type="http://schemas.openxmlformats.org/officeDocument/2006/relationships/hyperlink" Id="rId14"/>
    <Relationship TargetMode="External" Target="https://www.legis.iowa.gov/docs/iac/rule/761.615.7.pdf" Type="http://schemas.openxmlformats.org/officeDocument/2006/relationships/hyperlink" Id="rId15"/>
    <Relationship TargetMode="External" Target="https://www.legis.iowa.gov/docs/iac/rule/761.601.5.pdf" Type="http://schemas.openxmlformats.org/officeDocument/2006/relationships/hyperlink" Id="rId16"/>
    <Relationship TargetMode="External" Target="https://www.legis.iowa.gov/docs/iac/rule/761.601.4.pdf" Type="http://schemas.openxmlformats.org/officeDocument/2006/relationships/hyperlink" Id="rId17"/>
    <Relationship TargetMode="External" Target="https://www.legis.iowa.gov/docs/iac/rule/761.630.2.pdf" Type="http://schemas.openxmlformats.org/officeDocument/2006/relationships/hyperlink" Id="rId18"/>
    <Relationship TargetMode="External" Target="https://www.legis.iowa.gov/docs/iac/rule/761.630.2.pdf" Type="http://schemas.openxmlformats.org/officeDocument/2006/relationships/hyperlink" Id="rId19"/>
    <Relationship TargetMode="External" Target="https://www.legis.iowa.gov/docs/ico/chapter/321.181.pdf" Type="http://schemas.openxmlformats.org/officeDocument/2006/relationships/hyperlink" Id="rId20"/>
    <Relationship TargetMode="External" Target="https://www.legis.iowa.gov/docs/iac/rule/761.630.2.pdf" Type="http://schemas.openxmlformats.org/officeDocument/2006/relationships/hyperlink" Id="rId21"/>
    <Relationship TargetMode="External" Target="https://www.legis.iowa.gov/docs/iac/rule/761.630.2.pdf" Type="http://schemas.openxmlformats.org/officeDocument/2006/relationships/hyperlink" Id="rId22"/>
    <Relationship TargetMode="External" Target="https://www.legis.iowa.gov/docs/iac/rule/761.601.5.pdf" Type="http://schemas.openxmlformats.org/officeDocument/2006/relationships/hyperlink" Id="rId23"/>
    <Relationship TargetMode="External" Target="https://www.legis.iowa.gov/docs/iac/rule/761.601.4.pdf" Type="http://schemas.openxmlformats.org/officeDocument/2006/relationships/hyperlink" Id="rId24"/>
    <Relationship TargetMode="External" Target="https://www.legis.iowa.gov/docs/iac/rule/761.605.11.pdf" Type="http://schemas.openxmlformats.org/officeDocument/2006/relationships/hyperlink" Id="rId25"/>
    <Relationship TargetMode="External" Target="https://www.legis.iowa.gov/docs/iac/rule/761.605.10.pdf" Type="http://schemas.openxmlformats.org/officeDocument/2006/relationships/hyperlink" Id="rId26"/>
    <Relationship TargetMode="External" Target="https://www.legis.iowa.gov/docs/iac/rule/761.605.11.pdf" Type="http://schemas.openxmlformats.org/officeDocument/2006/relationships/hyperlink" Id="rId27"/>
    <Relationship TargetMode="External" Target="https://www.legis.iowa.gov/docs/iac/rule/761.605.10.pdf" Type="http://schemas.openxmlformats.org/officeDocument/2006/relationships/hyperlink" Id="rId28"/>
    <Relationship TargetMode="External" Target="https://www.legis.iowa.gov/docs/iac/rule/761.605.10.pdf" Type="http://schemas.openxmlformats.org/officeDocument/2006/relationships/hyperlink" Id="rId29"/>
    <Relationship TargetMode="External" Target="https://www.legis.iowa.gov/docs/iac/rule/761.605.10.pdf" Type="http://schemas.openxmlformats.org/officeDocument/2006/relationships/hyperlink" Id="rId30"/>
    <Relationship TargetMode="External" Target="https://www.legis.iowa.gov/docs/ico/chapter/321.13.pdf" Type="http://schemas.openxmlformats.org/officeDocument/2006/relationships/hyperlink" Id="rId31"/>
    <Relationship TargetMode="External" Target="https://www.legis.iowa.gov/docs/ico/chapter/321.181.pdf" Type="http://schemas.openxmlformats.org/officeDocument/2006/relationships/hyperlink" Id="rId32"/>
    <Relationship TargetMode="External" Target="https://www.legis.iowa.gov/docs/ico/chapter/321.189.pdf" Type="http://schemas.openxmlformats.org/officeDocument/2006/relationships/hyperlink" Id="rId33"/>
    <Relationship TargetMode="External" Target="https://www.legis.iowa.gov/docs/ico/chapter/321.190.pdf" Type="http://schemas.openxmlformats.org/officeDocument/2006/relationships/hyperlink" Id="rId34"/>
    <Relationship TargetMode="External" Target="https://www.legis.iowa.gov/docs/ico/chapter/321.195.pdf" Type="http://schemas.openxmlformats.org/officeDocument/2006/relationships/hyperlink" Id="rId35"/>
    <Relationship TargetMode="External" Target="https://www.legis.iowa.gov/docs/ico/chapter/321.216.pdf" Type="http://schemas.openxmlformats.org/officeDocument/2006/relationships/hyperlink" Id="rId36"/>
    <Relationship TargetMode="External" Target="https://www.legis.iowa.gov/docs/ico/chapter/321.216C.pdf" Type="http://schemas.openxmlformats.org/officeDocument/2006/relationships/hyperlink" Id="rId37"/>
    <Relationship Target="footer.xml" Type="http://schemas.openxmlformats.org/officeDocument/2006/relationships/footer"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