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16D" w:id="1"/>
    <w:p>
      <w:pPr>
        <w:spacing w:before="0" w:after="0" w:line="480"/>
        <w:ind w:left="120"/>
        <w:jc w:val="right"/>
      </w:pPr>
      <w:r>
        <w:rPr>
          <w:rFonts w:ascii="Times New Roman" w:hAnsi="Times New Roman"/>
          <w:b/>
          <w:i w:val="false"/>
          <w:color w:val="000000"/>
          <w:sz w:val="28"/>
        </w:rPr>
        <w:t>ARC 0516D</w:t>
      </w:r>
    </w:p>
    <w:bookmarkEnd w:id="1"/>
    <w:p>
      <w:pPr>
        <w:pBdr>
          <w:top w:space="5"/>
        </w:pBdr>
        <w:spacing w:before="0" w:after="0" w:line="480"/>
        <w:ind w:left="120"/>
        <w:jc w:val="center"/>
      </w:pPr>
      <w:r>
        <w:rPr>
          <w:rFonts w:ascii="Times New Roman" w:hAnsi="Times New Roman"/>
          <w:b/>
          <w:i w:val="false"/>
          <w:color w:val="000000"/>
          <w:sz w:val="28"/>
        </w:rPr>
        <w:t>TRANSPORTATION DEPARTMENT[761]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Proposing rulemaking related to motor vehicle records—driver’s privacy protection and electronic communications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Transportation hereby proposes to amend Chapter 301, “Driver’s Privacy Protection—Motor Vehicle Records,”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321.11, 321.16A and 321A.3.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321.11.</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the proposed amendments is to align with 2026 Iowa Acts, Senate File 2088, sections 30 and 31, which classify phone numbers and email addresses as personal information under Iowa Code section 321.11, and to support electronic communication with Motor Vehicle Division customers through the Department’s new information technology (IT) system. Receiving electronic communications through the new system is voluntary and may be in the form of text or email notifications, or documents accessible through the system. The rulemaking identifies that the terms of accessing and receiving electronic communications from the Department will be made available to review prior to signing up. The proposed amendments also clarify the definition of express written consent and incorporate a $0.50 per record fee for issuing noncertified copies of motor vehicle records as authorized under Iowa Code section 321.11(4). This fee matches the fee charged in Iowa Code section 321.491 for noncertified copies of certain records provided by the clerk of the district court, which are transferred to the Department as appropriated receipts.</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May 27,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June 23, 2026</w:t>
      </w:r>
    </w:p>
    <w:p>
      <w:pPr>
        <w:spacing w:before="0" w:after="0" w:line="480"/>
        <w:ind w:left="120"/>
        <w:jc w:val="both"/>
      </w:pPr>
      <w:r>
        <w:rPr>
          <w:rFonts w:ascii="Times New Roman" w:hAnsi="Times New Roman"/>
          <w:b w:val="false"/>
          <w:i w:val="false"/>
          <w:color w:val="000000"/>
          <w:sz w:val="24"/>
        </w:rPr>
        <w:t>    The Department received no comments.</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761—Chapter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September 23,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Ryan Pell </w:t>
            </w:r>
            <w:r>
              <w:br/>
            </w:r>
            <w:r>
              <w:rPr>
                <w:rFonts w:ascii="Times New Roman" w:hAnsi="Times New Roman"/>
                <w:b w:val="false"/>
                <w:i w:val="false"/>
                <w:color w:val="000000"/>
                <w:sz w:val="14"/>
              </w:rPr>
              <w:t xml:space="preserve">Department of Transportation </w:t>
            </w:r>
            <w:r>
              <w:br/>
            </w:r>
            <w:r>
              <w:rPr>
                <w:rFonts w:ascii="Times New Roman" w:hAnsi="Times New Roman"/>
                <w:b w:val="false"/>
                <w:i w:val="false"/>
                <w:color w:val="000000"/>
                <w:sz w:val="14"/>
              </w:rPr>
              <w:t>DOT Rules Administrator, Office of the Director</w:t>
            </w:r>
            <w:r>
              <w:br/>
            </w:r>
            <w:r>
              <w:rPr>
                <w:rFonts w:ascii="Times New Roman" w:hAnsi="Times New Roman"/>
                <w:b w:val="false"/>
                <w:i w:val="false"/>
                <w:color w:val="000000"/>
                <w:sz w:val="14"/>
              </w:rPr>
              <w:t>800 Lincoln Way</w:t>
            </w:r>
            <w:r>
              <w:br/>
            </w:r>
            <w:r>
              <w:rPr>
                <w:rFonts w:ascii="Times New Roman" w:hAnsi="Times New Roman"/>
                <w:b w:val="false"/>
                <w:i w:val="false"/>
                <w:color w:val="000000"/>
                <w:sz w:val="14"/>
              </w:rPr>
              <w:t xml:space="preserve">Ames, Iowa 50010 </w:t>
            </w:r>
            <w:r>
              <w:br/>
            </w:r>
            <w:r>
              <w:rPr>
                <w:rFonts w:ascii="Times New Roman" w:hAnsi="Times New Roman"/>
                <w:b w:val="false"/>
                <w:i w:val="false"/>
                <w:color w:val="000000"/>
                <w:sz w:val="14"/>
              </w:rPr>
              <w:t xml:space="preserve">Phone: 515.239.1358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ryan.pell@iowadot.us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23, 2026</w:t>
            </w:r>
            <w:r>
              <w:br/>
            </w:r>
            <w:r>
              <w:rPr>
                <w:rFonts w:ascii="Times New Roman" w:hAnsi="Times New Roman"/>
                <w:b w:val="false"/>
                <w:i w:val="false"/>
                <w:color w:val="000000"/>
                <w:sz w:val="14"/>
              </w:rPr>
              <w:t xml:space="preserve">1:30 to 2 p.m. </w:t>
            </w:r>
          </w:p>
        </w:tc>
        <w:tc>
          <w:tcPr>
            <w:tcW w:w="4476" w:type="dxa"/>
            <w:tcBorders/>
            <w:tcMar>
              <w:top w:w="30" w:type="dxa"/>
              <w:left w:w="30" w:type="dxa"/>
              <w:bottom w:w="15" w:type="dxa"/>
              <w:right w:w="30" w:type="dxa"/>
            </w:tcMar>
            <w:vAlign w:val="top"/>
          </w:tcPr>
          <w:p>
            <w:pPr>
              <w:spacing w:before="0" w:after="0" w:line="264"/>
              <w:ind w:left="0"/>
              <w:jc w:val="left"/>
            </w:pPr>
            <w:hyperlink r:id="rId5">
              <w:r>
                <w:rPr>
                  <w:rStyle w:val="Hyperlink"/>
                  <w:rFonts w:ascii="Times New Roman" w:hAnsi="Times New Roman"/>
                  <w:b w:val="false"/>
                  <w:i w:val="false"/>
                  <w:color w:val="0000ff"/>
                  <w:sz w:val="14"/>
                </w:rPr>
                <w:t>Microsoft Teams</w:t>
              </w:r>
            </w:hyperlink>
            <w:r>
              <w:br/>
            </w:r>
            <w:r>
              <w:rPr>
                <w:rFonts w:ascii="Times New Roman" w:hAnsi="Times New Roman"/>
                <w:b w:val="false"/>
                <w:i w:val="false"/>
                <w:color w:val="000000"/>
                <w:sz w:val="14"/>
              </w:rPr>
              <w:t>Or dial: 515.817.6093</w:t>
            </w:r>
            <w:r>
              <w:br/>
            </w:r>
            <w:r>
              <w:rPr>
                <w:rFonts w:ascii="Times New Roman" w:hAnsi="Times New Roman"/>
                <w:b w:val="false"/>
                <w:i w:val="false"/>
                <w:color w:val="000000"/>
                <w:sz w:val="14"/>
              </w:rPr>
              <w:t>Conference ID: 741 195 33#</w:t>
            </w:r>
            <w:r>
              <w:br/>
            </w:r>
          </w:p>
        </w:tc>
      </w:tr>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23, 2026</w:t>
            </w:r>
            <w:r>
              <w:br/>
            </w:r>
            <w:r>
              <w:rPr>
                <w:rFonts w:ascii="Times New Roman" w:hAnsi="Times New Roman"/>
                <w:b w:val="false"/>
                <w:i w:val="false"/>
                <w:color w:val="000000"/>
                <w:sz w:val="14"/>
              </w:rPr>
              <w:t xml:space="preserve">4 to 4:30 p.m. </w:t>
            </w:r>
          </w:p>
        </w:tc>
        <w:tc>
          <w:tcPr>
            <w:tcW w:w="4476" w:type="dxa"/>
            <w:tcBorders/>
            <w:tcMar>
              <w:top w:w="30" w:type="dxa"/>
              <w:left w:w="30" w:type="dxa"/>
              <w:bottom w:w="15" w:type="dxa"/>
              <w:right w:w="30" w:type="dxa"/>
            </w:tcMar>
            <w:vAlign w:val="top"/>
          </w:tcPr>
          <w:p>
            <w:pPr>
              <w:spacing w:before="0" w:after="0" w:line="264"/>
              <w:ind w:left="0"/>
              <w:jc w:val="left"/>
            </w:pPr>
            <w:hyperlink r:id="rId6">
              <w:r>
                <w:rPr>
                  <w:rStyle w:val="Hyperlink"/>
                  <w:rFonts w:ascii="Times New Roman" w:hAnsi="Times New Roman"/>
                  <w:b w:val="false"/>
                  <w:i w:val="false"/>
                  <w:color w:val="0000ff"/>
                  <w:sz w:val="14"/>
                </w:rPr>
                <w:t>Microsoft Teams</w:t>
              </w:r>
            </w:hyperlink>
            <w:r>
              <w:br/>
            </w:r>
            <w:r>
              <w:rPr>
                <w:rFonts w:ascii="Times New Roman" w:hAnsi="Times New Roman"/>
                <w:b w:val="false"/>
                <w:i w:val="false"/>
                <w:color w:val="000000"/>
                <w:sz w:val="14"/>
              </w:rPr>
              <w:t>Or dial: 515.817.6093</w:t>
            </w:r>
            <w:r>
              <w:br/>
            </w:r>
            <w:r>
              <w:rPr>
                <w:rFonts w:ascii="Times New Roman" w:hAnsi="Times New Roman"/>
                <w:b w:val="false"/>
                <w:i w:val="false"/>
                <w:color w:val="000000"/>
                <w:sz w:val="14"/>
              </w:rPr>
              <w:t>Conference ID: 556 950 299#</w:t>
            </w:r>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w:t>
      </w:r>
      <w:r>
        <w:rPr>
          <w:rFonts w:ascii="Times New Roman" w:hAnsi="Times New Roman"/>
          <w:b/>
          <w:i w:val="false"/>
          <w:color w:val="000000"/>
          <w:sz w:val="24"/>
        </w:rPr>
        <w:t>761—Chapter 301</w:t>
      </w:r>
      <w:r>
        <w:rPr>
          <w:rFonts w:ascii="Times New Roman" w:hAnsi="Times New Roman"/>
          <w:b w:val="false"/>
          <w:i w:val="false"/>
          <w:color w:val="000000"/>
          <w:sz w:val="24"/>
        </w:rPr>
        <w:t>, title</w:t>
      </w:r>
      <w:r>
        <w:rPr>
          <w:rFonts w:ascii="Times New Roman" w:hAnsi="Times New Roman"/>
          <w:b w:val="false"/>
          <w:i w:val="false"/>
          <w:color w:val="000000"/>
          <w:sz w:val="24"/>
        </w:rPr>
        <w:t>, as follows:</w:t>
      </w:r>
    </w:p>
    <w:p>
      <w:pPr>
        <w:spacing w:before="0" w:after="0" w:line="480"/>
        <w:ind w:left="120"/>
        <w:jc w:val="center"/>
      </w:pPr>
      <w:r>
        <w:rPr>
          <w:rFonts w:ascii="Times New Roman" w:hAnsi="Times New Roman"/>
          <w:b w:val="false"/>
          <w:i w:val="false"/>
          <w:strike/>
          <w:color w:val="000000"/>
          <w:sz w:val="24"/>
        </w:rPr>
        <w:t>DRIVER’S PRIVACY PROTECTION—</w:t>
      </w:r>
      <w:r>
        <w:rPr>
          <w:rFonts w:ascii="Times New Roman" w:hAnsi="Times New Roman"/>
          <w:b w:val="false"/>
          <w:i w:val="false"/>
          <w:color w:val="000000"/>
          <w:sz w:val="21"/>
        </w:rPr>
        <w:t>MOTOR VEHICLE RECORDS</w:t>
      </w:r>
      <w:r>
        <w:rPr>
          <w:rFonts w:ascii="Times New Roman" w:hAnsi="Times New Roman"/>
          <w:b w:val="false"/>
          <w:i w:val="false"/>
          <w:color w:val="000000"/>
          <w:sz w:val="24"/>
          <w:u w:val="single"/>
        </w:rPr>
        <w:t>—DRIVER’S PRIVACY PROTECTION AND ELECTRONIC COMMUNICATIONS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761—301.1(321)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761—301.1</w:t>
      </w:r>
      <w:r>
        <w:rPr>
          <w:rFonts w:ascii="Times New Roman" w:hAnsi="Times New Roman"/>
          <w:b/>
          <w:i w:val="false"/>
          <w:color w:val="000000"/>
          <w:sz w:val="24"/>
        </w:rPr>
        <w:t xml:space="preserve">(321) </w:t>
      </w:r>
      <w:r>
        <w:rPr>
          <w:rFonts w:ascii="Times New Roman" w:hAnsi="Times New Roman"/>
          <w:b/>
          <w:i w:val="false"/>
          <w:color w:val="000000"/>
          <w:sz w:val="24"/>
        </w:rPr>
        <w:t xml:space="preserve">Applicability and adoption. </w:t>
      </w:r>
      <w:r>
        <w:rPr>
          <w:rFonts w:ascii="Times New Roman" w:hAnsi="Times New Roman"/>
          <w:b w:val="false"/>
          <w:i w:val="false"/>
          <w:color w:val="000000"/>
          <w:sz w:val="24"/>
        </w:rPr>
        <w:t>This chapter applies to personal information and highly restricted personal information in motor vehicle records of the department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and electronic communications from the department’s records system</w:t>
      </w:r>
      <w:r>
        <w:rPr>
          <w:rFonts w:ascii="Times New Roman" w:hAnsi="Times New Roman"/>
          <w:b w:val="false"/>
          <w:i w:val="false"/>
          <w:color w:val="000000"/>
          <w:sz w:val="24"/>
        </w:rPr>
        <w:t>. The department adopts the Driver’s Privacy Protection Act of 1994 (</w:t>
      </w:r>
      <w:r>
        <w:rPr>
          <w:rFonts w:ascii="Times New Roman" w:hAnsi="Times New Roman"/>
          <w:b w:val="false"/>
          <w:i w:val="false"/>
          <w:color w:val="000000"/>
          <w:sz w:val="24"/>
        </w:rPr>
        <w:t>18 U.S.C. §2721</w:t>
      </w:r>
      <w:r>
        <w:rPr>
          <w:rFonts w:ascii="Times New Roman" w:hAnsi="Times New Roman"/>
          <w:b w:val="false"/>
          <w:i w:val="false"/>
          <w:color w:val="000000"/>
          <w:sz w:val="24"/>
        </w:rPr>
        <w:t xml:space="preserve"> and 2725 effective as of October 23, 2000, and </w:t>
      </w:r>
      <w:r>
        <w:rPr>
          <w:rFonts w:ascii="Times New Roman" w:hAnsi="Times New Roman"/>
          <w:b w:val="false"/>
          <w:i w:val="false"/>
          <w:color w:val="000000"/>
          <w:sz w:val="24"/>
        </w:rPr>
        <w:t>18 U.S.C. §2722</w:t>
      </w:r>
      <w:r>
        <w:rPr>
          <w:rFonts w:ascii="Times New Roman" w:hAnsi="Times New Roman"/>
          <w:b w:val="false"/>
          <w:i w:val="false"/>
          <w:color w:val="000000"/>
          <w:sz w:val="24"/>
        </w:rPr>
        <w:t xml:space="preserve"> through 2724 effective as of September 13, 1994) for motor vehicle records. The department does not provide the waiver procedure described in the Driver’s Privacy Protection Act (codified as </w:t>
      </w:r>
      <w:r>
        <w:rPr>
          <w:rFonts w:ascii="Times New Roman" w:hAnsi="Times New Roman"/>
          <w:b w:val="false"/>
          <w:i w:val="false"/>
          <w:color w:val="000000"/>
          <w:sz w:val="24"/>
        </w:rPr>
        <w:t>18 U.S.C. §2721(d)</w:t>
      </w:r>
      <w:r>
        <w:rPr>
          <w:rFonts w:ascii="Times New Roman" w:hAnsi="Times New Roman"/>
          <w:b w:val="false"/>
          <w:i w:val="false"/>
          <w:color w:val="000000"/>
          <w:sz w:val="24"/>
        </w:rPr>
        <w:t xml:space="preserve"> effective as of October 23, 2000).</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8">
        <w:r>
          <w:rPr>
            <w:rStyle w:val="Hyperlink"/>
            <w:rFonts w:ascii="Times New Roman" w:hAnsi="Times New Roman"/>
            <w:b w:val="false"/>
            <w:i w:val="false"/>
            <w:color w:val="000000"/>
            <w:sz w:val="24"/>
          </w:rPr>
          <w:t>321.11</w:t>
        </w:r>
      </w:hyperlink>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and section 321.16A as enacted by </w:t>
      </w:r>
      <w:r>
        <w:rPr>
          <w:rFonts w:ascii="Times New Roman" w:hAnsi="Times New Roman"/>
          <w:b w:val="false"/>
          <w:i w:val="false"/>
          <w:color w:val="000000"/>
          <w:sz w:val="24"/>
          <w:u w:val="single"/>
        </w:rPr>
        <w:t>2026 Iowa Acts, Senate File 2088</w:t>
      </w:r>
      <w:r>
        <w:rPr>
          <w:rFonts w:ascii="Times New Roman" w:hAnsi="Times New Roman"/>
          <w:b w:val="false"/>
          <w:i w:val="false"/>
          <w:color w:val="000000"/>
          <w:sz w:val="24"/>
          <w:u w:val="single"/>
        </w:rPr>
        <w:t>, section 31</w:t>
      </w:r>
      <w:r>
        <w:rPr>
          <w:rFonts w:ascii="Times New Roman" w:hAnsi="Times New Roman"/>
          <w:b w:val="false"/>
          <w:i w:val="false"/>
          <w:color w:val="000000"/>
          <w:sz w:val="24"/>
        </w:rPr>
        <w:t xml:space="preserve">; </w:t>
      </w:r>
      <w:r>
        <w:rPr>
          <w:rFonts w:ascii="Times New Roman" w:hAnsi="Times New Roman"/>
          <w:b w:val="false"/>
          <w:i w:val="false"/>
          <w:color w:val="000000"/>
          <w:sz w:val="24"/>
        </w:rPr>
        <w:t>18 U.S.C. §2721</w:t>
      </w:r>
      <w:r>
        <w:rPr>
          <w:rFonts w:ascii="Times New Roman" w:hAnsi="Times New Roman"/>
          <w:b w:val="false"/>
          <w:i w:val="false"/>
          <w:color w:val="000000"/>
          <w:sz w:val="24"/>
        </w:rPr>
        <w:t xml:space="preserve"> and 2725 effective as of October 23, 2000; and </w:t>
      </w:r>
      <w:r>
        <w:rPr>
          <w:rFonts w:ascii="Times New Roman" w:hAnsi="Times New Roman"/>
          <w:b w:val="false"/>
          <w:i w:val="false"/>
          <w:color w:val="000000"/>
          <w:sz w:val="24"/>
        </w:rPr>
        <w:t>18 U.S.C. §2722</w:t>
      </w:r>
      <w:r>
        <w:rPr>
          <w:rFonts w:ascii="Times New Roman" w:hAnsi="Times New Roman"/>
          <w:b w:val="false"/>
          <w:i w:val="false"/>
          <w:color w:val="000000"/>
          <w:sz w:val="24"/>
        </w:rPr>
        <w:t xml:space="preserve"> through 2724 effective as of September 13, 1994.</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i w:val="false"/>
          <w:color w:val="000000"/>
          <w:sz w:val="24"/>
        </w:rPr>
        <w:t>761—301.2(321)</w:t>
      </w:r>
      <w:r>
        <w:rPr>
          <w:rFonts w:ascii="Times New Roman" w:hAnsi="Times New Roman"/>
          <w:b w:val="false"/>
          <w:i w:val="false"/>
          <w:color w:val="000000"/>
          <w:sz w:val="24"/>
        </w:rPr>
        <w:t xml:space="preserve">, definition of </w:t>
      </w:r>
      <w:r>
        <w:rPr>
          <w:rFonts w:ascii="Times New Roman" w:hAnsi="Times New Roman"/>
          <w:b w:val="false"/>
          <w:i w:val="false"/>
          <w:color w:val="000000"/>
          <w:sz w:val="24"/>
        </w:rPr>
        <w:t>“Express written consent,”</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“Express written consent”</w:t>
      </w:r>
      <w:r>
        <w:rPr>
          <w:rFonts w:ascii="Times New Roman" w:hAnsi="Times New Roman"/>
          <w:b w:val="false"/>
          <w:i w:val="false"/>
          <w:color w:val="000000"/>
          <w:sz w:val="24"/>
        </w:rPr>
        <w:t> </w:t>
      </w:r>
      <w:r>
        <w:rPr>
          <w:rFonts w:ascii="Times New Roman" w:hAnsi="Times New Roman"/>
          <w:b w:val="false"/>
          <w:i w:val="false"/>
          <w:color w:val="000000"/>
          <w:sz w:val="24"/>
        </w:rPr>
        <w:t xml:space="preserve">as used in Iowa Code section </w:t>
      </w:r>
      <w:hyperlink r:id="rId9">
        <w:r>
          <w:rPr>
            <w:rStyle w:val="Hyperlink"/>
            <w:rFonts w:ascii="Times New Roman" w:hAnsi="Times New Roman"/>
            <w:b w:val="false"/>
            <w:i w:val="false"/>
            <w:color w:val="000000"/>
            <w:sz w:val="24"/>
          </w:rPr>
          <w:t>321.11</w:t>
        </w:r>
      </w:hyperlink>
      <w:r>
        <w:rPr>
          <w:rFonts w:ascii="Times New Roman" w:hAnsi="Times New Roman"/>
          <w:b w:val="false"/>
          <w:i w:val="false"/>
          <w:color w:val="000000"/>
          <w:sz w:val="24"/>
        </w:rPr>
        <w:t xml:space="preserve"> means the same as “express consent” as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used and</w:t>
      </w:r>
      <w:r>
        <w:rPr>
          <w:rFonts w:ascii="Times New Roman" w:hAnsi="Times New Roman"/>
          <w:b w:val="false"/>
          <w:i w:val="false"/>
          <w:color w:val="000000"/>
          <w:sz w:val="24"/>
        </w:rPr>
        <w:t xml:space="preserve"> defined in </w:t>
      </w:r>
      <w:r>
        <w:rPr>
          <w:rFonts w:ascii="Times New Roman" w:hAnsi="Times New Roman"/>
          <w:b w:val="false"/>
          <w:i w:val="false"/>
          <w:color w:val="000000"/>
          <w:sz w:val="24"/>
        </w:rPr>
        <w:t>18 U.S.C.</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§2721 and</w:t>
      </w:r>
      <w:r>
        <w:rPr>
          <w:rFonts w:ascii="Times New Roman" w:hAnsi="Times New Roman"/>
          <w:b w:val="false"/>
          <w:i w:val="false"/>
          <w:color w:val="000000"/>
          <w:sz w:val="24"/>
        </w:rPr>
        <w:t xml:space="preserve"> §2725(5) effective as of October 23, 2000, and must either be notarized or accompanied by proof of identity of the </w:t>
      </w:r>
      <w:r>
        <w:rPr>
          <w:rFonts w:ascii="Times New Roman" w:hAnsi="Times New Roman"/>
          <w:b w:val="false"/>
          <w:i w:val="false"/>
          <w:strike/>
          <w:color w:val="000000"/>
          <w:sz w:val="24"/>
        </w:rPr>
        <w:t>requester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individual or vehicle owner to whom the information applies</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761—301.3(321)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761—301.3</w:t>
      </w:r>
      <w:r>
        <w:rPr>
          <w:rFonts w:ascii="Times New Roman" w:hAnsi="Times New Roman"/>
          <w:b/>
          <w:i w:val="false"/>
          <w:color w:val="000000"/>
          <w:sz w:val="24"/>
        </w:rPr>
        <w:t xml:space="preserve">(321) </w:t>
      </w:r>
      <w:r>
        <w:rPr>
          <w:rFonts w:ascii="Times New Roman" w:hAnsi="Times New Roman"/>
          <w:b/>
          <w:i w:val="false"/>
          <w:color w:val="000000"/>
          <w:sz w:val="24"/>
        </w:rPr>
        <w:t xml:space="preserve">Information and addresses. </w:t>
      </w:r>
      <w:r>
        <w:rPr>
          <w:rFonts w:ascii="Times New Roman" w:hAnsi="Times New Roman"/>
          <w:b w:val="false"/>
          <w:i w:val="false"/>
          <w:color w:val="000000"/>
          <w:sz w:val="24"/>
        </w:rPr>
        <w:t xml:space="preserve">Information and forms for records pertaining to motor vehicle records may be obtained </w:t>
      </w:r>
      <w:r>
        <w:rPr>
          <w:rFonts w:ascii="Times New Roman" w:hAnsi="Times New Roman"/>
          <w:b w:val="false"/>
          <w:i w:val="false"/>
          <w:strike/>
          <w:color w:val="000000"/>
          <w:sz w:val="24"/>
        </w:rPr>
        <w:t>at any driver’s license service center or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electronically from the department’s records system;</w:t>
      </w:r>
      <w:r>
        <w:rPr>
          <w:rFonts w:ascii="Times New Roman" w:hAnsi="Times New Roman"/>
          <w:b w:val="false"/>
          <w:i w:val="false"/>
          <w:color w:val="000000"/>
          <w:sz w:val="24"/>
        </w:rPr>
        <w:t xml:space="preserve"> by mail from the Motor Vehicle Division, Iowa Department of Transportation, P.O. Box 9278, Des Moines, Iowa 50306-9278; in person at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any driver’s license service center or</w:t>
      </w:r>
      <w:r>
        <w:rPr>
          <w:rFonts w:ascii="Times New Roman" w:hAnsi="Times New Roman"/>
          <w:b w:val="false"/>
          <w:i w:val="false"/>
          <w:color w:val="000000"/>
          <w:sz w:val="24"/>
        </w:rPr>
        <w:t xml:space="preserve"> 6310 SE Convenience Blvd., Ankeny, Iowa; by telephone at 515.237.3110; by email at privacy.agreements@iowadot.us; or on the department’s website at www.iowadot.gov/mvd/vehicleregistration/records for vehicle records and www.iowadot.gov/mvd/driverslicense/records for driving records.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0">
        <w:r>
          <w:rPr>
            <w:rStyle w:val="Hyperlink"/>
            <w:rFonts w:ascii="Times New Roman" w:hAnsi="Times New Roman"/>
            <w:b w:val="false"/>
            <w:i w:val="false"/>
            <w:color w:val="000000"/>
            <w:sz w:val="24"/>
          </w:rPr>
          <w:t>321.11</w:t>
        </w:r>
      </w:hyperlink>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and section 321.16A as enacted by </w:t>
      </w:r>
      <w:r>
        <w:rPr>
          <w:rFonts w:ascii="Times New Roman" w:hAnsi="Times New Roman"/>
          <w:b w:val="false"/>
          <w:i w:val="false"/>
          <w:color w:val="000000"/>
          <w:sz w:val="24"/>
          <w:u w:val="single"/>
        </w:rPr>
        <w:t>2026 Iowa Acts, Senate File 2088</w:t>
      </w:r>
      <w:r>
        <w:rPr>
          <w:rFonts w:ascii="Times New Roman" w:hAnsi="Times New Roman"/>
          <w:b w:val="false"/>
          <w:i w:val="false"/>
          <w:color w:val="000000"/>
          <w:sz w:val="24"/>
          <w:u w:val="single"/>
        </w:rPr>
        <w:t>, section 31</w:t>
      </w:r>
      <w:r>
        <w:rPr>
          <w:rFonts w:ascii="Times New Roman" w:hAnsi="Times New Roman"/>
          <w:b w:val="false"/>
          <w:i w:val="false"/>
          <w:color w:val="000000"/>
          <w:sz w:val="24"/>
        </w:rPr>
        <w:t>.</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761—301.4(321)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761—301.4</w:t>
      </w:r>
      <w:r>
        <w:rPr>
          <w:rFonts w:ascii="Times New Roman" w:hAnsi="Times New Roman"/>
          <w:b/>
          <w:i w:val="false"/>
          <w:color w:val="000000"/>
          <w:sz w:val="24"/>
        </w:rPr>
        <w:t xml:space="preserve">(321) </w:t>
      </w:r>
      <w:r>
        <w:rPr>
          <w:rFonts w:ascii="Times New Roman" w:hAnsi="Times New Roman"/>
          <w:b/>
          <w:i w:val="false"/>
          <w:color w:val="000000"/>
          <w:sz w:val="24"/>
        </w:rPr>
        <w:t>Requirements and procedures</w:t>
      </w:r>
      <w:r>
        <w:rPr>
          <w:rFonts w:ascii="Times New Roman" w:hAnsi="Times New Roman"/>
          <w:b/>
          <w:i w:val="false"/>
          <w:color w:val="000000"/>
          <w:sz w:val="24"/>
          <w:u w:val="single"/>
        </w:rPr>
        <w:t> </w:t>
      </w:r>
      <w:r>
        <w:rPr>
          <w:rFonts w:ascii="Times New Roman" w:hAnsi="Times New Roman"/>
          <w:b/>
          <w:i w:val="false"/>
          <w:color w:val="000000"/>
          <w:sz w:val="24"/>
          <w:u w:val="single"/>
        </w:rPr>
        <w:t>—requesting access to motor vehicle records</w:t>
      </w:r>
      <w:r>
        <w:rPr>
          <w:rFonts w:ascii="Times New Roman" w:hAnsi="Times New Roman"/>
          <w:b/>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301.4(1)</w:t>
      </w:r>
      <w:r>
        <w:rPr>
          <w:rFonts w:ascii="Times New Roman" w:hAnsi="Times New Roman"/>
          <w:b w:val="false"/>
          <w:i w:val="false"/>
          <w:color w:val="000000"/>
          <w:sz w:val="24"/>
        </w:rPr>
        <w:t> </w:t>
      </w:r>
      <w:r>
        <w:rPr>
          <w:rFonts w:ascii="Times New Roman" w:hAnsi="Times New Roman"/>
          <w:b w:val="false"/>
          <w:i w:val="false"/>
          <w:color w:val="000000"/>
          <w:sz w:val="24"/>
        </w:rPr>
        <w:t>A requester seeking personal information or highly restricted personal information is required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Complete Form 431069, “Privacy Act Agreement for Request of Motor Vehicle Records,” and submit the form to</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department’s records system,</w:t>
      </w:r>
      <w:r>
        <w:rPr>
          <w:rFonts w:ascii="Times New Roman" w:hAnsi="Times New Roman"/>
          <w:b w:val="false"/>
          <w:i w:val="false"/>
          <w:color w:val="000000"/>
          <w:sz w:val="24"/>
        </w:rPr>
        <w:t xml:space="preserve"> any driver’s license service center or the motor vehicle division at the address in rule </w:t>
      </w:r>
      <w:hyperlink r:id="rId11">
        <w:r>
          <w:rPr>
            <w:rStyle w:val="Hyperlink"/>
            <w:rFonts w:ascii="Times New Roman" w:hAnsi="Times New Roman"/>
            <w:b w:val="false"/>
            <w:i w:val="false"/>
            <w:color w:val="000000"/>
            <w:sz w:val="24"/>
          </w:rPr>
          <w:t>761—301.3</w:t>
        </w:r>
      </w:hyperlink>
      <w:r>
        <w:rPr>
          <w:rFonts w:ascii="Times New Roman" w:hAnsi="Times New Roman"/>
          <w:b w:val="false"/>
          <w:i w:val="false"/>
          <w:color w:val="000000"/>
          <w:sz w:val="24"/>
        </w:rPr>
        <w:t>(321). Requests for information about another individual require completion of Parts A, B (if applicable), C, and D of Form 431069. Requests for an individual’s own information require completion of Part 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301.4(2)</w:t>
      </w:r>
      <w:r>
        <w:rPr>
          <w:rFonts w:ascii="Times New Roman" w:hAnsi="Times New Roman"/>
          <w:b w:val="false"/>
          <w:i w:val="false"/>
          <w:color w:val="000000"/>
          <w:sz w:val="24"/>
        </w:rPr>
        <w:t> </w:t>
      </w:r>
      <w:r>
        <w:rPr>
          <w:rFonts w:ascii="Times New Roman" w:hAnsi="Times New Roman"/>
          <w:b w:val="false"/>
          <w:i w:val="false"/>
          <w:color w:val="000000"/>
          <w:sz w:val="24"/>
        </w:rPr>
        <w:t xml:space="preserve">A law enforcement agency that requests personal information or highly restricted personal information is to either follow the process in subrule </w:t>
      </w:r>
      <w:r>
        <w:rPr>
          <w:rFonts w:ascii="Times New Roman" w:hAnsi="Times New Roman"/>
          <w:b w:val="false"/>
          <w:i w:val="false"/>
          <w:color w:val="000000"/>
          <w:sz w:val="24"/>
        </w:rPr>
        <w:t>301.4(1)</w:t>
      </w:r>
      <w:r>
        <w:rPr>
          <w:rFonts w:ascii="Times New Roman" w:hAnsi="Times New Roman"/>
          <w:b w:val="false"/>
          <w:i w:val="false"/>
          <w:color w:val="000000"/>
          <w:sz w:val="24"/>
        </w:rPr>
        <w:t xml:space="preserve"> or complete and submit Form </w:t>
      </w:r>
      <w:r>
        <w:rPr>
          <w:rFonts w:ascii="Times New Roman" w:hAnsi="Times New Roman"/>
          <w:b w:val="false"/>
          <w:i w:val="false"/>
          <w:strike/>
          <w:color w:val="000000"/>
          <w:sz w:val="24"/>
        </w:rPr>
        <w:t>431200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432069</w:t>
      </w:r>
      <w:r>
        <w:rPr>
          <w:rFonts w:ascii="Times New Roman" w:hAnsi="Times New Roman"/>
          <w:b w:val="false"/>
          <w:i w:val="false"/>
          <w:color w:val="000000"/>
          <w:sz w:val="24"/>
        </w:rPr>
        <w:t>, “Certified Motor Vehicle Record Request Form for Use by County Attorney’s Offices and Law Enforcement Agencies,” to</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department’s records system,</w:t>
      </w:r>
      <w:r>
        <w:rPr>
          <w:rFonts w:ascii="Times New Roman" w:hAnsi="Times New Roman"/>
          <w:b w:val="false"/>
          <w:i w:val="false"/>
          <w:color w:val="000000"/>
          <w:sz w:val="24"/>
        </w:rPr>
        <w:t xml:space="preserve"> any driver’s license service center or the motor vehicle division at the address in rule </w:t>
      </w:r>
      <w:hyperlink r:id="rId12">
        <w:r>
          <w:rPr>
            <w:rStyle w:val="Hyperlink"/>
            <w:rFonts w:ascii="Times New Roman" w:hAnsi="Times New Roman"/>
            <w:b w:val="false"/>
            <w:i w:val="false"/>
            <w:color w:val="000000"/>
            <w:sz w:val="24"/>
          </w:rPr>
          <w:t>761—301.3</w:t>
        </w:r>
      </w:hyperlink>
      <w:r>
        <w:rPr>
          <w:rFonts w:ascii="Times New Roman" w:hAnsi="Times New Roman"/>
          <w:b w:val="false"/>
          <w:i w:val="false"/>
          <w:color w:val="000000"/>
          <w:sz w:val="24"/>
        </w:rPr>
        <w:t>(321). Alternately, a law enforcement agency may enter into a memorandum of understanding with the department for the purposes of requesting personal information or highly restricted personal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301.4(3)</w:t>
      </w:r>
      <w:r>
        <w:rPr>
          <w:rFonts w:ascii="Times New Roman" w:hAnsi="Times New Roman"/>
          <w:b w:val="false"/>
          <w:i w:val="false"/>
          <w:color w:val="000000"/>
          <w:sz w:val="24"/>
        </w:rPr>
        <w:t> </w:t>
      </w:r>
      <w:r>
        <w:rPr>
          <w:rFonts w:ascii="Times New Roman" w:hAnsi="Times New Roman"/>
          <w:b w:val="false"/>
          <w:i w:val="false"/>
          <w:color w:val="000000"/>
          <w:sz w:val="24"/>
        </w:rPr>
        <w:t>Personal information and highly restricted personal information, except for an individual’s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email address, telephone number and</w:t>
      </w:r>
      <w:r>
        <w:rPr>
          <w:rFonts w:ascii="Times New Roman" w:hAnsi="Times New Roman"/>
          <w:b w:val="false"/>
          <w:i w:val="false"/>
          <w:color w:val="000000"/>
          <w:sz w:val="24"/>
        </w:rPr>
        <w:t xml:space="preserve"> photograph or image, may be disclosed with the express written consent of the individual or vehicle owner to whom such information applies. When the requester has obtained the written consent of the individual or vehicle owner to whom the information applies, the requester must attach that written consent on a completed Form 431069, “Privacy Act Agreement for Request of Motor Vehicle Records,” and submit the form to any driver’s license service center or the motor vehicle division at the address in rule </w:t>
      </w:r>
      <w:hyperlink r:id="rId13">
        <w:r>
          <w:rPr>
            <w:rStyle w:val="Hyperlink"/>
            <w:rFonts w:ascii="Times New Roman" w:hAnsi="Times New Roman"/>
            <w:b w:val="false"/>
            <w:i w:val="false"/>
            <w:color w:val="000000"/>
            <w:sz w:val="24"/>
          </w:rPr>
          <w:t>761—301.3</w:t>
        </w:r>
      </w:hyperlink>
      <w:r>
        <w:rPr>
          <w:rFonts w:ascii="Times New Roman" w:hAnsi="Times New Roman"/>
          <w:b w:val="false"/>
          <w:i w:val="false"/>
          <w:color w:val="000000"/>
          <w:sz w:val="24"/>
        </w:rPr>
        <w:t>(321).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301.4(4)</w:t>
      </w:r>
      <w:r>
        <w:rPr>
          <w:rFonts w:ascii="Times New Roman" w:hAnsi="Times New Roman"/>
          <w:b w:val="false"/>
          <w:i w:val="false"/>
          <w:color w:val="000000"/>
          <w:sz w:val="24"/>
        </w:rPr>
        <w:t xml:space="preserve"> to </w:t>
      </w:r>
      <w:r>
        <w:rPr>
          <w:rFonts w:ascii="Times New Roman" w:hAnsi="Times New Roman"/>
          <w:b/>
          <w:i w:val="false"/>
          <w:color w:val="000000"/>
          <w:sz w:val="24"/>
        </w:rPr>
        <w:t>301.4(7)</w:t>
      </w:r>
      <w:r>
        <w:rPr>
          <w:rFonts w:ascii="Times New Roman" w:hAnsi="Times New Roman"/>
          <w:b w:val="false"/>
          <w:i w:val="false"/>
          <w:color w:val="000000"/>
          <w:sz w:val="24"/>
        </w:rPr>
        <w:t xml:space="preserve"> No change.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4">
        <w:r>
          <w:rPr>
            <w:rStyle w:val="Hyperlink"/>
            <w:rFonts w:ascii="Times New Roman" w:hAnsi="Times New Roman"/>
            <w:b w:val="false"/>
            <w:i w:val="false"/>
            <w:color w:val="000000"/>
            <w:sz w:val="24"/>
          </w:rPr>
          <w:t>321.10</w:t>
        </w:r>
      </w:hyperlink>
      <w:r>
        <w:rPr>
          <w:rFonts w:ascii="Times New Roman" w:hAnsi="Times New Roman"/>
          <w:b w:val="false"/>
          <w:i w:val="false"/>
          <w:color w:val="000000"/>
          <w:sz w:val="24"/>
        </w:rPr>
        <w:t>,</w:t>
      </w:r>
      <w:r>
        <w:rPr>
          <w:rFonts w:ascii="Times New Roman" w:hAnsi="Times New Roman"/>
          <w:b w:val="false"/>
          <w:i w:val="false"/>
          <w:color w:val="000000"/>
          <w:sz w:val="24"/>
          <w:u w:val="single"/>
        </w:rPr>
        <w:t> </w:t>
      </w:r>
      <w:hyperlink r:id="rId15">
        <w:r>
          <w:rPr>
            <w:rStyle w:val="Hyperlink"/>
            <w:rFonts w:ascii="Times New Roman" w:hAnsi="Times New Roman"/>
            <w:b w:val="false"/>
            <w:i w:val="false"/>
            <w:color w:val="000000"/>
            <w:sz w:val="24"/>
            <w:u w:val="single"/>
          </w:rPr>
          <w:t>321.11</w:t>
        </w:r>
      </w:hyperlink>
      <w:r>
        <w:rPr>
          <w:rFonts w:ascii="Times New Roman" w:hAnsi="Times New Roman"/>
          <w:b w:val="false"/>
          <w:i w:val="false"/>
          <w:color w:val="000000"/>
          <w:sz w:val="24"/>
          <w:u w:val="single"/>
        </w:rPr>
        <w:t xml:space="preserve"> as amended by </w:t>
      </w:r>
      <w:r>
        <w:rPr>
          <w:rFonts w:ascii="Times New Roman" w:hAnsi="Times New Roman"/>
          <w:b w:val="false"/>
          <w:i w:val="false"/>
          <w:color w:val="000000"/>
          <w:sz w:val="24"/>
          <w:u w:val="single"/>
        </w:rPr>
        <w:t>2026 Iowa Acts, Senate File 2088</w:t>
      </w:r>
      <w:r>
        <w:rPr>
          <w:rFonts w:ascii="Times New Roman" w:hAnsi="Times New Roman"/>
          <w:b w:val="false"/>
          <w:i w:val="false"/>
          <w:color w:val="000000"/>
          <w:sz w:val="24"/>
          <w:u w:val="single"/>
        </w:rPr>
        <w:t>, section 30,</w:t>
      </w:r>
      <w:r>
        <w:rPr>
          <w:rFonts w:ascii="Times New Roman" w:hAnsi="Times New Roman"/>
          <w:b w:val="false"/>
          <w:i w:val="false"/>
          <w:color w:val="000000"/>
          <w:sz w:val="24"/>
        </w:rPr>
        <w:t xml:space="preserve"> </w:t>
      </w:r>
      <w:hyperlink r:id="rId16">
        <w:r>
          <w:rPr>
            <w:rStyle w:val="Hyperlink"/>
            <w:rFonts w:ascii="Times New Roman" w:hAnsi="Times New Roman"/>
            <w:b w:val="false"/>
            <w:i w:val="false"/>
            <w:color w:val="000000"/>
            <w:sz w:val="24"/>
          </w:rPr>
          <w:t>321.11</w:t>
        </w:r>
      </w:hyperlink>
      <w:r>
        <w:rPr>
          <w:rFonts w:ascii="Times New Roman" w:hAnsi="Times New Roman"/>
          <w:b w:val="false"/>
          <w:i w:val="false"/>
          <w:color w:val="000000"/>
          <w:sz w:val="24"/>
        </w:rPr>
        <w:t xml:space="preserve"> and </w:t>
      </w:r>
      <w:hyperlink r:id="rId17">
        <w:r>
          <w:rPr>
            <w:rStyle w:val="Hyperlink"/>
            <w:rFonts w:ascii="Times New Roman" w:hAnsi="Times New Roman"/>
            <w:b w:val="false"/>
            <w:i w:val="false"/>
            <w:color w:val="000000"/>
            <w:sz w:val="24"/>
          </w:rPr>
          <w:t>321.13</w:t>
        </w:r>
      </w:hyperlink>
      <w:r>
        <w:rPr>
          <w:rFonts w:ascii="Times New Roman" w:hAnsi="Times New Roman"/>
          <w:b w:val="false"/>
          <w:i w:val="false"/>
          <w:color w:val="000000"/>
          <w:sz w:val="24"/>
        </w:rPr>
        <w:t xml:space="preserve">; </w:t>
      </w:r>
      <w:r>
        <w:rPr>
          <w:rFonts w:ascii="Times New Roman" w:hAnsi="Times New Roman"/>
          <w:b w:val="false"/>
          <w:i w:val="false"/>
          <w:color w:val="000000"/>
          <w:sz w:val="24"/>
        </w:rPr>
        <w:t>18 U.S.C. §2721</w:t>
      </w:r>
      <w:r>
        <w:rPr>
          <w:rFonts w:ascii="Times New Roman" w:hAnsi="Times New Roman"/>
          <w:b w:val="false"/>
          <w:i w:val="false"/>
          <w:color w:val="000000"/>
          <w:sz w:val="24"/>
        </w:rPr>
        <w:t xml:space="preserve"> and 2725 effective as of October 23, 2000; and </w:t>
      </w:r>
      <w:r>
        <w:rPr>
          <w:rFonts w:ascii="Times New Roman" w:hAnsi="Times New Roman"/>
          <w:b w:val="false"/>
          <w:i w:val="false"/>
          <w:color w:val="000000"/>
          <w:sz w:val="24"/>
        </w:rPr>
        <w:t>18 U.S.C. §2722</w:t>
      </w:r>
      <w:r>
        <w:rPr>
          <w:rFonts w:ascii="Times New Roman" w:hAnsi="Times New Roman"/>
          <w:b w:val="false"/>
          <w:i w:val="false"/>
          <w:color w:val="000000"/>
          <w:sz w:val="24"/>
        </w:rPr>
        <w:t xml:space="preserve"> through 2724 effective as of September 13, 1994.</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761—301.6(321,321A)</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761—301.6</w:t>
      </w:r>
      <w:r>
        <w:rPr>
          <w:rFonts w:ascii="Times New Roman" w:hAnsi="Times New Roman"/>
          <w:b/>
          <w:i w:val="false"/>
          <w:color w:val="000000"/>
          <w:sz w:val="24"/>
        </w:rPr>
        <w:t xml:space="preserve">(321,321A) </w:t>
      </w:r>
      <w:r>
        <w:rPr>
          <w:rFonts w:ascii="Times New Roman" w:hAnsi="Times New Roman"/>
          <w:b/>
          <w:i w:val="false"/>
          <w:color w:val="000000"/>
          <w:sz w:val="24"/>
        </w:rPr>
        <w:t xml:space="preserve">Certified abstract of operating records.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301.6(1)</w:t>
      </w:r>
      <w:r>
        <w:rPr>
          <w:rFonts w:ascii="Times New Roman" w:hAnsi="Times New Roman"/>
          <w:b w:val="false"/>
          <w:i w:val="false"/>
          <w:color w:val="000000"/>
          <w:sz w:val="24"/>
        </w:rPr>
        <w:t> </w:t>
      </w:r>
      <w:r>
        <w:rPr>
          <w:rFonts w:ascii="Times New Roman" w:hAnsi="Times New Roman"/>
          <w:b w:val="false"/>
          <w:i w:val="false"/>
          <w:color w:val="000000"/>
          <w:sz w:val="24"/>
        </w:rPr>
        <w:t xml:space="preserve">A certified abstract of the operating record includes the information that is on the face of an individual’s driver’s license, plus information on the individual’s sanctions, reportable vehicle accidents, and convictions. The certified abstract of operating record does not include the individual’s </w:t>
      </w:r>
      <w:r>
        <w:rPr>
          <w:rFonts w:ascii="Times New Roman" w:hAnsi="Times New Roman"/>
          <w:b w:val="false"/>
          <w:i w:val="false"/>
          <w:color w:val="000000"/>
          <w:sz w:val="24"/>
          <w:u w:val="single"/>
        </w:rPr>
        <w:t>email address, telephone number,</w:t>
      </w:r>
      <w:r>
        <w:rPr>
          <w:rFonts w:ascii="Times New Roman" w:hAnsi="Times New Roman"/>
          <w:b w:val="false"/>
          <w:i w:val="false"/>
          <w:color w:val="000000"/>
          <w:sz w:val="24"/>
          <w:u w:val="single"/>
        </w:rPr>
        <w:t> </w:t>
      </w:r>
      <w:r>
        <w:rPr>
          <w:rFonts w:ascii="Times New Roman" w:hAnsi="Times New Roman"/>
          <w:b w:val="false"/>
          <w:i w:val="false"/>
          <w:color w:val="000000"/>
          <w:sz w:val="24"/>
        </w:rPr>
        <w:t>photograph, social security number, or medical or disability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and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301.6(2)</w:t>
      </w:r>
      <w:r>
        <w:rPr>
          <w:rFonts w:ascii="Times New Roman" w:hAnsi="Times New Roman"/>
          <w:b w:val="false"/>
          <w:i w:val="false"/>
          <w:color w:val="000000"/>
          <w:sz w:val="24"/>
        </w:rPr>
        <w:t xml:space="preserve"> and </w:t>
      </w:r>
      <w:r>
        <w:rPr>
          <w:rFonts w:ascii="Times New Roman" w:hAnsi="Times New Roman"/>
          <w:b/>
          <w:i w:val="false"/>
          <w:color w:val="000000"/>
          <w:sz w:val="24"/>
        </w:rPr>
        <w:t>301.6(3)</w:t>
      </w:r>
      <w:r>
        <w:rPr>
          <w:rFonts w:ascii="Times New Roman" w:hAnsi="Times New Roman"/>
          <w:b w:val="false"/>
          <w:i w:val="false"/>
          <w:color w:val="000000"/>
          <w:sz w:val="24"/>
        </w:rPr>
        <w:t xml:space="preserve"> No change.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8">
        <w:r>
          <w:rPr>
            <w:rStyle w:val="Hyperlink"/>
            <w:rFonts w:ascii="Times New Roman" w:hAnsi="Times New Roman"/>
            <w:b w:val="false"/>
            <w:i w:val="false"/>
            <w:color w:val="000000"/>
            <w:sz w:val="24"/>
          </w:rPr>
          <w:t>321.11</w:t>
        </w:r>
      </w:hyperlink>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as amended by </w:t>
      </w:r>
      <w:r>
        <w:rPr>
          <w:rFonts w:ascii="Times New Roman" w:hAnsi="Times New Roman"/>
          <w:b w:val="false"/>
          <w:i w:val="false"/>
          <w:color w:val="000000"/>
          <w:sz w:val="24"/>
          <w:u w:val="single"/>
        </w:rPr>
        <w:t>2026 Iowa Acts, Senate File 2088</w:t>
      </w:r>
      <w:r>
        <w:rPr>
          <w:rFonts w:ascii="Times New Roman" w:hAnsi="Times New Roman"/>
          <w:b w:val="false"/>
          <w:i w:val="false"/>
          <w:color w:val="000000"/>
          <w:sz w:val="24"/>
          <w:u w:val="single"/>
        </w:rPr>
        <w:t>, section 30</w:t>
      </w:r>
      <w:r>
        <w:rPr>
          <w:rFonts w:ascii="Times New Roman" w:hAnsi="Times New Roman"/>
          <w:b w:val="false"/>
          <w:i w:val="false"/>
          <w:color w:val="000000"/>
          <w:sz w:val="24"/>
        </w:rPr>
        <w:t xml:space="preserve">, </w:t>
      </w:r>
      <w:hyperlink r:id="rId19">
        <w:r>
          <w:rPr>
            <w:rStyle w:val="Hyperlink"/>
            <w:rFonts w:ascii="Times New Roman" w:hAnsi="Times New Roman"/>
            <w:b w:val="false"/>
            <w:i w:val="false"/>
            <w:color w:val="000000"/>
            <w:sz w:val="24"/>
          </w:rPr>
          <w:t>321.13</w:t>
        </w:r>
      </w:hyperlink>
      <w:r>
        <w:rPr>
          <w:rFonts w:ascii="Times New Roman" w:hAnsi="Times New Roman"/>
          <w:b w:val="false"/>
          <w:i w:val="false"/>
          <w:color w:val="000000"/>
          <w:sz w:val="24"/>
        </w:rPr>
        <w:t xml:space="preserve"> and </w:t>
      </w:r>
      <w:hyperlink r:id="rId20">
        <w:r>
          <w:rPr>
            <w:rStyle w:val="Hyperlink"/>
            <w:rFonts w:ascii="Times New Roman" w:hAnsi="Times New Roman"/>
            <w:b w:val="false"/>
            <w:i w:val="false"/>
            <w:color w:val="000000"/>
            <w:sz w:val="24"/>
          </w:rPr>
          <w:t>321A.3</w:t>
        </w:r>
      </w:hyperlink>
      <w:r>
        <w:rPr>
          <w:rFonts w:ascii="Times New Roman" w:hAnsi="Times New Roman"/>
          <w:b w:val="false"/>
          <w:i w:val="false"/>
          <w:color w:val="000000"/>
          <w:sz w:val="24"/>
        </w:rPr>
        <w:t xml:space="preserve">; </w:t>
      </w:r>
      <w:r>
        <w:rPr>
          <w:rFonts w:ascii="Times New Roman" w:hAnsi="Times New Roman"/>
          <w:b w:val="false"/>
          <w:i w:val="false"/>
          <w:color w:val="000000"/>
          <w:sz w:val="24"/>
        </w:rPr>
        <w:t>18 U.S.C. §2721</w:t>
      </w:r>
      <w:r>
        <w:rPr>
          <w:rFonts w:ascii="Times New Roman" w:hAnsi="Times New Roman"/>
          <w:b w:val="false"/>
          <w:i w:val="false"/>
          <w:color w:val="000000"/>
          <w:sz w:val="24"/>
        </w:rPr>
        <w:t xml:space="preserve"> and 2725 effective as of October 23, 2000; and </w:t>
      </w:r>
      <w:r>
        <w:rPr>
          <w:rFonts w:ascii="Times New Roman" w:hAnsi="Times New Roman"/>
          <w:b w:val="false"/>
          <w:i w:val="false"/>
          <w:color w:val="000000"/>
          <w:sz w:val="24"/>
        </w:rPr>
        <w:t>18 U.S.C. §2722</w:t>
      </w:r>
      <w:r>
        <w:rPr>
          <w:rFonts w:ascii="Times New Roman" w:hAnsi="Times New Roman"/>
          <w:b w:val="false"/>
          <w:i w:val="false"/>
          <w:color w:val="000000"/>
          <w:sz w:val="24"/>
        </w:rPr>
        <w:t xml:space="preserve"> through 2724 effective as of September 13, 1994.</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7.</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w:t>
      </w:r>
      <w:r>
        <w:rPr>
          <w:rFonts w:ascii="Times New Roman" w:hAnsi="Times New Roman"/>
          <w:b w:val="false"/>
          <w:i w:val="false"/>
          <w:color w:val="000000"/>
          <w:sz w:val="24"/>
        </w:rPr>
        <w:t>301.7(5)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301.7(5)</w:t>
      </w:r>
      <w:r>
        <w:rPr>
          <w:rFonts w:ascii="Times New Roman" w:hAnsi="Times New Roman"/>
          <w:b w:val="false"/>
          <w:i w:val="false"/>
          <w:color w:val="000000"/>
          <w:sz w:val="24"/>
        </w:rPr>
        <w:t> </w:t>
      </w:r>
      <w:r>
        <w:rPr>
          <w:rFonts w:ascii="Times New Roman" w:hAnsi="Times New Roman"/>
          <w:b w:val="false"/>
          <w:i w:val="false"/>
          <w:color w:val="000000"/>
          <w:sz w:val="24"/>
        </w:rPr>
        <w:t>A $0.50 per record fee for noncertified copies of motor vehicle records.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8.</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w:t>
      </w:r>
      <w:r>
        <w:rPr>
          <w:rFonts w:ascii="Times New Roman" w:hAnsi="Times New Roman"/>
          <w:b w:val="false"/>
          <w:i w:val="false"/>
          <w:color w:val="000000"/>
          <w:sz w:val="24"/>
        </w:rPr>
        <w:t>761—301.8(321,321A)</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761—301.8</w:t>
      </w:r>
      <w:r>
        <w:rPr>
          <w:rFonts w:ascii="Times New Roman" w:hAnsi="Times New Roman"/>
          <w:b/>
          <w:i w:val="false"/>
          <w:color w:val="000000"/>
          <w:sz w:val="24"/>
        </w:rPr>
        <w:t xml:space="preserve">(321,321A) </w:t>
      </w:r>
      <w:r>
        <w:rPr>
          <w:rFonts w:ascii="Times New Roman" w:hAnsi="Times New Roman"/>
          <w:b/>
          <w:i w:val="false"/>
          <w:color w:val="000000"/>
          <w:sz w:val="24"/>
        </w:rPr>
        <w:t xml:space="preserve">Electronic communications.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301.8(1)</w:t>
      </w:r>
      <w:r>
        <w:rPr>
          <w:rFonts w:ascii="Times New Roman" w:hAnsi="Times New Roman"/>
          <w:b w:val="false"/>
          <w:i w:val="false"/>
          <w:color w:val="000000"/>
          <w:sz w:val="24"/>
        </w:rPr>
        <w:t> </w:t>
      </w:r>
      <w:r>
        <w:rPr>
          <w:rFonts w:ascii="Times New Roman" w:hAnsi="Times New Roman"/>
          <w:b w:val="false"/>
          <w:i w:val="false"/>
          <w:color w:val="000000"/>
          <w:sz w:val="24"/>
        </w:rPr>
        <w:t xml:space="preserve">Pursuant to Iowa Code section </w:t>
      </w:r>
      <w:hyperlink r:id="rId21">
        <w:r>
          <w:rPr>
            <w:rStyle w:val="Hyperlink"/>
            <w:rFonts w:ascii="Times New Roman" w:hAnsi="Times New Roman"/>
            <w:b w:val="false"/>
            <w:i w:val="false"/>
            <w:color w:val="000000"/>
            <w:sz w:val="24"/>
          </w:rPr>
          <w:t>321.16A</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Senate File 2088</w:t>
      </w:r>
      <w:r>
        <w:rPr>
          <w:rFonts w:ascii="Times New Roman" w:hAnsi="Times New Roman"/>
          <w:b w:val="false"/>
          <w:i w:val="false"/>
          <w:color w:val="000000"/>
          <w:sz w:val="24"/>
        </w:rPr>
        <w:t>, section 31, a person may consent to access and receive electronic communications and documents from the department through the department’s records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301.8(2)</w:t>
      </w:r>
      <w:r>
        <w:rPr>
          <w:rFonts w:ascii="Times New Roman" w:hAnsi="Times New Roman"/>
          <w:b w:val="false"/>
          <w:i w:val="false"/>
          <w:color w:val="000000"/>
          <w:sz w:val="24"/>
        </w:rPr>
        <w:t> </w:t>
      </w:r>
      <w:r>
        <w:rPr>
          <w:rFonts w:ascii="Times New Roman" w:hAnsi="Times New Roman"/>
          <w:b w:val="false"/>
          <w:i w:val="false"/>
          <w:color w:val="000000"/>
          <w:sz w:val="24"/>
        </w:rPr>
        <w:t xml:space="preserve">Prior to giving consent, the department will make information available through the department’s records system, website or other appropriate method as determined by the department regarding the terms of accessing and receiving electronic communications from the department, including the procedures for withdrawing consent.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301.8(3)</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Personal information and highly restricted personal information will be used and disclosed only as permitted under Iowa Code sections </w:t>
      </w:r>
      <w:hyperlink r:id="rId22">
        <w:r>
          <w:rPr>
            <w:rStyle w:val="Hyperlink"/>
            <w:rFonts w:ascii="Times New Roman" w:hAnsi="Times New Roman"/>
            <w:b w:val="false"/>
            <w:i w:val="false"/>
            <w:color w:val="000000"/>
            <w:sz w:val="24"/>
          </w:rPr>
          <w:t>321.11</w:t>
        </w:r>
      </w:hyperlink>
      <w:r>
        <w:rPr>
          <w:rFonts w:ascii="Times New Roman" w:hAnsi="Times New Roman"/>
          <w:b w:val="false"/>
          <w:i w:val="false"/>
          <w:color w:val="000000"/>
          <w:sz w:val="24"/>
        </w:rPr>
        <w:t xml:space="preserve"> and 321.16A and this chapter.</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3">
        <w:r>
          <w:rPr>
            <w:rStyle w:val="Hyperlink"/>
            <w:rFonts w:ascii="Times New Roman" w:hAnsi="Times New Roman"/>
            <w:b w:val="false"/>
            <w:i w:val="false"/>
            <w:color w:val="000000"/>
            <w:sz w:val="24"/>
          </w:rPr>
          <w:t>321.16A</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Senate File 2088</w:t>
      </w:r>
      <w:r>
        <w:rPr>
          <w:rFonts w:ascii="Times New Roman" w:hAnsi="Times New Roman"/>
          <w:b w:val="false"/>
          <w:i w:val="false"/>
          <w:color w:val="000000"/>
          <w:sz w:val="24"/>
        </w:rPr>
        <w:t>, section 31.</w:t>
      </w:r>
    </w:p>
    <w:p>
      <w:pPr>
        <w:spacing w:before="0" w:after="0" w:line="480"/>
        <w:ind w:left="120"/>
        <w:jc w:val="left"/>
      </w:pPr>
      <w:bookmarkStart w:name="lastARC" w:id="2"/>
      <w:bookmarkEnd w:id="2"/>
    </w:p>
    <w:sectPr>
      <w:footerReference r:id="rId2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ryan.pell@iowadot.us" Type="http://schemas.openxmlformats.org/officeDocument/2006/relationships/hyperlink" Id="rId4"/>
    <Relationship TargetMode="External" Target="https://teams.microsoft.com/meet/277239974050030?p=N9b7oUw6LIlM26cUgy" Type="http://schemas.openxmlformats.org/officeDocument/2006/relationships/hyperlink" Id="rId5"/>
    <Relationship TargetMode="External" Target="https://teams.microsoft.com/meet/259387792524292?p=X0fhHYyJafPUaksq3d"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co/chapter/321.11.pdf" Type="http://schemas.openxmlformats.org/officeDocument/2006/relationships/hyperlink" Id="rId8"/>
    <Relationship TargetMode="External" Target="https://www.legis.iowa.gov/docs/ico/chapter/321.11.pdf" Type="http://schemas.openxmlformats.org/officeDocument/2006/relationships/hyperlink" Id="rId9"/>
    <Relationship TargetMode="External" Target="https://www.legis.iowa.gov/docs/ico/chapter/321.11.pdf" Type="http://schemas.openxmlformats.org/officeDocument/2006/relationships/hyperlink" Id="rId10"/>
    <Relationship TargetMode="External" Target="https://www.legis.iowa.gov/docs/iac/rule/761.301.3.pdf" Type="http://schemas.openxmlformats.org/officeDocument/2006/relationships/hyperlink" Id="rId11"/>
    <Relationship TargetMode="External" Target="https://www.legis.iowa.gov/docs/iac/rule/761.301.3.pdf" Type="http://schemas.openxmlformats.org/officeDocument/2006/relationships/hyperlink" Id="rId12"/>
    <Relationship TargetMode="External" Target="https://www.legis.iowa.gov/docs/iac/rule/761.301.3.pdf" Type="http://schemas.openxmlformats.org/officeDocument/2006/relationships/hyperlink" Id="rId13"/>
    <Relationship TargetMode="External" Target="https://www.legis.iowa.gov/docs/ico/chapter/321.10.pdf" Type="http://schemas.openxmlformats.org/officeDocument/2006/relationships/hyperlink" Id="rId14"/>
    <Relationship TargetMode="External" Target="https://www.legis.iowa.gov/docs/ico/chapter/321.11.pdf" Type="http://schemas.openxmlformats.org/officeDocument/2006/relationships/hyperlink" Id="rId15"/>
    <Relationship TargetMode="External" Target="https://www.legis.iowa.gov/docs/ico/chapter/321.11.pdf" Type="http://schemas.openxmlformats.org/officeDocument/2006/relationships/hyperlink" Id="rId16"/>
    <Relationship TargetMode="External" Target="https://www.legis.iowa.gov/docs/ico/chapter/321.13.pdf" Type="http://schemas.openxmlformats.org/officeDocument/2006/relationships/hyperlink" Id="rId17"/>
    <Relationship TargetMode="External" Target="https://www.legis.iowa.gov/docs/ico/chapter/321.11.pdf" Type="http://schemas.openxmlformats.org/officeDocument/2006/relationships/hyperlink" Id="rId18"/>
    <Relationship TargetMode="External" Target="https://www.legis.iowa.gov/docs/ico/chapter/321.13.pdf" Type="http://schemas.openxmlformats.org/officeDocument/2006/relationships/hyperlink" Id="rId19"/>
    <Relationship TargetMode="External" Target="https://www.legis.iowa.gov/docs/ico/chapter/321A.3.pdf" Type="http://schemas.openxmlformats.org/officeDocument/2006/relationships/hyperlink" Id="rId20"/>
    <Relationship TargetMode="External" Target="https://www.legis.iowa.gov/docs/ico/chapter/321.16A.pdf" Type="http://schemas.openxmlformats.org/officeDocument/2006/relationships/hyperlink" Id="rId21"/>
    <Relationship TargetMode="External" Target="https://www.legis.iowa.gov/docs/ico/chapter/321.11.pdf" Type="http://schemas.openxmlformats.org/officeDocument/2006/relationships/hyperlink" Id="rId22"/>
    <Relationship TargetMode="External" Target="https://www.legis.iowa.gov/docs/ico/chapter/321.16A.pdf" Type="http://schemas.openxmlformats.org/officeDocument/2006/relationships/hyperlink" Id="rId23"/>
    <Relationship Target="footer.xml" Type="http://schemas.openxmlformats.org/officeDocument/2006/relationships/footer"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