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1D" w:id="1"/>
    <w:p>
      <w:pPr>
        <w:spacing w:before="0" w:after="0" w:line="480"/>
        <w:ind w:left="120"/>
        <w:jc w:val="right"/>
      </w:pPr>
      <w:r>
        <w:rPr>
          <w:rFonts w:ascii="Times New Roman" w:hAnsi="Times New Roman"/>
          <w:b/>
          <w:i w:val="false"/>
          <w:color w:val="000000"/>
          <w:sz w:val="28"/>
        </w:rPr>
        <w:t>ARC 0501D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occupational therapy licensure compact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amends Chapter 804, “Licensure of Occupational Therapists and Occupational Therapy Assistants,”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148B and sections 147E.1, 272C.3 and 272C.10.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147, 148B and 272C and section 147E.1.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amendments define the requirements for participation in the Occupational Therapy Licensure Compact; add background check requirements for initial licensure, licensure by endorsement, and license reactivation for all occupational therapist (OT) and occupational therapist assistant (OTA) applicants; add a fee for the issuance of a compact privilege to practice in Iowa; and waive the compact privilege fee for an active duty military member or spouse.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9, 2025, as </w:t>
      </w:r>
      <w:r>
        <w:rPr>
          <w:rFonts w:ascii="Times New Roman" w:hAnsi="Times New Roman"/>
          <w:b/>
          <w:i w:val="false"/>
          <w:color w:val="000000"/>
          <w:sz w:val="24"/>
        </w:rPr>
        <w:t>ARC 9393C</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spacing w:before="0" w:after="0" w:line="480"/>
        <w:ind w:left="120"/>
        <w:jc w:val="both"/>
      </w:pPr>
      <w:r>
        <w:rPr>
          <w:rFonts w:ascii="Times New Roman" w:hAnsi="Times New Roman"/>
          <w:b w:val="false"/>
          <w:i w:val="false"/>
          <w:color w:val="000000"/>
          <w:sz w:val="24"/>
        </w:rPr>
        <w:t xml:space="preserve">    An Amended Notice of Intended Action was published in the Iowa Administrative Bulletin on January 21, 2026, as </w:t>
      </w:r>
      <w:r>
        <w:rPr>
          <w:rFonts w:ascii="Times New Roman" w:hAnsi="Times New Roman"/>
          <w:b/>
          <w:i w:val="false"/>
          <w:color w:val="000000"/>
          <w:sz w:val="24"/>
        </w:rPr>
        <w:t>ARC 9988C</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Public comments were received. Five individuals were present for the hearing.</w:t>
      </w:r>
    </w:p>
    <w:p>
      <w:pPr>
        <w:spacing w:before="0" w:after="0" w:line="480"/>
        <w:ind w:left="120"/>
        <w:jc w:val="both"/>
      </w:pPr>
      <w:r>
        <w:rPr>
          <w:rFonts w:ascii="Times New Roman" w:hAnsi="Times New Roman"/>
          <w:b w:val="false"/>
          <w:i w:val="false"/>
          <w:color w:val="000000"/>
          <w:sz w:val="24"/>
        </w:rPr>
        <w:t>    A member of the public supported the new rules and the beneficial impact for Iowa patients and providers, especially in rural areas</w:t>
      </w:r>
    </w:p>
    <w:p>
      <w:pPr>
        <w:spacing w:before="0" w:after="0" w:line="480"/>
        <w:ind w:left="120"/>
        <w:jc w:val="both"/>
      </w:pPr>
      <w:r>
        <w:rPr>
          <w:rFonts w:ascii="Times New Roman" w:hAnsi="Times New Roman"/>
          <w:b w:val="false"/>
          <w:i w:val="false"/>
          <w:color w:val="000000"/>
          <w:sz w:val="24"/>
        </w:rPr>
        <w:t>    Two members of the professional associations were opposed to mandating background checks for all licenses and cited concerns about licensure delays for new applicants and temporary license holders.</w:t>
      </w:r>
    </w:p>
    <w:p>
      <w:pPr>
        <w:spacing w:before="0" w:after="0" w:line="480"/>
        <w:ind w:left="120"/>
        <w:jc w:val="both"/>
      </w:pPr>
      <w:r>
        <w:rPr>
          <w:rFonts w:ascii="Times New Roman" w:hAnsi="Times New Roman"/>
          <w:b w:val="false"/>
          <w:i w:val="false"/>
          <w:color w:val="000000"/>
          <w:sz w:val="24"/>
        </w:rPr>
        <w:t>    After consideration of these comments and review of  Iowa Code section 147E.1, the Board of Physical and Occupational Therapy determined that the proposed rules are necessary and will not impact temporary license holders since temporary license holders are not compact-eligible. The Department has effective and efficient processes in place to expedite background checks and comply with the law. The public will be informed of this rule change, anticipated to take effect July 1, 2027, through public announcements via GovDelivery, during Board meetings, via the website and via email to licensees.</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“DCI” and </w:t>
      </w:r>
      <w:r>
        <w:rPr>
          <w:rFonts w:ascii="Times New Roman" w:hAnsi="Times New Roman"/>
          <w:b w:val="false"/>
          <w:i w:val="false"/>
          <w:color w:val="000000"/>
          <w:sz w:val="24"/>
        </w:rPr>
        <w:t>“FBI”</w:t>
      </w:r>
      <w:r>
        <w:rPr>
          <w:rFonts w:ascii="Times New Roman" w:hAnsi="Times New Roman"/>
          <w:b w:val="false"/>
          <w:i w:val="false"/>
          <w:color w:val="000000"/>
          <w:sz w:val="24"/>
        </w:rPr>
        <w:t xml:space="preserve"> in rule </w:t>
      </w:r>
      <w:r>
        <w:rPr>
          <w:rFonts w:ascii="Times New Roman" w:hAnsi="Times New Roman"/>
          <w:b/>
          <w:i w:val="false"/>
          <w:color w:val="000000"/>
          <w:sz w:val="24"/>
        </w:rPr>
        <w:t>481—804.1(147)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val="false"/>
          <w:color w:val="000000"/>
          <w:sz w:val="24"/>
        </w:rPr>
        <w:t> </w:t>
      </w:r>
      <w:r>
        <w:rPr>
          <w:rFonts w:ascii="Times New Roman" w:hAnsi="Times New Roman"/>
          <w:b w:val="false"/>
          <w:i w:val="false"/>
          <w:color w:val="000000"/>
          <w:sz w:val="24"/>
        </w:rPr>
        <w:t>means the Iowa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“FBI”</w:t>
      </w:r>
      <w:r>
        <w:rPr>
          <w:rFonts w:ascii="Times New Roman" w:hAnsi="Times New Roman"/>
          <w:b w:val="false"/>
          <w:i w:val="false"/>
          <w:color w:val="000000"/>
          <w:sz w:val="24"/>
        </w:rPr>
        <w:t> </w:t>
      </w:r>
      <w:r>
        <w:rPr>
          <w:rFonts w:ascii="Times New Roman" w:hAnsi="Times New Roman"/>
          <w:b w:val="false"/>
          <w:i w:val="false"/>
          <w:color w:val="000000"/>
          <w:sz w:val="24"/>
        </w:rPr>
        <w:t>means the Federal Bureau of Investigation.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804.2(3)</w:t>
      </w:r>
      <w:r>
        <w:rPr>
          <w:rFonts w:ascii="Times New Roman" w:hAnsi="Times New Roman"/>
          <w:b w:val="false"/>
          <w:i w:val="false"/>
          <w:color w:val="000000"/>
          <w:sz w:val="24"/>
        </w:rPr>
        <w:t xml:space="preserve"> to </w:t>
      </w:r>
      <w:r>
        <w:rPr>
          <w:rFonts w:ascii="Times New Roman" w:hAnsi="Times New Roman"/>
          <w:b/>
          <w:i w:val="false"/>
          <w:color w:val="000000"/>
          <w:sz w:val="24"/>
        </w:rPr>
        <w:t>804.2(4)</w:t>
      </w:r>
      <w:r>
        <w:rPr>
          <w:rFonts w:ascii="Times New Roman" w:hAnsi="Times New Roman"/>
          <w:b w:val="false"/>
          <w:i w:val="false"/>
          <w:color w:val="000000"/>
          <w:sz w:val="24"/>
        </w:rPr>
        <w:t xml:space="preserve"> as </w:t>
      </w:r>
      <w:r>
        <w:rPr>
          <w:rFonts w:ascii="Times New Roman" w:hAnsi="Times New Roman"/>
          <w:b/>
          <w:i w:val="false"/>
          <w:color w:val="000000"/>
          <w:sz w:val="24"/>
        </w:rPr>
        <w:t>804.2(4)</w:t>
      </w:r>
      <w:r>
        <w:rPr>
          <w:rFonts w:ascii="Times New Roman" w:hAnsi="Times New Roman"/>
          <w:b w:val="false"/>
          <w:i w:val="false"/>
          <w:color w:val="000000"/>
          <w:sz w:val="24"/>
        </w:rPr>
        <w:t xml:space="preserve"> to </w:t>
      </w:r>
      <w:r>
        <w:rPr>
          <w:rFonts w:ascii="Times New Roman" w:hAnsi="Times New Roman"/>
          <w:b/>
          <w:i w:val="false"/>
          <w:color w:val="000000"/>
          <w:sz w:val="24"/>
        </w:rPr>
        <w:t>804.2(5)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804.2(3)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804.2(3)</w:t>
      </w:r>
      <w:r>
        <w:rPr>
          <w:rFonts w:ascii="Times New Roman" w:hAnsi="Times New Roman"/>
          <w:b w:val="false"/>
          <w:i w:val="false"/>
          <w:color w:val="000000"/>
          <w:sz w:val="24"/>
        </w:rPr>
        <w:t> </w:t>
      </w:r>
      <w:r>
        <w:rPr>
          <w:rFonts w:ascii="Times New Roman" w:hAnsi="Times New Roman"/>
          <w:b w:val="false"/>
          <w:i w:val="false"/>
          <w:color w:val="000000"/>
          <w:sz w:val="24"/>
        </w:rPr>
        <w:t>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481—804.4(147)</w:t>
      </w:r>
      <w:r>
        <w:rPr>
          <w:rFonts w:ascii="Times New Roman" w:hAnsi="Times New Roman"/>
          <w:b w:val="false"/>
          <w:i w:val="false"/>
          <w:color w:val="000000"/>
          <w:sz w:val="24"/>
        </w:rPr>
        <w:t xml:space="preserve"> to </w:t>
      </w:r>
      <w:r>
        <w:rPr>
          <w:rFonts w:ascii="Times New Roman" w:hAnsi="Times New Roman"/>
          <w:b/>
          <w:i w:val="false"/>
          <w:color w:val="000000"/>
          <w:sz w:val="24"/>
        </w:rPr>
        <w:t>481—804.9(17A,147,272C)</w:t>
      </w:r>
      <w:r>
        <w:rPr>
          <w:rFonts w:ascii="Times New Roman" w:hAnsi="Times New Roman"/>
          <w:b w:val="false"/>
          <w:i w:val="false"/>
          <w:color w:val="000000"/>
          <w:sz w:val="24"/>
        </w:rPr>
        <w:t xml:space="preserve"> as </w:t>
      </w:r>
      <w:r>
        <w:rPr>
          <w:rFonts w:ascii="Times New Roman" w:hAnsi="Times New Roman"/>
          <w:b/>
          <w:i w:val="false"/>
          <w:color w:val="000000"/>
          <w:sz w:val="24"/>
        </w:rPr>
        <w:t>481—804.5(147)</w:t>
      </w:r>
      <w:r>
        <w:rPr>
          <w:rFonts w:ascii="Times New Roman" w:hAnsi="Times New Roman"/>
          <w:b w:val="false"/>
          <w:i w:val="false"/>
          <w:color w:val="000000"/>
          <w:sz w:val="24"/>
        </w:rPr>
        <w:t xml:space="preserve"> to </w:t>
      </w:r>
      <w:r>
        <w:rPr>
          <w:rFonts w:ascii="Times New Roman" w:hAnsi="Times New Roman"/>
          <w:b/>
          <w:i w:val="false"/>
          <w:color w:val="000000"/>
          <w:sz w:val="24"/>
        </w:rPr>
        <w:t>481—804.10(17A,147,272C)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481—804.4</w:t>
      </w:r>
      <w:r>
        <w:rPr>
          <w:rFonts w:ascii="Times New Roman" w:hAnsi="Times New Roman"/>
          <w:b w:val="false"/>
          <w:i w:val="false"/>
          <w:color w:val="000000"/>
          <w:sz w:val="24"/>
        </w:rPr>
        <w:t>(147E):</w:t>
      </w:r>
    </w:p>
    <w:p>
      <w:pPr>
        <w:spacing w:before="0" w:after="0" w:line="480"/>
        <w:ind w:left="120"/>
        <w:jc w:val="both"/>
      </w:pPr>
      <w:r>
        <w:rPr>
          <w:rFonts w:ascii="Times New Roman" w:hAnsi="Times New Roman"/>
          <w:b/>
          <w:i w:val="false"/>
          <w:color w:val="000000"/>
          <w:sz w:val="24"/>
        </w:rPr>
        <w:t>481—804.4</w:t>
      </w:r>
      <w:r>
        <w:rPr>
          <w:rFonts w:ascii="Times New Roman" w:hAnsi="Times New Roman"/>
          <w:b/>
          <w:i w:val="false"/>
          <w:color w:val="000000"/>
          <w:sz w:val="24"/>
        </w:rPr>
        <w:t xml:space="preserve">(147E) </w:t>
      </w:r>
      <w:r>
        <w:rPr>
          <w:rFonts w:ascii="Times New Roman" w:hAnsi="Times New Roman"/>
          <w:b/>
          <w:i w:val="false"/>
          <w:color w:val="000000"/>
          <w:sz w:val="24"/>
        </w:rPr>
        <w:t xml:space="preserve">Occupational therapy licensure compact. </w:t>
      </w:r>
      <w:r>
        <w:rPr>
          <w:rFonts w:ascii="Times New Roman" w:hAnsi="Times New Roman"/>
          <w:b w:val="false"/>
          <w:i w:val="false"/>
          <w:color w:val="000000"/>
          <w:sz w:val="24"/>
        </w:rPr>
        <w:t xml:space="preserve">The rules of the occupational therapy compact commission are incorporated by reference. An occupational therapist or occupational therapist assistant may engage in the practice of occupational therapy in Iowa without a license issued by the board if the individual has a current compact privilege to practice in Iowa issued by the occupational therapy compact commission. The state fee for issuance of a compact privilege to practice in Iowa shall be $60, which will be collected by the occupational therapy compact commission. The state fee for issuance of a compact privilege to practice in Iowa shall be waived for an active duty military member or spouse of an individual who is an active duty military member. An occupational therapist or occupational therapist assistant who practices occupational therapy in Iowa using a compact privilege is subject to the rules governing licensees in this chapter and in 481—Chapters </w:t>
      </w:r>
      <w:hyperlink r:id="rId5">
        <w:r>
          <w:rPr>
            <w:rStyle w:val="Hyperlink"/>
            <w:rFonts w:ascii="Times New Roman" w:hAnsi="Times New Roman"/>
            <w:b w:val="false"/>
            <w:i w:val="false"/>
            <w:color w:val="000000"/>
            <w:sz w:val="24"/>
          </w:rPr>
          <w:t>806</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807.</w:t>
        </w:r>
      </w:hyperlink>
      <w:r>
        <w:rPr>
          <w:rFonts w:ascii="Times New Roman" w:hAnsi="Times New Roman"/>
          <w:b w:val="false"/>
          <w:i w:val="false"/>
          <w:color w:val="000000"/>
          <w:sz w:val="24"/>
        </w:rPr>
        <w:t xml:space="preserve"> Complaints, investigations, and disciplinary proceedings involving a compact privilege shall be handled in accordance with Iowa Code chapters </w:t>
      </w:r>
      <w:hyperlink r:id="rId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272C</w:t>
        </w:r>
      </w:hyperlink>
      <w:r>
        <w:rPr>
          <w:rFonts w:ascii="Times New Roman" w:hAnsi="Times New Roman"/>
          <w:b w:val="false"/>
          <w:i w:val="false"/>
          <w:color w:val="000000"/>
          <w:sz w:val="24"/>
        </w:rPr>
        <w:t xml:space="preserve">; Iowa Code section </w:t>
      </w:r>
      <w:hyperlink r:id="rId9">
        <w:r>
          <w:rPr>
            <w:rStyle w:val="Hyperlink"/>
            <w:rFonts w:ascii="Times New Roman" w:hAnsi="Times New Roman"/>
            <w:b w:val="false"/>
            <w:i w:val="false"/>
            <w:color w:val="000000"/>
            <w:sz w:val="24"/>
          </w:rPr>
          <w:t>147E.1</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481—Chapters 503</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147E.1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804.8(9)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804.8(9)</w:t>
      </w:r>
      <w:r>
        <w:rPr>
          <w:rFonts w:ascii="Times New Roman" w:hAnsi="Times New Roman"/>
          <w:b w:val="false"/>
          <w:i w:val="false"/>
          <w:color w:val="000000"/>
          <w:sz w:val="24"/>
        </w:rPr>
        <w:t> </w:t>
      </w:r>
      <w:r>
        <w:rPr>
          <w:rFonts w:ascii="Times New Roman" w:hAnsi="Times New Roman"/>
          <w:b w:val="false"/>
          <w:i w:val="false"/>
          <w:color w:val="000000"/>
          <w:sz w:val="24"/>
        </w:rPr>
        <w:t>Compact eligibility review. This rule applies to licensees who were licensed prior to adoption of this rule. In order to complete the compact eligibility review, at or prior to the next renewal, a licensee must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804.9(4)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804.9(4)</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481—804.10(17A,147,272C)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481—804.10</w:t>
      </w:r>
      <w:r>
        <w:rPr>
          <w:rFonts w:ascii="Times New Roman" w:hAnsi="Times New Roman"/>
          <w:b/>
          <w:i w:val="false"/>
          <w:color w:val="000000"/>
          <w:sz w:val="24"/>
        </w:rPr>
        <w:t xml:space="preserve">(17A,147,272C) </w:t>
      </w:r>
      <w:r>
        <w:rPr>
          <w:rFonts w:ascii="Times New Roman" w:hAnsi="Times New Roman"/>
          <w:b/>
          <w:i w:val="false"/>
          <w:color w:val="000000"/>
          <w:sz w:val="24"/>
        </w:rPr>
        <w:t xml:space="preserve">License reinstatement. </w:t>
      </w:r>
      <w:r>
        <w:rPr>
          <w:rFonts w:ascii="Times New Roman" w:hAnsi="Times New Roman"/>
          <w:b w:val="false"/>
          <w:i w:val="false"/>
          <w:color w:val="000000"/>
          <w:sz w:val="24"/>
        </w:rPr>
        <w:t xml:space="preserve">A licensee whose license has been revoked, suspended, or voluntarily surrendered must apply for and receive reinstatement of the license in accordance with rule </w:t>
      </w:r>
      <w:hyperlink r:id="rId14">
        <w:r>
          <w:rPr>
            <w:rStyle w:val="Hyperlink"/>
            <w:rFonts w:ascii="Times New Roman" w:hAnsi="Times New Roman"/>
            <w:b w:val="false"/>
            <w:i w:val="false"/>
            <w:color w:val="000000"/>
            <w:sz w:val="24"/>
          </w:rPr>
          <w:t>481—506.31</w:t>
        </w:r>
      </w:hyperlink>
      <w:r>
        <w:rPr>
          <w:rFonts w:ascii="Times New Roman" w:hAnsi="Times New Roman"/>
          <w:b w:val="false"/>
          <w:i w:val="false"/>
          <w:color w:val="000000"/>
          <w:sz w:val="24"/>
        </w:rPr>
        <w:t xml:space="preserve">(272C) and must apply for and be granted reactivation of the license in accordance with rule </w:t>
      </w:r>
      <w:hyperlink r:id="rId15">
        <w:r>
          <w:rPr>
            <w:rStyle w:val="Hyperlink"/>
            <w:rFonts w:ascii="Times New Roman" w:hAnsi="Times New Roman"/>
            <w:b w:val="false"/>
            <w:i w:val="false"/>
            <w:strike/>
            <w:color w:val="000000"/>
            <w:sz w:val="24"/>
          </w:rPr>
          <w:t>481—804.8</w:t>
        </w:r>
      </w:hyperlink>
      <w:r>
        <w:rPr>
          <w:rFonts w:ascii="Times New Roman" w:hAnsi="Times New Roman"/>
          <w:b w:val="false"/>
          <w:i w:val="false"/>
          <w:strike/>
          <w:color w:val="000000"/>
          <w:sz w:val="24"/>
        </w:rPr>
        <w:t>(17A,147,272C)</w:t>
      </w:r>
      <w:r>
        <w:rPr>
          <w:rFonts w:ascii="Times New Roman" w:hAnsi="Times New Roman"/>
          <w:b w:val="false"/>
          <w:i w:val="false"/>
          <w:color w:val="000000"/>
          <w:sz w:val="24"/>
          <w:u w:val="single"/>
        </w:rPr>
        <w:t> </w:t>
      </w:r>
      <w:hyperlink r:id="rId16">
        <w:r>
          <w:rPr>
            <w:rStyle w:val="Hyperlink"/>
            <w:rFonts w:ascii="Times New Roman" w:hAnsi="Times New Roman"/>
            <w:b w:val="false"/>
            <w:i w:val="false"/>
            <w:color w:val="000000"/>
            <w:sz w:val="24"/>
            <w:u w:val="single"/>
          </w:rPr>
          <w:t>481—804.9(17A,147,272C)</w:t>
        </w:r>
      </w:hyperlink>
      <w:r>
        <w:rPr>
          <w:rFonts w:ascii="Times New Roman" w:hAnsi="Times New Roman"/>
          <w:b w:val="false"/>
          <w:i w:val="false"/>
          <w:color w:val="000000"/>
          <w:sz w:val="24"/>
        </w:rPr>
        <w:t xml:space="preserve"> prior to practicing occupational therapy in this state.</w:t>
      </w:r>
    </w:p>
    <w:p>
      <w:pPr>
        <w:spacing w:before="0" w:after="0" w:line="240"/>
        <w:ind w:left="120"/>
        <w:jc w:val="both"/>
      </w:pPr>
    </w:p>
    <w:p>
      <w:pPr>
        <w:spacing w:before="0" w:after="0" w:line="480"/>
        <w:ind w:left="120"/>
        <w:jc w:val="center"/>
      </w:pPr>
      <w:r>
        <w:rPr>
          <w:rFonts w:ascii="Times New Roman" w:hAnsi="Times New Roman"/>
          <w:b w:val="false"/>
          <w:i w:val="false"/>
          <w:color w:val="000000"/>
          <w:sz w:val="24"/>
        </w:rPr>
        <w:t>[Filed 7/27/26, effective 7/1/27]</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81.806.pdf" Type="http://schemas.openxmlformats.org/officeDocument/2006/relationships/hyperlink" Id="rId5"/>
    <Relationship TargetMode="External" Target="https://www.legis.iowa.gov/docs/iac/chapter/481.807.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7E.1.pdf" Type="http://schemas.openxmlformats.org/officeDocument/2006/relationships/hyperlink" Id="rId9"/>
    <Relationship TargetMode="External" Target="https://www.legis.iowa.gov/docs/iac/chapter/481.503.pdf" Type="http://schemas.openxmlformats.org/officeDocument/2006/relationships/hyperlink" Id="rId10"/>
    <Relationship TargetMode="External" Target="https://www.legis.iowa.gov/docs/iac/chapter/481.504.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147E.1.pdf" Type="http://schemas.openxmlformats.org/officeDocument/2006/relationships/hyperlink" Id="rId13"/>
    <Relationship TargetMode="External" Target="https://www.legis.iowa.gov/docs/iac/rule/481.506.31.pdf" Type="http://schemas.openxmlformats.org/officeDocument/2006/relationships/hyperlink" Id="rId14"/>
    <Relationship TargetMode="External" Target="https://www.legis.iowa.gov/docs/iac/rule/481.804.8.pdf" Type="http://schemas.openxmlformats.org/officeDocument/2006/relationships/hyperlink" Id="rId15"/>
    <Relationship TargetMode="External" Target="https://www.legis.iowa.gov/docs/iac/rule/481.804.9.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