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8D" w:id="1"/>
    <w:p>
      <w:pPr>
        <w:spacing w:before="0" w:after="0" w:line="480"/>
        <w:ind w:left="120"/>
        <w:jc w:val="right"/>
      </w:pPr>
      <w:r>
        <w:rPr>
          <w:rFonts w:ascii="Times New Roman" w:hAnsi="Times New Roman"/>
          <w:b/>
          <w:i w:val="false"/>
          <w:color w:val="000000"/>
          <w:sz w:val="28"/>
        </w:rPr>
        <w:t>ARC 0498D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weatherization</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adopts new Chapter 63, “Weatherization,”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216A.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216A, PL 94-385, and PL 98-558.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outlines the Department’s administration of the Weatherization Assistance Program (WAP). The purpose of the program is to reduce heating and cooling costs for low-income households, particularly those with elderly members, persons with disabilities, or young children, by improving the energy efficiency of their homes while ensuring their health and safety.</w:t>
      </w:r>
    </w:p>
    <w:p>
      <w:pPr>
        <w:spacing w:before="0" w:after="0" w:line="480"/>
        <w:ind w:left="120"/>
        <w:jc w:val="both"/>
      </w:pPr>
      <w:r>
        <w:rPr>
          <w:rFonts w:ascii="Times New Roman" w:hAnsi="Times New Roman"/>
          <w:b w:val="false"/>
          <w:i w:val="false"/>
          <w:color w:val="000000"/>
          <w:sz w:val="24"/>
        </w:rPr>
        <w:t>    This chapter underwent a Red Tape Review pursuant to Executive Order 10. As a result of the review, the Department eliminated redundant information and restrictive terms and added clarifying information and dates certain. The Department also standardized the appeals procedure to the Department’s uniform chapter on contested cases. The Department is concurrently rescinding 421—Chapter 23 (</w:t>
      </w:r>
      <w:r>
        <w:rPr>
          <w:rFonts w:ascii="Times New Roman" w:hAnsi="Times New Roman"/>
          <w:b/>
          <w:i w:val="false"/>
          <w:color w:val="000000"/>
          <w:sz w:val="24"/>
        </w:rPr>
        <w:t>ARC 0495D</w:t>
      </w:r>
      <w:r>
        <w:rPr>
          <w:rFonts w:ascii="Times New Roman" w:hAnsi="Times New Roman"/>
          <w:b w:val="false"/>
          <w:i w:val="false"/>
          <w:color w:val="000000"/>
          <w:sz w:val="24"/>
        </w:rPr>
        <w:t>, IAB 8/19/26), which is the legacy Department of Human Rights chapter that implements the WAP.</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24, 2026, as </w:t>
      </w:r>
      <w:r>
        <w:rPr>
          <w:rFonts w:ascii="Times New Roman" w:hAnsi="Times New Roman"/>
          <w:b/>
          <w:i w:val="false"/>
          <w:color w:val="000000"/>
          <w:sz w:val="24"/>
        </w:rPr>
        <w:t>ARC 0384D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October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63</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63</w:t>
      </w:r>
    </w:p>
    <w:p>
      <w:pPr>
        <w:spacing w:before="0" w:after="0" w:line="480"/>
        <w:ind w:left="120"/>
        <w:jc w:val="center"/>
      </w:pPr>
      <w:r>
        <w:rPr>
          <w:rFonts w:ascii="Times New Roman" w:hAnsi="Times New Roman"/>
          <w:b w:val="false"/>
          <w:i w:val="false"/>
          <w:color w:val="000000"/>
          <w:sz w:val="21"/>
        </w:rPr>
        <w:t>WEATHERIZATION</w:t>
      </w:r>
    </w:p>
    <w:p>
      <w:pPr>
        <w:spacing w:before="0" w:after="0" w:line="480"/>
        <w:ind w:left="120"/>
        <w:jc w:val="both"/>
      </w:pPr>
      <w:r>
        <w:rPr>
          <w:rFonts w:ascii="Times New Roman" w:hAnsi="Times New Roman"/>
          <w:b/>
          <w:i w:val="false"/>
          <w:color w:val="000000"/>
          <w:sz w:val="24"/>
        </w:rPr>
        <w:t>441—63.1</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Eligible households.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63.1(1)</w:t>
      </w:r>
      <w:r>
        <w:rPr>
          <w:rFonts w:ascii="Times New Roman" w:hAnsi="Times New Roman"/>
          <w:b w:val="false"/>
          <w:i w:val="false"/>
          <w:color w:val="000000"/>
          <w:sz w:val="24"/>
        </w:rPr>
        <w:t> </w:t>
      </w:r>
      <w:r>
        <w:rPr>
          <w:rFonts w:ascii="Times New Roman" w:hAnsi="Times New Roman"/>
          <w:b w:val="false"/>
          <w:i w:val="false"/>
          <w:color w:val="000000"/>
          <w:sz w:val="24"/>
        </w:rPr>
        <w:t>A household 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 A household occupying a dwelling unit is eligible for assistance under the weatherization assistance program if the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an annual income no higher than 200 percent of the federal poverty guidelines determined in accordance with criteria established by the Director of the Office of Management and Budget (OMB).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Is receiving supplemental security income (SSI) or family investment program (FIP) assistance, regardless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63.1(2)</w:t>
      </w:r>
      <w:r>
        <w:rPr>
          <w:rFonts w:ascii="Times New Roman" w:hAnsi="Times New Roman"/>
          <w:b w:val="false"/>
          <w:i w:val="false"/>
          <w:color w:val="000000"/>
          <w:sz w:val="24"/>
        </w:rPr>
        <w:t> </w:t>
      </w:r>
      <w:r>
        <w:rPr>
          <w:rFonts w:ascii="Times New Roman" w:hAnsi="Times New Roman"/>
          <w:b w:val="false"/>
          <w:i w:val="false"/>
          <w:color w:val="000000"/>
          <w:sz w:val="24"/>
        </w:rPr>
        <w:t>Household eligibility, including income verification, will be determined in accordance with the application requirements for the low-income home energy assistance program (LIHEAP), the application for which is considered a joint application. Household eligibility and prioritization for weatherization services are established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63.1(3)</w:t>
      </w:r>
      <w:r>
        <w:rPr>
          <w:rFonts w:ascii="Times New Roman" w:hAnsi="Times New Roman"/>
          <w:b w:val="false"/>
          <w:i w:val="false"/>
          <w:color w:val="000000"/>
          <w:sz w:val="24"/>
        </w:rPr>
        <w:t> </w:t>
      </w:r>
      <w:r>
        <w:rPr>
          <w:rFonts w:ascii="Times New Roman" w:hAnsi="Times New Roman"/>
          <w:b w:val="false"/>
          <w:i w:val="false"/>
          <w:color w:val="000000"/>
          <w:sz w:val="24"/>
        </w:rPr>
        <w:t>Both owner-occupied and renter-occupied dwellings may be weatherized. However, rental units occupied by low-income residents shall be weatherized, providing benefits accrue primarily to the low-income tenants, rents are not raised because of the weatherization, and no undue or excessive enhancement occurs to the value of the dwelling unit. Landlords of rental dwellings must agree to have their dwellings weatherized before assistance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63.1(4)</w:t>
      </w:r>
      <w:r>
        <w:rPr>
          <w:rFonts w:ascii="Times New Roman" w:hAnsi="Times New Roman"/>
          <w:b w:val="false"/>
          <w:i w:val="false"/>
          <w:color w:val="000000"/>
          <w:sz w:val="24"/>
        </w:rPr>
        <w:t> </w:t>
      </w:r>
      <w:r>
        <w:rPr>
          <w:rFonts w:ascii="Times New Roman" w:hAnsi="Times New Roman"/>
          <w:b w:val="false"/>
          <w:i w:val="false"/>
          <w:color w:val="000000"/>
          <w:sz w:val="24"/>
        </w:rPr>
        <w:t>Provision of all weatherization program services are contingent upon the availability of funds.</w:t>
      </w:r>
    </w:p>
    <w:p>
      <w:pPr>
        <w:spacing w:before="0" w:after="0" w:line="480"/>
        <w:ind w:left="120"/>
        <w:jc w:val="both"/>
      </w:pPr>
      <w:r>
        <w:rPr>
          <w:rFonts w:ascii="Times New Roman" w:hAnsi="Times New Roman"/>
          <w:b/>
          <w:i w:val="false"/>
          <w:color w:val="000000"/>
          <w:sz w:val="24"/>
        </w:rPr>
        <w:t>441—63.2</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Local administering agencies (LAAs).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63.2(1)</w:t>
      </w:r>
      <w:r>
        <w:rPr>
          <w:rFonts w:ascii="Times New Roman" w:hAnsi="Times New Roman"/>
          <w:b w:val="false"/>
          <w:i w:val="false"/>
          <w:color w:val="000000"/>
          <w:sz w:val="24"/>
        </w:rPr>
        <w:t> </w:t>
      </w:r>
      <w:r>
        <w:rPr>
          <w:rFonts w:ascii="Times New Roman" w:hAnsi="Times New Roman"/>
          <w:b w:val="false"/>
          <w:i w:val="false"/>
          <w:color w:val="000000"/>
          <w:sz w:val="24"/>
        </w:rPr>
        <w:t>The department will administer the program by utilizing community action agencies (CAAs) or their approved subcontractors or other public or nonprofit entities that have shown the ability or have the capacity to undertake a timely and effective weatherization program. Program funds shall be used for the purchase and installation of weatherization materials, training and technical assistance, administration, and supportive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63.2(2)</w:t>
      </w:r>
      <w:r>
        <w:rPr>
          <w:rFonts w:ascii="Times New Roman" w:hAnsi="Times New Roman"/>
          <w:b w:val="false"/>
          <w:i w:val="false"/>
          <w:color w:val="000000"/>
          <w:sz w:val="24"/>
        </w:rPr>
        <w:t> </w:t>
      </w:r>
      <w:r>
        <w:rPr>
          <w:rFonts w:ascii="Times New Roman" w:hAnsi="Times New Roman"/>
          <w:b w:val="false"/>
          <w:i w:val="false"/>
          <w:color w:val="000000"/>
          <w:sz w:val="24"/>
        </w:rPr>
        <w:t>LAAs will be required to sign a contractual agreement that specifies required and allowable program activities, including U.S. Department of Energy regulations, special conditions, participant forms, program and fiscal reporting, and audit requirements.</w:t>
      </w:r>
    </w:p>
    <w:p>
      <w:pPr>
        <w:spacing w:before="210" w:after="0" w:line="480"/>
        <w:ind w:left="120"/>
        <w:jc w:val="both"/>
      </w:pPr>
      <w:r>
        <w:rPr>
          <w:rFonts w:ascii="Times New Roman" w:hAnsi="Times New Roman"/>
          <w:b/>
          <w:i w:val="false"/>
          <w:color w:val="000000"/>
          <w:sz w:val="24"/>
        </w:rPr>
        <w:t>441—63.3</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Application period. </w:t>
      </w:r>
      <w:r>
        <w:rPr>
          <w:rFonts w:ascii="Times New Roman" w:hAnsi="Times New Roman"/>
          <w:b w:val="false"/>
          <w:i w:val="false"/>
          <w:color w:val="000000"/>
          <w:sz w:val="24"/>
        </w:rPr>
        <w:t>Households may apply for weatherization assistance between October 1, or the first working day of October, and September 30, or the last working day of September, as defined in the annual Weatherization Assistance Program State Plan as amended to August 1, 2026.</w:t>
      </w:r>
    </w:p>
    <w:p>
      <w:pPr>
        <w:spacing w:before="0" w:after="0" w:line="480"/>
        <w:ind w:left="120"/>
        <w:jc w:val="both"/>
      </w:pPr>
      <w:r>
        <w:rPr>
          <w:rFonts w:ascii="Times New Roman" w:hAnsi="Times New Roman"/>
          <w:b/>
          <w:i w:val="false"/>
          <w:color w:val="000000"/>
          <w:sz w:val="24"/>
        </w:rPr>
        <w:t>441—63.4</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63.4(1)</w:t>
      </w:r>
      <w:r>
        <w:rPr>
          <w:rFonts w:ascii="Times New Roman" w:hAnsi="Times New Roman"/>
          <w:b w:val="false"/>
          <w:i w:val="false"/>
          <w:color w:val="000000"/>
          <w:sz w:val="24"/>
        </w:rPr>
        <w:t> </w:t>
      </w:r>
      <w:r>
        <w:rPr>
          <w:rFonts w:ascii="Times New Roman" w:hAnsi="Times New Roman"/>
          <w:b w:val="false"/>
          <w:i/>
          <w:color w:val="000000"/>
          <w:sz w:val="24"/>
        </w:rPr>
        <w:t xml:space="preserve">Duplicate and fraudulent payment control. </w:t>
      </w:r>
      <w:r>
        <w:rPr>
          <w:rFonts w:ascii="Times New Roman" w:hAnsi="Times New Roman"/>
          <w:b w:val="false"/>
          <w:i w:val="false"/>
          <w:color w:val="000000"/>
          <w:sz w:val="24"/>
        </w:rPr>
        <w:t>Each LAA is required to provide a system to monitor and prevent possible duplicate and other fraudulent applications and payments. Duplication cross-checks shall be based on the unique client or vendor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63.4(2)</w:t>
      </w:r>
      <w:r>
        <w:rPr>
          <w:rFonts w:ascii="Times New Roman" w:hAnsi="Times New Roman"/>
          <w:b w:val="false"/>
          <w:i w:val="false"/>
          <w:color w:val="000000"/>
          <w:sz w:val="24"/>
        </w:rPr>
        <w:t> </w:t>
      </w:r>
      <w:r>
        <w:rPr>
          <w:rFonts w:ascii="Times New Roman" w:hAnsi="Times New Roman"/>
          <w:b w:val="false"/>
          <w:i/>
          <w:color w:val="000000"/>
          <w:sz w:val="24"/>
        </w:rPr>
        <w:t xml:space="preserve">Referrals. </w:t>
      </w:r>
      <w:r>
        <w:rPr>
          <w:rFonts w:ascii="Times New Roman" w:hAnsi="Times New Roman"/>
          <w:b w:val="false"/>
          <w:i w:val="false"/>
          <w:color w:val="000000"/>
          <w:sz w:val="24"/>
        </w:rPr>
        <w:t>Each LAA is required to refer all suspected cases of fraud, including duplicate payments, overpayments, and fraudulent statements on applications, to the department for investigation.</w:t>
      </w:r>
    </w:p>
    <w:p>
      <w:pPr>
        <w:spacing w:before="0" w:after="0" w:line="480"/>
        <w:ind w:left="120"/>
        <w:jc w:val="both"/>
      </w:pPr>
      <w:r>
        <w:rPr>
          <w:rFonts w:ascii="Times New Roman" w:hAnsi="Times New Roman"/>
          <w:b/>
          <w:i w:val="false"/>
          <w:color w:val="000000"/>
          <w:sz w:val="24"/>
        </w:rPr>
        <w:t>441—63.5</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Grievances and appeals.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63.5(1)</w:t>
      </w:r>
      <w:r>
        <w:rPr>
          <w:rFonts w:ascii="Times New Roman" w:hAnsi="Times New Roman"/>
          <w:b w:val="false"/>
          <w:i w:val="false"/>
          <w:color w:val="000000"/>
          <w:sz w:val="24"/>
        </w:rPr>
        <w:t> </w:t>
      </w:r>
      <w:r>
        <w:rPr>
          <w:rFonts w:ascii="Times New Roman" w:hAnsi="Times New Roman"/>
          <w:b w:val="false"/>
          <w:i w:val="false"/>
          <w:color w:val="000000"/>
          <w:sz w:val="24"/>
        </w:rPr>
        <w:t>Each LAA shall have grievance policies and procedures approved by the department for nonappealable items, including quality or extent of work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63.5(2)</w:t>
      </w:r>
      <w:r>
        <w:rPr>
          <w:rFonts w:ascii="Times New Roman" w:hAnsi="Times New Roman"/>
          <w:b w:val="false"/>
          <w:i w:val="false"/>
          <w:color w:val="000000"/>
          <w:sz w:val="24"/>
        </w:rPr>
        <w:t> </w:t>
      </w:r>
      <w:r>
        <w:rPr>
          <w:rFonts w:ascii="Times New Roman" w:hAnsi="Times New Roman"/>
          <w:b w:val="false"/>
          <w:i w:val="false"/>
          <w:color w:val="000000"/>
          <w:sz w:val="24"/>
        </w:rPr>
        <w:t xml:space="preserve">Items that are appealable to the department pursuant to </w:t>
      </w:r>
      <w:hyperlink r:id="rId5">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that have been denied for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Weatherization work that is delayed or postponed for extenuating circumstances. The LAA must document the reasons for the delay of services and inform the client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Quality or completeness of work, if the LAA has exhausted its grievance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LAA contractors and subcontractors that have exhausted the grievance process.</w:t>
      </w:r>
    </w:p>
    <w:p>
      <w:pPr>
        <w:spacing w:before="210" w:after="0" w:line="480"/>
        <w:ind w:left="120"/>
        <w:jc w:val="both"/>
      </w:pPr>
      <w:r>
        <w:rPr>
          <w:rFonts w:ascii="Times New Roman" w:hAnsi="Times New Roman"/>
          <w:b/>
          <w:i w:val="false"/>
          <w:color w:val="000000"/>
          <w:sz w:val="24"/>
        </w:rPr>
        <w:t>441—63.6</w:t>
      </w:r>
      <w:r>
        <w:rPr>
          <w:rFonts w:ascii="Times New Roman" w:hAnsi="Times New Roman"/>
          <w:b/>
          <w:i w:val="false"/>
          <w:color w:val="000000"/>
          <w:sz w:val="24"/>
        </w:rPr>
        <w:t xml:space="preserve">(216A,PL94-385,PL98-558)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Weatherization Assistance Program State Plan as amended to August 1, 2026, and Weatherization Assistance Program Policy and Procedures Manual as amended to August 1, 2026, are incorporated by reference as part of these rules. If any rule in this chapter conflicts with federal law or rule, the federal law or rule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6">
        <w:r>
          <w:rPr>
            <w:rStyle w:val="Hyperlink"/>
            <w:rFonts w:ascii="Times New Roman" w:hAnsi="Times New Roman"/>
            <w:b w:val="false"/>
            <w:i w:val="false"/>
            <w:color w:val="000000"/>
            <w:sz w:val="24"/>
          </w:rPr>
          <w:t>216A.99</w:t>
        </w:r>
      </w:hyperlink>
      <w:r>
        <w:rPr>
          <w:rFonts w:ascii="Times New Roman" w:hAnsi="Times New Roman"/>
          <w:b w:val="false"/>
          <w:i w:val="false"/>
          <w:color w:val="000000"/>
          <w:sz w:val="24"/>
        </w:rPr>
        <w:t>, PL 94-385 and PL 98-558.</w:t>
      </w:r>
    </w:p>
    <w:p>
      <w:pPr>
        <w:spacing w:before="0" w:after="0" w:line="480"/>
        <w:ind w:left="120"/>
        <w:jc w:val="center"/>
      </w:pPr>
      <w:r>
        <w:rPr>
          <w:rFonts w:ascii="Times New Roman" w:hAnsi="Times New Roman"/>
          <w:b w:val="false"/>
          <w:i w:val="false"/>
          <w:color w:val="000000"/>
          <w:sz w:val="24"/>
        </w:rPr>
        <w:t>[Filed 7/29/26, effective 10/1/26]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441.2506.pdf" Type="http://schemas.openxmlformats.org/officeDocument/2006/relationships/hyperlink" Id="rId5"/>
    <Relationship TargetMode="External" Target="https://www.legis.iowa.gov/docs/ico/chapter/216A.9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