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7D" w:id="1"/>
    <w:p>
      <w:pPr>
        <w:spacing w:before="0" w:after="0" w:line="480"/>
        <w:ind w:left="120"/>
        <w:jc w:val="right"/>
      </w:pPr>
      <w:r>
        <w:rPr>
          <w:rFonts w:ascii="Times New Roman" w:hAnsi="Times New Roman"/>
          <w:b/>
          <w:i w:val="false"/>
          <w:color w:val="000000"/>
          <w:sz w:val="28"/>
        </w:rPr>
        <w:t>ARC 0497D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low-income home energy assistance program</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adopts new Chapter 58, “Low-Income Home Energy Assistance Program (LIHEAP),”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PL 97-35, and PL 98-558.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describes the Department’s administration of LIHEAP. LIHEAP is designed to aid qualifying low-income Iowa households (homeowners and renters) in the payment of a portion of their residential heating costs for the winter heating season; to encourage regular utility payments; to promote energy awareness; and to encourage reduction of energy usage through energy efficiency, client education, and weatherization.</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removed redundant information and restrictive terms and added pertinent definitions and dates certain. The Department also standardized appeals language to refer to the Department’s uniform chapter on contested cases. The Department is concurrently rescinding 421—Chapter 22 (</w:t>
      </w:r>
      <w:r>
        <w:rPr>
          <w:rFonts w:ascii="Times New Roman" w:hAnsi="Times New Roman"/>
          <w:b/>
          <w:i w:val="false"/>
          <w:color w:val="000000"/>
          <w:sz w:val="24"/>
        </w:rPr>
        <w:t>ARC 0495D</w:t>
      </w:r>
      <w:r>
        <w:rPr>
          <w:rFonts w:ascii="Times New Roman" w:hAnsi="Times New Roman"/>
          <w:b w:val="false"/>
          <w:i w:val="false"/>
          <w:color w:val="000000"/>
          <w:sz w:val="24"/>
        </w:rPr>
        <w:t>, IAB 8/19/26), which is the legacy Department of Human Rights chapter that outlines LIHEAP.</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0383D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59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59</w:t>
      </w:r>
    </w:p>
    <w:p>
      <w:pPr>
        <w:spacing w:before="0" w:after="0" w:line="480"/>
        <w:ind w:left="120"/>
        <w:jc w:val="center"/>
      </w:pPr>
      <w:r>
        <w:rPr>
          <w:rFonts w:ascii="Times New Roman" w:hAnsi="Times New Roman"/>
          <w:b w:val="false"/>
          <w:i w:val="false"/>
          <w:color w:val="000000"/>
          <w:sz w:val="21"/>
        </w:rPr>
        <w:t>LOW-INCOME HOME ENERGY ASSISTANCE PROGRAM (LIHEAP)</w:t>
      </w:r>
    </w:p>
    <w:p>
      <w:pPr>
        <w:spacing w:before="0" w:after="0" w:line="480"/>
        <w:ind w:left="120"/>
        <w:jc w:val="both"/>
      </w:pPr>
      <w:r>
        <w:rPr>
          <w:rFonts w:ascii="Times New Roman" w:hAnsi="Times New Roman"/>
          <w:b/>
          <w:i w:val="false"/>
          <w:color w:val="000000"/>
          <w:sz w:val="24"/>
        </w:rPr>
        <w:t>441—59.1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“Assurance 16”</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provision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Sections 8621 through 8630 as amended to August 1, 2026, that provides low-income home energy assistance program (LIHEAP) subrecipients the option of spending no more than 5 percent of their LIHEAP funds on services that encourage and enable households to reduce their home energy needs and thereby the need for energy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“DHHS”</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“Energy crisis”</w:t>
      </w:r>
      <w:r>
        <w:rPr>
          <w:rFonts w:ascii="Times New Roman" w:hAnsi="Times New Roman"/>
          <w:b w:val="false"/>
          <w:i w:val="false"/>
          <w:color w:val="000000"/>
          <w:sz w:val="24"/>
        </w:rPr>
        <w:t> </w:t>
      </w:r>
      <w:r>
        <w:rPr>
          <w:rFonts w:ascii="Times New Roman" w:hAnsi="Times New Roman"/>
          <w:b w:val="false"/>
          <w:i w:val="false"/>
          <w:color w:val="000000"/>
          <w:sz w:val="24"/>
        </w:rPr>
        <w:t>means weather-related (including natural disasters) supply shortage emergencies or other household energy-related emergencies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Nonworking heating unit (there must be a heating unit present).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Temporary need for alternate shelter due to lack of energy or fuel source.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Disconnected from utility service.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Past-due amounts owed create the risk of disconnection or an empty liquid propane (LP) or fuel oil (FO) tank.</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LP tank 30 percent or less remaining.</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Window or portable air-conditioning unit or repair of existing central air unit, when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“LAA”</w:t>
      </w:r>
      <w:r>
        <w:rPr>
          <w:rFonts w:ascii="Times New Roman" w:hAnsi="Times New Roman"/>
          <w:b w:val="false"/>
          <w:i w:val="false"/>
          <w:color w:val="000000"/>
          <w:sz w:val="24"/>
        </w:rPr>
        <w:t> </w:t>
      </w:r>
      <w:r>
        <w:rPr>
          <w:rFonts w:ascii="Times New Roman" w:hAnsi="Times New Roman"/>
          <w:b w:val="false"/>
          <w:i w:val="false"/>
          <w:color w:val="000000"/>
          <w:sz w:val="24"/>
        </w:rPr>
        <w:t>means a local administering agency with which the department contracts to administer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“Manual”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“the manual”</w:t>
      </w:r>
      <w:r>
        <w:rPr>
          <w:rFonts w:ascii="Times New Roman" w:hAnsi="Times New Roman"/>
          <w:b w:val="false"/>
          <w:i w:val="false"/>
          <w:color w:val="000000"/>
          <w:sz w:val="24"/>
        </w:rPr>
        <w:t> </w:t>
      </w:r>
      <w:r>
        <w:rPr>
          <w:rFonts w:ascii="Times New Roman" w:hAnsi="Times New Roman"/>
          <w:b w:val="false"/>
          <w:i w:val="false"/>
          <w:color w:val="000000"/>
          <w:sz w:val="24"/>
        </w:rPr>
        <w:t>means the LIHEAP Policy and Procedures Manual that is available on the department’s website. All references herein are to those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plan”</w:t>
      </w:r>
      <w:r>
        <w:rPr>
          <w:rFonts w:ascii="Times New Roman" w:hAnsi="Times New Roman"/>
          <w:b w:val="false"/>
          <w:i w:val="false"/>
          <w:color w:val="000000"/>
          <w:sz w:val="24"/>
        </w:rPr>
        <w:t> </w:t>
      </w:r>
      <w:r>
        <w:rPr>
          <w:rFonts w:ascii="Times New Roman" w:hAnsi="Times New Roman"/>
          <w:b w:val="false"/>
          <w:i w:val="false"/>
          <w:color w:val="000000"/>
          <w:sz w:val="24"/>
        </w:rPr>
        <w:t>means the LIHEAP state plan that is available on the department’s website. All references herein are to those as amended to August 1, 2026.</w:t>
      </w:r>
    </w:p>
    <w:p>
      <w:pPr>
        <w:spacing w:before="0" w:after="0" w:line="480"/>
        <w:ind w:left="120"/>
        <w:jc w:val="both"/>
      </w:pPr>
      <w:r>
        <w:rPr>
          <w:rFonts w:ascii="Times New Roman" w:hAnsi="Times New Roman"/>
          <w:b/>
          <w:i w:val="false"/>
          <w:color w:val="000000"/>
          <w:sz w:val="24"/>
        </w:rPr>
        <w:t>441—59.2</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Household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w:t>
      </w:r>
      <w:r>
        <w:rPr>
          <w:rFonts w:ascii="Times New Roman" w:hAnsi="Times New Roman"/>
          <w:b w:val="false"/>
          <w:i w:val="false"/>
          <w:color w:val="000000"/>
          <w:sz w:val="24"/>
        </w:rPr>
        <w:t> </w:t>
      </w:r>
      <w:r>
        <w:rPr>
          <w:rFonts w:ascii="Times New Roman" w:hAnsi="Times New Roman"/>
          <w:b w:val="false"/>
          <w:i w:val="false"/>
          <w:color w:val="000000"/>
          <w:sz w:val="24"/>
        </w:rPr>
        <w:t>Households with incomes at or below the annually determined federal poverty guidelines, but not to exceed 150 percent of the guidelines, or an amount equal to 60 percent of the state median income for the state, according to DHHS, that are published annually in the Federal Register, may be eligible for assistance under LIHEAP. To receive benefits, an application must be made, eligibility must be determined, and program funds must be available before any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59.2(2)</w:t>
      </w:r>
      <w:r>
        <w:rPr>
          <w:rFonts w:ascii="Times New Roman" w:hAnsi="Times New Roman"/>
          <w:b w:val="false"/>
          <w:i w:val="false"/>
          <w:color w:val="000000"/>
          <w:sz w:val="24"/>
        </w:rPr>
        <w:t> </w:t>
      </w:r>
      <w:r>
        <w:rPr>
          <w:rFonts w:ascii="Times New Roman" w:hAnsi="Times New Roman"/>
          <w:b w:val="false"/>
          <w:i w:val="false"/>
          <w:color w:val="000000"/>
          <w:sz w:val="24"/>
        </w:rPr>
        <w:t>Proof of income eligibility is required as outlined in the manual. Any individual listed on a LIHEAP-approved application for the current fiscal year will not be listed on another application unless an exception is granted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59.2(3)</w:t>
      </w:r>
      <w:r>
        <w:rPr>
          <w:rFonts w:ascii="Times New Roman" w:hAnsi="Times New Roman"/>
          <w:b w:val="false"/>
          <w:i w:val="false"/>
          <w:color w:val="000000"/>
          <w:sz w:val="24"/>
        </w:rPr>
        <w:t> </w:t>
      </w:r>
      <w:r>
        <w:rPr>
          <w:rFonts w:ascii="Times New Roman" w:hAnsi="Times New Roman"/>
          <w:b w:val="false"/>
          <w:i w:val="false"/>
          <w:color w:val="000000"/>
          <w:sz w:val="24"/>
        </w:rPr>
        <w:t>Income criteria and guidelines are contained in the state plan and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59.2(4)</w:t>
      </w:r>
      <w:r>
        <w:rPr>
          <w:rFonts w:ascii="Times New Roman" w:hAnsi="Times New Roman"/>
          <w:b w:val="false"/>
          <w:i w:val="false"/>
          <w:color w:val="000000"/>
          <w:sz w:val="24"/>
        </w:rPr>
        <w:t> </w:t>
      </w:r>
      <w:r>
        <w:rPr>
          <w:rFonts w:ascii="Times New Roman" w:hAnsi="Times New Roman"/>
          <w:b w:val="false"/>
          <w:i w:val="false"/>
          <w:color w:val="000000"/>
          <w:sz w:val="24"/>
        </w:rPr>
        <w:t xml:space="preserve">All households applying for assistance under LIHEAP will simultaneously be making application for weatherization assistance, and </w:t>
      </w:r>
      <w:hyperlink r:id="rId5">
        <w:r>
          <w:rPr>
            <w:rStyle w:val="Hyperlink"/>
            <w:rFonts w:ascii="Times New Roman" w:hAnsi="Times New Roman"/>
            <w:b w:val="false"/>
            <w:i w:val="false"/>
            <w:color w:val="000000"/>
            <w:sz w:val="24"/>
          </w:rPr>
          <w:t>441—Chapter 63</w:t>
        </w:r>
      </w:hyperlink>
      <w:r>
        <w:rPr>
          <w:rFonts w:ascii="Times New Roman" w:hAnsi="Times New Roman"/>
          <w:b w:val="false"/>
          <w:i w:val="false"/>
          <w:color w:val="000000"/>
          <w:sz w:val="24"/>
        </w:rPr>
        <w:t xml:space="preserve"> will govern weatherization applications.</w:t>
      </w:r>
    </w:p>
    <w:p>
      <w:pPr>
        <w:spacing w:before="0" w:after="0" w:line="480"/>
        <w:ind w:left="120"/>
        <w:jc w:val="both"/>
      </w:pPr>
      <w:r>
        <w:rPr>
          <w:rFonts w:ascii="Times New Roman" w:hAnsi="Times New Roman"/>
          <w:b/>
          <w:i w:val="false"/>
          <w:color w:val="000000"/>
          <w:sz w:val="24"/>
        </w:rPr>
        <w:t>441—59.3</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59.3(1)</w:t>
      </w:r>
      <w:r>
        <w:rPr>
          <w:rFonts w:ascii="Times New Roman" w:hAnsi="Times New Roman"/>
          <w:b w:val="false"/>
          <w:i w:val="false"/>
          <w:color w:val="000000"/>
          <w:sz w:val="24"/>
        </w:rPr>
        <w:t> </w:t>
      </w:r>
      <w:r>
        <w:rPr>
          <w:rFonts w:ascii="Times New Roman" w:hAnsi="Times New Roman"/>
          <w:b w:val="false"/>
          <w:i w:val="false"/>
          <w:color w:val="000000"/>
          <w:sz w:val="24"/>
        </w:rPr>
        <w:t>The department shall administer the LIHEAP program by contracting with LAAs that meet program and fiscal guidelines as required by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LAA will conduct outreach activities to ensure that eligible households are made aware of the program. In addition to its normal outreach functions, each LAA will authorize its workers to take applications in an applicant’s home and other locations specified in the manual. A notice of the appeal and hearing procedure pursuant to </w:t>
      </w:r>
      <w:hyperlink r:id="rId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must be posted at each intake site, and a copy of the appeal and hearing procedure and any other state-required handouts must be given to each client at the time of application or determination.</w:t>
      </w:r>
    </w:p>
    <w:p>
      <w:pPr>
        <w:spacing w:before="210" w:after="0" w:line="480"/>
        <w:ind w:left="120"/>
        <w:jc w:val="both"/>
      </w:pPr>
      <w:r>
        <w:rPr>
          <w:rFonts w:ascii="Times New Roman" w:hAnsi="Times New Roman"/>
          <w:b/>
          <w:i w:val="false"/>
          <w:color w:val="000000"/>
          <w:sz w:val="24"/>
        </w:rPr>
        <w:t>441—59.4</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The application period for the program is between October 1, or the first working day of October, and April 30, or the last working day of April, or as defined in the manual.</w:t>
      </w:r>
    </w:p>
    <w:p>
      <w:pPr>
        <w:spacing w:before="0" w:after="0" w:line="480"/>
        <w:ind w:left="120"/>
        <w:jc w:val="both"/>
      </w:pPr>
      <w:r>
        <w:rPr>
          <w:rFonts w:ascii="Times New Roman" w:hAnsi="Times New Roman"/>
          <w:b/>
          <w:i w:val="false"/>
          <w:color w:val="000000"/>
          <w:sz w:val="24"/>
        </w:rPr>
        <w:t>441—59.5</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59.5(1)</w:t>
      </w:r>
      <w:r>
        <w:rPr>
          <w:rFonts w:ascii="Times New Roman" w:hAnsi="Times New Roman"/>
          <w:b w:val="false"/>
          <w:i w:val="false"/>
          <w:color w:val="000000"/>
          <w:sz w:val="24"/>
        </w:rPr>
        <w:t> </w:t>
      </w:r>
      <w:r>
        <w:rPr>
          <w:rFonts w:ascii="Times New Roman" w:hAnsi="Times New Roman"/>
          <w:b w:val="false"/>
          <w:i/>
          <w:color w:val="000000"/>
          <w:sz w:val="24"/>
        </w:rPr>
        <w:t xml:space="preserve">Types of payments. </w:t>
      </w:r>
      <w:r>
        <w:rPr>
          <w:rFonts w:ascii="Times New Roman" w:hAnsi="Times New Roman"/>
          <w:b w:val="false"/>
          <w:i w:val="false"/>
          <w:color w:val="000000"/>
          <w:sz w:val="24"/>
        </w:rPr>
        <w:t>The following types of energy assistance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Payments may be made to suppliers on behalf of eligible households. The client’s assistance shall remain as a credit on the client account until the program assistance is expended or the account is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Eligible households that pay an undesignated portion of the rent toward energy costs will receive assistance sent directly to the secondary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payments may be made to eligible households as outlined in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59.5(2)</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monitor, refer to the department, and prevent possible duplicate and other fraudulent applications and payments pursuant to the federal Office of Management and Budget guidance on the Payment Integrity Information Act of 2019 (PL 116-117) as amended to August 1, 2026, and the manual.</w:t>
      </w:r>
    </w:p>
    <w:p>
      <w:pPr>
        <w:spacing w:before="210" w:after="0" w:line="480"/>
        <w:ind w:left="120"/>
        <w:jc w:val="both"/>
      </w:pPr>
      <w:r>
        <w:rPr>
          <w:rFonts w:ascii="Times New Roman" w:hAnsi="Times New Roman"/>
          <w:b/>
          <w:i w:val="false"/>
          <w:color w:val="000000"/>
          <w:sz w:val="24"/>
        </w:rPr>
        <w:t>441—59.6</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Change in status. </w:t>
      </w:r>
      <w:r>
        <w:rPr>
          <w:rFonts w:ascii="Times New Roman" w:hAnsi="Times New Roman"/>
          <w:b w:val="false"/>
          <w:i w:val="false"/>
          <w:color w:val="000000"/>
          <w:sz w:val="24"/>
        </w:rPr>
        <w:t>The level of assistance for the program year will be determined based on the household’s circumstances at the time of approval. If a household moves, a household of one passes away, or a household moves to a different service territory, etc., after applying for the program, the process outlined in the manual is to be followed.</w:t>
      </w:r>
    </w:p>
    <w:p>
      <w:pPr>
        <w:spacing w:before="210" w:after="0" w:line="480"/>
        <w:ind w:left="120"/>
        <w:jc w:val="both"/>
      </w:pPr>
      <w:r>
        <w:rPr>
          <w:rFonts w:ascii="Times New Roman" w:hAnsi="Times New Roman"/>
          <w:b/>
          <w:i w:val="false"/>
          <w:color w:val="000000"/>
          <w:sz w:val="24"/>
        </w:rPr>
        <w:t>441—59.7</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Vendor agreement. </w:t>
      </w:r>
      <w:r>
        <w:rPr>
          <w:rFonts w:ascii="Times New Roman" w:hAnsi="Times New Roman"/>
          <w:b w:val="false"/>
          <w:i w:val="false"/>
          <w:color w:val="000000"/>
          <w:sz w:val="24"/>
        </w:rPr>
        <w:t>A signed utility vendor agreement must be on file with the LAA before payments may be made to the vendor. If a fuel supplier does not sign a vendor agreement, a direct payment may be made to the eligible applicant. In cases where a vendor has not complied with all provisions of the vendor agreement, the state may approve direct payments to clients as an alternative.</w:t>
      </w:r>
    </w:p>
    <w:p>
      <w:pPr>
        <w:spacing w:before="0" w:after="0" w:line="480"/>
        <w:ind w:left="120"/>
        <w:jc w:val="both"/>
      </w:pPr>
      <w:r>
        <w:rPr>
          <w:rFonts w:ascii="Times New Roman" w:hAnsi="Times New Roman"/>
          <w:b/>
          <w:i w:val="false"/>
          <w:color w:val="000000"/>
          <w:sz w:val="24"/>
        </w:rPr>
        <w:t>441—59.8</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Crisis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To be eligible for crisis assistance, a household must file an application, meet the income guidelines of LIHEAP, and meet the definition of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59.8(2)</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r>
        <w:rPr>
          <w:rFonts w:ascii="Times New Roman" w:hAnsi="Times New Roman"/>
          <w:b w:val="false"/>
          <w:i w:val="false"/>
          <w:color w:val="000000"/>
          <w:sz w:val="24"/>
        </w:rPr>
        <w:t>Each crisis application will be evaluated individually by the LAA, which shall determine the appropriate resolution and the amount of assistance to be provided as defined by the manual.</w:t>
      </w:r>
    </w:p>
    <w:p>
      <w:pPr>
        <w:spacing w:before="210" w:after="0" w:line="480"/>
        <w:ind w:left="120"/>
        <w:jc w:val="both"/>
      </w:pPr>
      <w:r>
        <w:rPr>
          <w:rFonts w:ascii="Times New Roman" w:hAnsi="Times New Roman"/>
          <w:b/>
          <w:i w:val="false"/>
          <w:color w:val="000000"/>
          <w:sz w:val="24"/>
        </w:rPr>
        <w:t>441—59.9</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Assurance 16 activities. </w:t>
      </w:r>
      <w:r>
        <w:rPr>
          <w:rFonts w:ascii="Times New Roman" w:hAnsi="Times New Roman"/>
          <w:b w:val="false"/>
          <w:i w:val="false"/>
          <w:color w:val="000000"/>
          <w:sz w:val="24"/>
        </w:rPr>
        <w:t>LIHEAP customer services that encourage and enable households to reduce their home energy needs, and thereby reduce their need for energy assistance, shall be provided as Assurance 16 activities as outlined in the manual.</w:t>
      </w:r>
    </w:p>
    <w:p>
      <w:pPr>
        <w:spacing w:before="0" w:after="0" w:line="480"/>
        <w:ind w:left="120"/>
        <w:jc w:val="both"/>
      </w:pPr>
      <w:r>
        <w:rPr>
          <w:rFonts w:ascii="Times New Roman" w:hAnsi="Times New Roman"/>
          <w:b/>
          <w:i w:val="false"/>
          <w:color w:val="000000"/>
          <w:sz w:val="24"/>
        </w:rPr>
        <w:t>441—59.10</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Grievances and appeals. </w:t>
      </w:r>
      <w:r>
        <w:rPr>
          <w:rFonts w:ascii="Times New Roman" w:hAnsi="Times New Roman"/>
          <w:b w:val="false"/>
          <w:i w:val="false"/>
          <w:color w:val="000000"/>
          <w:sz w:val="24"/>
        </w:rPr>
        <w:t>Each LAA shall have a grievance process and procedures approved by the department for nonappealable actions. The following appeal and hearing procedures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59.10(1)</w:t>
      </w:r>
      <w:r>
        <w:rPr>
          <w:rFonts w:ascii="Times New Roman" w:hAnsi="Times New Roman"/>
          <w:b w:val="false"/>
          <w:i w:val="false"/>
          <w:color w:val="000000"/>
          <w:sz w:val="24"/>
        </w:rPr>
        <w:t> </w:t>
      </w:r>
      <w:r>
        <w:rPr>
          <w:rFonts w:ascii="Times New Roman" w:hAnsi="Times New Roman"/>
          <w:b w:val="false"/>
          <w:i w:val="false"/>
          <w:color w:val="000000"/>
          <w:sz w:val="24"/>
        </w:rPr>
        <w:t>An applicant may initiate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application is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application is not acted upon within the required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benefit awarded is less than expected or less than previously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immediate or emergency support is refused or delayed beyond 48 hours or 18 hours for an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process appeals pursuant to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441—59.11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state plan, the manual, and assistance award criteria for the program are incorporated by reference as part of these rules. If any rule in this chapter conflicts with federal law or rule,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PL 97-35 and PL 98-558.</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63.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16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