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5D" w:id="1"/>
    <w:p>
      <w:pPr>
        <w:spacing w:before="0" w:after="0" w:line="480"/>
        <w:ind w:left="120"/>
        <w:jc w:val="right"/>
      </w:pPr>
      <w:r>
        <w:rPr>
          <w:rFonts w:ascii="Times New Roman" w:hAnsi="Times New Roman"/>
          <w:b/>
          <w:i w:val="false"/>
          <w:color w:val="000000"/>
          <w:sz w:val="28"/>
        </w:rPr>
        <w:t>ARC 0495D</w:t>
      </w:r>
    </w:p>
    <w:bookmarkEnd w:id="1"/>
    <w:p>
      <w:pPr>
        <w:pBdr>
          <w:top w:space="5"/>
        </w:pBdr>
        <w:spacing w:before="0" w:after="0" w:line="480"/>
        <w:ind w:left="120"/>
        <w:jc w:val="center"/>
      </w:pPr>
      <w:r>
        <w:rPr>
          <w:rFonts w:ascii="Times New Roman" w:hAnsi="Times New Roman"/>
          <w:b/>
          <w:i w:val="false"/>
          <w:color w:val="000000"/>
          <w:sz w:val="28"/>
        </w:rPr>
        <w:t>HUMAN RIGHTS DEPARTMENT[421]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rescission of chapters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 “Organization and Operations,” Chapter 20, “Functions of Division,” Chapter 21, “Community Services Block Grant (CSBG),” Chapter 22, “Low-Income Home Energy Assistance Program (LIHEAP),” Chapter 23, “Weatherization,” and Chapter 25, “Individual Development Account (IDA),”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216A and 541A.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2023 Iowa Acts, Senate File 514,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chapters in legacy agency [421] were under Red Tape Review in 2026. As part of that review and under the government realignment authorized by 2023 Iowa Acts, Senate File 514, these chapters are being rescinded. Some of the chapters are concurrently repromulgated under agency [441] (</w:t>
      </w:r>
      <w:r>
        <w:rPr>
          <w:rFonts w:ascii="Times New Roman" w:hAnsi="Times New Roman"/>
          <w:b/>
          <w:i w:val="false"/>
          <w:color w:val="000000"/>
          <w:sz w:val="24"/>
        </w:rPr>
        <w:t>ARCs 0496D</w:t>
      </w:r>
      <w:r>
        <w:rPr>
          <w:rFonts w:ascii="Times New Roman" w:hAnsi="Times New Roman"/>
          <w:b w:val="false"/>
          <w:i w:val="false"/>
          <w:color w:val="000000"/>
          <w:sz w:val="24"/>
        </w:rPr>
        <w:t xml:space="preserve">, </w:t>
      </w:r>
      <w:r>
        <w:rPr>
          <w:rFonts w:ascii="Times New Roman" w:hAnsi="Times New Roman"/>
          <w:b/>
          <w:i w:val="false"/>
          <w:color w:val="000000"/>
          <w:sz w:val="24"/>
        </w:rPr>
        <w:t>0497D</w:t>
      </w:r>
      <w:r>
        <w:rPr>
          <w:rFonts w:ascii="Times New Roman" w:hAnsi="Times New Roman"/>
          <w:b w:val="false"/>
          <w:i w:val="false"/>
          <w:color w:val="000000"/>
          <w:sz w:val="24"/>
        </w:rPr>
        <w:t xml:space="preserve">, </w:t>
      </w:r>
      <w:r>
        <w:rPr>
          <w:rFonts w:ascii="Times New Roman" w:hAnsi="Times New Roman"/>
          <w:b/>
          <w:i w:val="false"/>
          <w:color w:val="000000"/>
          <w:sz w:val="24"/>
        </w:rPr>
        <w:t>0498D</w:t>
      </w:r>
      <w:r>
        <w:rPr>
          <w:rFonts w:ascii="Times New Roman" w:hAnsi="Times New Roman"/>
          <w:b w:val="false"/>
          <w:i w:val="false"/>
          <w:color w:val="000000"/>
          <w:sz w:val="24"/>
        </w:rPr>
        <w:t xml:space="preserve">, and </w:t>
      </w:r>
      <w:r>
        <w:rPr>
          <w:rFonts w:ascii="Times New Roman" w:hAnsi="Times New Roman"/>
          <w:b/>
          <w:i w:val="false"/>
          <w:color w:val="000000"/>
          <w:sz w:val="24"/>
        </w:rPr>
        <w:t>0499D</w:t>
      </w:r>
      <w:r>
        <w:rPr>
          <w:rFonts w:ascii="Times New Roman" w:hAnsi="Times New Roman"/>
          <w:b w:val="false"/>
          <w:i w:val="false"/>
          <w:color w:val="000000"/>
          <w:sz w:val="24"/>
        </w:rPr>
        <w:t>, IAB 8/19/26).</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0382D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25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7/29/26, effective 10/1/26]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