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92D" w:id="1"/>
    <w:p>
      <w:pPr>
        <w:spacing w:before="0" w:after="0" w:line="480"/>
        <w:ind w:left="120"/>
        <w:jc w:val="right"/>
      </w:pPr>
      <w:r>
        <w:rPr>
          <w:rFonts w:ascii="Times New Roman" w:hAnsi="Times New Roman"/>
          <w:b/>
          <w:i w:val="false"/>
          <w:color w:val="000000"/>
          <w:sz w:val="28"/>
        </w:rPr>
        <w:t>ARC 0492D</w:t>
      </w:r>
    </w:p>
    <w:bookmarkEnd w:id="1"/>
    <w:p>
      <w:pPr>
        <w:pBdr>
          <w:top w:space="5"/>
        </w:pBdr>
        <w:spacing w:before="0" w:after="0" w:line="480"/>
        <w:ind w:left="120"/>
        <w:jc w:val="center"/>
      </w:pPr>
      <w:r>
        <w:rPr>
          <w:rFonts w:ascii="Times New Roman" w:hAnsi="Times New Roman"/>
          <w:b/>
          <w:i w:val="false"/>
          <w:color w:val="000000"/>
          <w:sz w:val="28"/>
        </w:rPr>
        <w:t>ENVIRONMENTAL PROTECTION COMMISSION[567]</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financial responsibility for underground storage tanks</w:t>
      </w:r>
    </w:p>
    <w:p>
      <w:pPr>
        <w:pBdr>
          <w:top w:space="5"/>
        </w:pBdr>
        <w:spacing w:before="0" w:after="0" w:line="480"/>
        <w:ind w:left="120"/>
        <w:jc w:val="both"/>
      </w:pPr>
      <w:r>
        <w:rPr>
          <w:rFonts w:ascii="Times New Roman" w:hAnsi="Times New Roman"/>
          <w:b w:val="false"/>
          <w:i w:val="false"/>
          <w:color w:val="000000"/>
          <w:sz w:val="24"/>
        </w:rPr>
        <w:t>    The Environmental Protection Commission (Commission) hereby rescinds Chapter 136, “Financial Responsibility for Underground Storage Tanks,” Iowa Administrative Code, and adopts a new Chapter 136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455B.474.</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455B and 40 CFR parts 280 and 281.</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xml:space="preserve">    Chapter 136 establishes financial responsibility requirements for owners and operators of petroleum underground storage tanks (USTs). </w:t>
      </w:r>
    </w:p>
    <w:p>
      <w:pPr>
        <w:spacing w:before="0" w:after="0" w:line="480"/>
        <w:ind w:left="120"/>
        <w:jc w:val="both"/>
      </w:pPr>
      <w:r>
        <w:rPr>
          <w:rFonts w:ascii="Times New Roman" w:hAnsi="Times New Roman"/>
          <w:b w:val="false"/>
          <w:i w:val="false"/>
          <w:color w:val="000000"/>
          <w:sz w:val="24"/>
        </w:rPr>
        <w:t>    The purpose of these rules is to ensure that owners and operators of petroleum USTs can demonstrate financial responsibility for taking corrective action and for compensating third parties for bodily injury and property damage caused by accidental releases arising from operation of petroleum USTs. Chapter 136 has been reviewed consistent with Executive Order 10. Unnecessary and obsolete rules have been removed, and updates and clarification have been made.</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January 7, 2026, as </w:t>
      </w:r>
      <w:r>
        <w:rPr>
          <w:rFonts w:ascii="Times New Roman" w:hAnsi="Times New Roman"/>
          <w:b/>
          <w:i w:val="false"/>
          <w:color w:val="000000"/>
          <w:sz w:val="24"/>
        </w:rPr>
        <w:t>ARC 9937C</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27,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28,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29, 2026</w:t>
      </w:r>
    </w:p>
    <w:p>
      <w:pPr>
        <w:spacing w:before="0" w:after="0" w:line="480"/>
        <w:ind w:left="120"/>
        <w:jc w:val="both"/>
      </w:pPr>
      <w:r>
        <w:rPr>
          <w:rFonts w:ascii="Times New Roman" w:hAnsi="Times New Roman"/>
          <w:b w:val="false"/>
          <w:i w:val="false"/>
          <w:color w:val="000000"/>
          <w:sz w:val="24"/>
        </w:rPr>
        <w:t>    All attendees at the hearings were present for hearings for other chapters hosted at the same time. All comments given were supportive of the changes.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Commission on July 21,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Commission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September 23,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567—Chapter 136</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136</w:t>
      </w:r>
    </w:p>
    <w:p>
      <w:pPr>
        <w:spacing w:before="0" w:after="0" w:line="480"/>
        <w:ind w:left="120"/>
        <w:jc w:val="center"/>
      </w:pPr>
      <w:r>
        <w:rPr>
          <w:rFonts w:ascii="Times New Roman" w:hAnsi="Times New Roman"/>
          <w:b w:val="false"/>
          <w:i w:val="false"/>
          <w:color w:val="000000"/>
          <w:sz w:val="21"/>
        </w:rPr>
        <w:t>FINANCIAL RESPONSIBILITY FOR UNDERGROUND STORAGE TANKS</w:t>
      </w:r>
    </w:p>
    <w:p>
      <w:pPr>
        <w:spacing w:before="0" w:after="0" w:line="480"/>
        <w:ind w:left="120"/>
        <w:jc w:val="both"/>
      </w:pPr>
      <w:r>
        <w:rPr>
          <w:rFonts w:ascii="Times New Roman" w:hAnsi="Times New Roman"/>
          <w:b/>
          <w:i w:val="false"/>
          <w:color w:val="000000"/>
          <w:sz w:val="24"/>
        </w:rPr>
        <w:t>567—136.1</w:t>
      </w:r>
      <w:r>
        <w:rPr>
          <w:rFonts w:ascii="Times New Roman" w:hAnsi="Times New Roman"/>
          <w:b/>
          <w:i w:val="false"/>
          <w:color w:val="000000"/>
          <w:sz w:val="24"/>
        </w:rPr>
        <w:t xml:space="preserve">(455B) </w:t>
      </w:r>
      <w:r>
        <w:rPr>
          <w:rFonts w:ascii="Times New Roman" w:hAnsi="Times New Roman"/>
          <w:b/>
          <w:i w:val="false"/>
          <w:color w:val="000000"/>
          <w:sz w:val="24"/>
        </w:rPr>
        <w:t xml:space="preserve">Applicability.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136.1(1)</w:t>
      </w:r>
      <w:r>
        <w:rPr>
          <w:rFonts w:ascii="Times New Roman" w:hAnsi="Times New Roman"/>
          <w:b w:val="false"/>
          <w:i w:val="false"/>
          <w:color w:val="000000"/>
          <w:sz w:val="24"/>
        </w:rPr>
        <w:t> </w:t>
      </w:r>
      <w:r>
        <w:rPr>
          <w:rFonts w:ascii="Times New Roman" w:hAnsi="Times New Roman"/>
          <w:b w:val="false"/>
          <w:i w:val="false"/>
          <w:color w:val="000000"/>
          <w:sz w:val="24"/>
        </w:rPr>
        <w:t>This chapter applies to owners and operators of all petroleum underground storage tank (UST) systems, except as otherwise provided in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136.1(2)</w:t>
      </w:r>
      <w:r>
        <w:rPr>
          <w:rFonts w:ascii="Times New Roman" w:hAnsi="Times New Roman"/>
          <w:b w:val="false"/>
          <w:i w:val="false"/>
          <w:color w:val="000000"/>
          <w:sz w:val="24"/>
        </w:rPr>
        <w:t> </w:t>
      </w:r>
      <w:r>
        <w:rPr>
          <w:rFonts w:ascii="Times New Roman" w:hAnsi="Times New Roman"/>
          <w:b w:val="false"/>
          <w:i w:val="false"/>
          <w:color w:val="000000"/>
          <w:sz w:val="24"/>
        </w:rPr>
        <w:t>State and federal government entities whose debts and liabilities are the debts and liabilities of a state or the United States are exempt from the requirements of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136.1(3)</w:t>
      </w:r>
      <w:r>
        <w:rPr>
          <w:rFonts w:ascii="Times New Roman" w:hAnsi="Times New Roman"/>
          <w:b w:val="false"/>
          <w:i w:val="false"/>
          <w:color w:val="000000"/>
          <w:sz w:val="24"/>
        </w:rPr>
        <w:t> </w:t>
      </w:r>
      <w:r>
        <w:rPr>
          <w:rFonts w:ascii="Times New Roman" w:hAnsi="Times New Roman"/>
          <w:b w:val="false"/>
          <w:i w:val="false"/>
          <w:color w:val="000000"/>
          <w:sz w:val="24"/>
        </w:rPr>
        <w:t xml:space="preserve">The requirements of this chapter do not apply to owners and operators of farm or residential tanks of 1,100 gallons or less capacity installed prior to July 1, 1987, or any UST system described in </w:t>
      </w:r>
      <w:hyperlink r:id="rId5">
        <w:r>
          <w:rPr>
            <w:rStyle w:val="Hyperlink"/>
            <w:rFonts w:ascii="Times New Roman" w:hAnsi="Times New Roman"/>
            <w:b w:val="false"/>
            <w:i w:val="false"/>
            <w:color w:val="000000"/>
            <w:sz w:val="24"/>
          </w:rPr>
          <w:t>567—paragraph 135.1(3)</w:t>
        </w:r>
      </w:hyperlink>
      <w:r>
        <w:rPr>
          <w:rFonts w:ascii="Times New Roman" w:hAnsi="Times New Roman"/>
          <w:b w:val="false"/>
          <w:i/>
          <w:color w:val="000000"/>
          <w:sz w:val="24"/>
        </w:rPr>
        <w:t>“b”</w:t>
      </w:r>
      <w:r>
        <w:rPr>
          <w:rFonts w:ascii="Times New Roman" w:hAnsi="Times New Roman"/>
          <w:b w:val="false"/>
          <w:i w:val="false"/>
          <w:color w:val="000000"/>
          <w:sz w:val="24"/>
        </w:rPr>
        <w:t xml:space="preserve"> or </w:t>
      </w:r>
      <w:hyperlink r:id="rId6">
        <w:r>
          <w:rPr>
            <w:rStyle w:val="Hyperlink"/>
            <w:rFonts w:ascii="Times New Roman" w:hAnsi="Times New Roman"/>
            <w:b w:val="false"/>
            <w:i w:val="false"/>
            <w:color w:val="000000"/>
            <w:sz w:val="24"/>
          </w:rPr>
          <w:t>567—subparagraph 135.1(3)</w:t>
        </w:r>
      </w:hyperlink>
      <w:r>
        <w:rPr>
          <w:rFonts w:ascii="Times New Roman" w:hAnsi="Times New Roman"/>
          <w:b w:val="false"/>
          <w:i/>
          <w:color w:val="000000"/>
          <w:sz w:val="24"/>
        </w:rPr>
        <w:t>“c”</w:t>
      </w:r>
      <w:r>
        <w:rPr>
          <w:rFonts w:ascii="Times New Roman" w:hAnsi="Times New Roman"/>
          <w:b w:val="false"/>
          <w:i w:val="false"/>
          <w:color w:val="000000"/>
          <w:sz w:val="24"/>
        </w:rPr>
        <w:t xml:space="preserve">(1), </w:t>
      </w:r>
      <w:r>
        <w:rPr>
          <w:rFonts w:ascii="Times New Roman" w:hAnsi="Times New Roman"/>
          <w:b w:val="false"/>
          <w:i/>
          <w:color w:val="000000"/>
          <w:sz w:val="24"/>
        </w:rPr>
        <w:t>“c”</w:t>
      </w:r>
      <w:r>
        <w:rPr>
          <w:rFonts w:ascii="Times New Roman" w:hAnsi="Times New Roman"/>
          <w:b w:val="false"/>
          <w:i w:val="false"/>
          <w:color w:val="000000"/>
          <w:sz w:val="24"/>
        </w:rPr>
        <w:t xml:space="preserve">(3) or </w:t>
      </w:r>
      <w:r>
        <w:rPr>
          <w:rFonts w:ascii="Times New Roman" w:hAnsi="Times New Roman"/>
          <w:b w:val="false"/>
          <w:i/>
          <w:color w:val="000000"/>
          <w:sz w:val="24"/>
        </w:rPr>
        <w:t>“c”</w:t>
      </w:r>
      <w:r>
        <w:rPr>
          <w:rFonts w:ascii="Times New Roman" w:hAnsi="Times New Roman"/>
          <w:b w:val="false"/>
          <w:i w:val="false"/>
          <w:color w:val="000000"/>
          <w:sz w:val="24"/>
        </w:rPr>
        <w:t>(4).</w:t>
      </w:r>
    </w:p>
    <w:p>
      <w:pPr>
        <w:spacing w:before="0" w:after="0" w:line="480"/>
        <w:ind w:left="120"/>
        <w:jc w:val="both"/>
      </w:pPr>
      <w:r>
        <w:rPr>
          <w:rFonts w:ascii="Times New Roman" w:hAnsi="Times New Roman"/>
          <w:b/>
          <w:i w:val="false"/>
          <w:color w:val="000000"/>
          <w:sz w:val="24"/>
        </w:rPr>
        <w:t>567—136.2</w:t>
      </w:r>
      <w:r>
        <w:rPr>
          <w:rFonts w:ascii="Times New Roman" w:hAnsi="Times New Roman"/>
          <w:b/>
          <w:i w:val="false"/>
          <w:color w:val="000000"/>
          <w:sz w:val="24"/>
        </w:rPr>
        <w:t xml:space="preserve">(455B) </w:t>
      </w:r>
      <w:r>
        <w:rPr>
          <w:rFonts w:ascii="Times New Roman" w:hAnsi="Times New Roman"/>
          <w:b/>
          <w:i w:val="false"/>
          <w:color w:val="000000"/>
          <w:sz w:val="24"/>
        </w:rPr>
        <w:t xml:space="preserve">Policy; adoption by reference.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136.2(1)</w:t>
      </w:r>
      <w:r>
        <w:rPr>
          <w:rFonts w:ascii="Times New Roman" w:hAnsi="Times New Roman"/>
          <w:b w:val="false"/>
          <w:i w:val="false"/>
          <w:color w:val="000000"/>
          <w:sz w:val="24"/>
        </w:rPr>
        <w:t> </w:t>
      </w:r>
      <w:r>
        <w:rPr>
          <w:rFonts w:ascii="Times New Roman" w:hAnsi="Times New Roman"/>
          <w:b w:val="false"/>
          <w:i w:val="false"/>
          <w:color w:val="000000"/>
          <w:sz w:val="24"/>
        </w:rPr>
        <w:t>It is the policy of the commission to ensure consistency, equity, and efficiency in providing financial responsibility for Iowans and the businesses providing services to Iowans that owners and operators of UST systems in this state must comply with the provisions of the federal rules requiring and regulating the financial assurance of UST systems. This rule shall be interpreted in a manner consistent with this policy.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136.2(2)</w:t>
      </w:r>
      <w:r>
        <w:rPr>
          <w:rFonts w:ascii="Times New Roman" w:hAnsi="Times New Roman"/>
          <w:b w:val="false"/>
          <w:i w:val="false"/>
          <w:color w:val="000000"/>
          <w:sz w:val="24"/>
        </w:rPr>
        <w:t> </w:t>
      </w:r>
      <w:r>
        <w:rPr>
          <w:rFonts w:ascii="Times New Roman" w:hAnsi="Times New Roman"/>
          <w:b w:val="false"/>
          <w:i w:val="false"/>
          <w:color w:val="000000"/>
          <w:sz w:val="24"/>
        </w:rPr>
        <w:t>The commission hereby adopts by reference 40 CFR Chapter I, Subchapter I, Part 280, Subpart H (2015), subject to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uses of “Agency,” “Environmental Protection Agency,” “EPA,” and “implementing agency,” and any reference to the regional offices of the Environmental Protection Agency, shall be replaced with “Department of Natural Resources,” except where the context of the rule requires notice or submission to both federal and state entities, in which case the replacement language shall be in addition to the original language.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uses of “Administrator” and “regional administrator,” and any reference to the designee of either, are replaced with “the director of the Department of Natural Resources or their designee,” except where the context of the rule requires notice or submission to both federal and state entities, in which case the replacement language shall be in addition to the original language.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40 CFR 280.100</w:t>
      </w:r>
      <w:r>
        <w:rPr>
          <w:rFonts w:ascii="Times New Roman" w:hAnsi="Times New Roman"/>
          <w:b w:val="false"/>
          <w:i w:val="false"/>
          <w:color w:val="000000"/>
          <w:sz w:val="24"/>
        </w:rPr>
        <w:t xml:space="preserve"> is not adopted by reference.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40 CFR 280.101</w:t>
      </w:r>
      <w:r>
        <w:rPr>
          <w:rFonts w:ascii="Times New Roman" w:hAnsi="Times New Roman"/>
          <w:b w:val="false"/>
          <w:i w:val="false"/>
          <w:color w:val="000000"/>
          <w:sz w:val="24"/>
        </w:rPr>
        <w:t xml:space="preserve"> is not adopted by reference.</w:t>
      </w:r>
    </w:p>
    <w:p>
      <w:pPr>
        <w:spacing w:before="0" w:after="0" w:line="480"/>
        <w:ind w:left="120"/>
        <w:jc w:val="both"/>
      </w:pPr>
      <w:r>
        <w:rPr>
          <w:rFonts w:ascii="Times New Roman" w:hAnsi="Times New Roman"/>
          <w:b/>
          <w:i w:val="false"/>
          <w:color w:val="000000"/>
          <w:sz w:val="24"/>
        </w:rPr>
        <w:t>567—136.3</w:t>
      </w:r>
      <w:r>
        <w:rPr>
          <w:rFonts w:ascii="Times New Roman" w:hAnsi="Times New Roman"/>
          <w:b/>
          <w:i w:val="false"/>
          <w:color w:val="000000"/>
          <w:sz w:val="24"/>
        </w:rPr>
        <w:t xml:space="preserve">(455B) </w:t>
      </w:r>
      <w:r>
        <w:rPr>
          <w:rFonts w:ascii="Times New Roman" w:hAnsi="Times New Roman"/>
          <w:b/>
          <w:i w:val="false"/>
          <w:color w:val="000000"/>
          <w:sz w:val="24"/>
        </w:rPr>
        <w:t xml:space="preserve">Additional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136.3(1)</w:t>
      </w:r>
      <w:r>
        <w:rPr>
          <w:rFonts w:ascii="Times New Roman" w:hAnsi="Times New Roman"/>
          <w:b w:val="false"/>
          <w:i w:val="false"/>
          <w:color w:val="000000"/>
          <w:sz w:val="24"/>
        </w:rPr>
        <w:t> </w:t>
      </w:r>
      <w:r>
        <w:rPr>
          <w:rFonts w:ascii="Times New Roman" w:hAnsi="Times New Roman"/>
          <w:b w:val="false"/>
          <w:i/>
          <w:color w:val="000000"/>
          <w:sz w:val="24"/>
        </w:rPr>
        <w:t xml:space="preserve">Notice of extended reporting. </w:t>
      </w:r>
      <w:r>
        <w:rPr>
          <w:rFonts w:ascii="Times New Roman" w:hAnsi="Times New Roman"/>
          <w:b w:val="false"/>
          <w:i w:val="false"/>
          <w:color w:val="000000"/>
          <w:sz w:val="24"/>
        </w:rPr>
        <w:t xml:space="preserve">In any written final cancellation or nonrenewal notice, an entity that provides insurance pursuant to this chapter shall notify the primary insured party and any additional named insured parties of the six-month extended reporting expiration date provided in </w:t>
      </w:r>
      <w:r>
        <w:rPr>
          <w:rFonts w:ascii="Times New Roman" w:hAnsi="Times New Roman"/>
          <w:b w:val="false"/>
          <w:i w:val="false"/>
          <w:color w:val="000000"/>
          <w:sz w:val="24"/>
        </w:rPr>
        <w:t>40 CFR 280.97</w:t>
      </w:r>
      <w:r>
        <w:rPr>
          <w:rFonts w:ascii="Times New Roman" w:hAnsi="Times New Roman"/>
          <w:b w:val="false"/>
          <w:i w:val="false"/>
          <w:color w:val="000000"/>
          <w:sz w:val="24"/>
        </w:rPr>
        <w:t xml:space="preserve"> (2015).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136.3(2)</w:t>
      </w:r>
      <w:r>
        <w:rPr>
          <w:rFonts w:ascii="Times New Roman" w:hAnsi="Times New Roman"/>
          <w:b w:val="false"/>
          <w:i w:val="false"/>
          <w:color w:val="000000"/>
          <w:sz w:val="24"/>
        </w:rPr>
        <w:t> </w:t>
      </w:r>
      <w:r>
        <w:rPr>
          <w:rFonts w:ascii="Times New Roman" w:hAnsi="Times New Roman"/>
          <w:b w:val="false"/>
          <w:i/>
          <w:color w:val="000000"/>
          <w:sz w:val="24"/>
        </w:rPr>
        <w:t xml:space="preserve">Notice and claim by the department. </w:t>
      </w:r>
      <w:r>
        <w:rPr>
          <w:rFonts w:ascii="Times New Roman" w:hAnsi="Times New Roman"/>
          <w:b w:val="false"/>
          <w:i w:val="false"/>
          <w:color w:val="000000"/>
          <w:sz w:val="24"/>
        </w:rPr>
        <w:t>Notwithstanding any other requirement or limit in 40 CFR Chapter I, Subchapter I, Part 280, Subpart H (2015), timely notice of a release and claim for coverage to the insurer by the department of natural resources shall be deemed sufficient notice on behalf of the insured under the terms, conditions, and exclusions of a policy issued to demonstrate compliance with this chapter. Notice by the department shall not modify or enlarge the terms, conditions, and exclusions of coverage, but is only intended to preserve coverage to which the insured may otherwise be entitled under the policy.</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7">
        <w:r>
          <w:rPr>
            <w:rStyle w:val="Hyperlink"/>
            <w:rFonts w:ascii="Times New Roman" w:hAnsi="Times New Roman"/>
            <w:b w:val="false"/>
            <w:i w:val="false"/>
            <w:color w:val="000000"/>
            <w:sz w:val="24"/>
          </w:rPr>
          <w:t>455B.424</w:t>
        </w:r>
      </w:hyperlink>
      <w:r>
        <w:rPr>
          <w:rFonts w:ascii="Times New Roman" w:hAnsi="Times New Roman"/>
          <w:b w:val="false"/>
          <w:i w:val="false"/>
          <w:color w:val="000000"/>
          <w:sz w:val="24"/>
        </w:rPr>
        <w:t xml:space="preserve"> and </w:t>
      </w:r>
      <w:hyperlink r:id="rId8">
        <w:r>
          <w:rPr>
            <w:rStyle w:val="Hyperlink"/>
            <w:rFonts w:ascii="Times New Roman" w:hAnsi="Times New Roman"/>
            <w:b w:val="false"/>
            <w:i w:val="false"/>
            <w:color w:val="000000"/>
            <w:sz w:val="24"/>
          </w:rPr>
          <w:t>455B.474</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7/24/26, effective 9/23/26]</w:t>
      </w:r>
    </w:p>
    <w:p>
      <w:pPr>
        <w:spacing w:before="0" w:after="0" w:line="480"/>
        <w:ind w:left="120"/>
        <w:jc w:val="center"/>
      </w:pPr>
      <w:r>
        <w:rPr>
          <w:rFonts w:ascii="Times New Roman" w:hAnsi="Times New Roman"/>
          <w:b w:val="false"/>
          <w:i w:val="false"/>
          <w:color w:val="000000"/>
          <w:sz w:val="24"/>
        </w:rPr>
        <w:t>[Published 8/19/26]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8/19/26.</w:t>
      </w:r>
    </w:p>
    <w:p>
      <w:pPr>
        <w:spacing w:before="0" w:after="0" w:line="480"/>
        <w:ind w:left="120"/>
        <w:jc w:val="left"/>
      </w:pPr>
      <w:bookmarkStart w:name="lastARC" w:id="2"/>
      <w:bookmarkEnd w:id="2"/>
    </w:p>
    <w:sectPr>
      <w:footerReference r:id="rId9"/>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rule/567.135.1.pdf" Type="http://schemas.openxmlformats.org/officeDocument/2006/relationships/hyperlink" Id="rId5"/>
    <Relationship TargetMode="External" Target="https://www.legis.iowa.gov/docs/iac/rule/567.135.1.pdf" Type="http://schemas.openxmlformats.org/officeDocument/2006/relationships/hyperlink" Id="rId6"/>
    <Relationship TargetMode="External" Target="https://www.legis.iowa.gov/docs/ico/chapter/455B.424.pdf" Type="http://schemas.openxmlformats.org/officeDocument/2006/relationships/hyperlink" Id="rId7"/>
    <Relationship TargetMode="External" Target="https://www.legis.iowa.gov/docs/ico/chapter/455B.474.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