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689.png"/>
  <Override ContentType="image/png" PartName="/word/media/document_image_rId690.png"/>
  <Override ContentType="image/png" PartName="/word/media/document_image_rId691.png"/>
  <Override ContentType="image/png" PartName="/word/media/document_image_rId692.png"/>
  <Override ContentType="image/png" PartName="/word/media/document_image_rId693.png"/>
  <Override ContentType="image/png" PartName="/word/media/document_image_rId694.png"/>
  <Override ContentType="image/png" PartName="/word/media/document_image_rId695.png"/>
  <Override ContentType="image/png" PartName="/word/media/document_image_rId696.png"/>
  <Override ContentType="image/png" PartName="/word/media/document_image_rId697.png"/>
  <Override ContentType="image/png" PartName="/word/media/document_image_rId698.png"/>
  <Override ContentType="image/png" PartName="/word/media/document_image_rId699.png"/>
  <Override ContentType="image/png" PartName="/word/media/document_image_rId701.png"/>
  <Override ContentType="image/png" PartName="/word/media/document_image_rId702.png"/>
  <Override ContentType="image/png" PartName="/word/media/document_image_rId703.png"/>
  <Override ContentType="image/png" PartName="/word/media/document_image_rId704.png"/>
  <Override ContentType="image/png" PartName="/word/media/document_image_rId705.png"/>
  <Override ContentType="image/png" PartName="/word/media/document_image_rId706.png"/>
  <Override ContentType="image/png" PartName="/word/media/document_image_rId707.png"/>
  <Override ContentType="image/png" PartName="/word/media/document_image_rId708.png"/>
  <Override ContentType="image/png" PartName="/word/media/document_image_rId709.png"/>
  <Override ContentType="image/png" PartName="/word/media/document_image_rId710.png"/>
  <Override ContentType="image/png" PartName="/word/media/document_image_rId711.png"/>
  <Override ContentType="image/png" PartName="/word/media/document_image_rId712.png"/>
  <Override ContentType="image/png" PartName="/word/media/document_image_rId713.png"/>
  <Override ContentType="image/png" PartName="/word/media/document_image_rId714.png"/>
  <Override ContentType="image/png" PartName="/word/media/document_image_rId715.png"/>
  <Override ContentType="image/png" PartName="/word/media/document_image_rId716.png"/>
  <Override ContentType="image/png" PartName="/word/media/document_image_rId717.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1D" w:id="1"/>
    <w:p>
      <w:pPr>
        <w:spacing w:before="0" w:after="0" w:line="480"/>
        <w:ind w:left="120"/>
        <w:jc w:val="right"/>
      </w:pPr>
      <w:r>
        <w:rPr>
          <w:rFonts w:ascii="Times New Roman" w:hAnsi="Times New Roman"/>
          <w:b/>
          <w:i w:val="false"/>
          <w:color w:val="000000"/>
          <w:sz w:val="28"/>
        </w:rPr>
        <w:t>ARC 0491D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technical standards and corrective action requirements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135, “Technical Standards and Corrective Action Requirements for Owners and Operators of Underground Storage Tanks,” Iowa Administrative Code, and adopts a new Chapter 135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455B.474.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455B.474 and 40 CFR Parts 280 and 281.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135 establishes the requirements to regulate underground storage tanks (USTs) used for storage of regulated substances and includes rules relating to detection, prevention, and correction of releases of regulated substances from such USTs; maintenance of financial responsibility by owners or operators of USTs; new UST performance standards; notice and reporting requirements; and designation of regulated substances. The purpose of these rules is to protect the public health and safety and the natural resources of Iowa by the timely and appropriate detection, prevention, and correction of releases of regulated substances from USTs. Chapter 135 was reviewed consistent with Executive Order 10. Unnecessary and obsolete rules have been removed, and updates and clarification have been made.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9933C</w:t>
      </w:r>
      <w:r>
        <w:rPr>
          <w:rFonts w:ascii="Times New Roman" w:hAnsi="Times New Roman"/>
          <w:b w:val="false"/>
          <w:i w:val="false"/>
          <w:color w:val="000000"/>
          <w:sz w:val="24"/>
        </w:rPr>
        <w:t xml:space="preserve">. An Amended Notice of Intended Action was published in the Iowa Administrative Bulletin on June 10, 2026, as </w:t>
      </w:r>
      <w:r>
        <w:rPr>
          <w:rFonts w:ascii="Times New Roman" w:hAnsi="Times New Roman"/>
          <w:b/>
          <w:i w:val="false"/>
          <w:color w:val="000000"/>
          <w:sz w:val="24"/>
        </w:rPr>
        <w:t>ARC 0357D</w:t>
      </w:r>
      <w:r>
        <w:rPr>
          <w:rFonts w:ascii="Times New Roman" w:hAnsi="Times New Roman"/>
          <w:b w:val="false"/>
          <w:i w:val="false"/>
          <w:color w:val="000000"/>
          <w:sz w:val="24"/>
        </w:rPr>
        <w:t>.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 2026</w:t>
      </w:r>
    </w:p>
    <w:p>
      <w:pPr>
        <w:spacing w:before="0" w:after="0" w:line="480"/>
        <w:ind w:left="120"/>
        <w:jc w:val="both"/>
      </w:pPr>
      <w:r>
        <w:rPr>
          <w:rFonts w:ascii="Times New Roman" w:hAnsi="Times New Roman"/>
          <w:b w:val="false"/>
          <w:i w:val="false"/>
          <w:color w:val="000000"/>
          <w:sz w:val="24"/>
        </w:rPr>
        <w:t>    The first hearing had three attendees from the public and was attended by EPA Region 7 staff. The second hearing had no attendees. One comment was received regarding the appropriate signage at unstaffed facilities.</w:t>
      </w:r>
    </w:p>
    <w:p>
      <w:pPr>
        <w:spacing w:before="0" w:after="0" w:line="480"/>
        <w:ind w:left="120"/>
        <w:jc w:val="both"/>
      </w:pPr>
      <w:r>
        <w:rPr>
          <w:rFonts w:ascii="Times New Roman" w:hAnsi="Times New Roman"/>
          <w:b w:val="false"/>
          <w:i w:val="false"/>
          <w:color w:val="000000"/>
          <w:sz w:val="24"/>
        </w:rPr>
        <w:t>    Changes from the Amended Notice have been made based on this comment to provide the public clear instructions on what language to use for the such signs.</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Iowa Code section 17A.9A and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135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135</w:t>
      </w:r>
    </w:p>
    <w:p>
      <w:pPr>
        <w:spacing w:before="0" w:after="0" w:line="480"/>
        <w:ind w:left="120"/>
        <w:jc w:val="center"/>
      </w:pPr>
      <w:r>
        <w:rPr>
          <w:rFonts w:ascii="Times New Roman" w:hAnsi="Times New Roman"/>
          <w:b w:val="false"/>
          <w:i w:val="false"/>
          <w:color w:val="000000"/>
          <w:sz w:val="21"/>
        </w:rPr>
        <w:t>TECHNICAL STANDARDS AND CORRECTIVE ACTION REQUIREMENTS FOR OWNERS AND OPERATORS OF UNDERGROUND STORAGE TANKS</w:t>
      </w:r>
    </w:p>
    <w:p>
      <w:pPr>
        <w:spacing w:before="0" w:after="0" w:line="480"/>
        <w:ind w:left="120"/>
        <w:jc w:val="both"/>
      </w:pPr>
      <w:r>
        <w:rPr>
          <w:rFonts w:ascii="Times New Roman" w:hAnsi="Times New Roman"/>
          <w:b/>
          <w:i w:val="false"/>
          <w:color w:val="000000"/>
          <w:sz w:val="24"/>
        </w:rPr>
        <w:t>567—135.1</w:t>
      </w:r>
      <w:r>
        <w:rPr>
          <w:rFonts w:ascii="Times New Roman" w:hAnsi="Times New Roman"/>
          <w:b/>
          <w:i w:val="false"/>
          <w:color w:val="000000"/>
          <w:sz w:val="24"/>
        </w:rPr>
        <w:t xml:space="preserve">(455B) </w:t>
      </w:r>
      <w:r>
        <w:rPr>
          <w:rFonts w:ascii="Times New Roman" w:hAnsi="Times New Roman"/>
          <w:b/>
          <w:i w:val="false"/>
          <w:color w:val="000000"/>
          <w:sz w:val="24"/>
        </w:rPr>
        <w:t xml:space="preserve">Authority, purpose and 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135.1(1)</w:t>
      </w: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Iowa Code chapter </w:t>
      </w:r>
      <w:hyperlink r:id="rId5">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part 8, authorizes the department to regulate underground tanks used for storage of regulated substances, and to adopt rules relating to detection, prevention and correction of releases of regulated substances from such tanks, maintenance of financial responsibility by owners or operators of such tanks, new tank performance standards, notice and reporting requirements, and designation of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purpose of these rules is to protect the public health and safety and the natural resources of Iowa by timely and appropriate detection, prevention and correction of releases of regulated substances from underground storage tanks (UST).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conjunction with the requirements of Iowa Code chapter </w:t>
      </w:r>
      <w:hyperlink r:id="rId6">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subchapter IV, part 8, the requirements of this chapter apply to all owners and operators of a UST system as defined in </w:t>
      </w:r>
      <w:hyperlink r:id="rId7">
        <w:r>
          <w:rPr>
            <w:rStyle w:val="Hyperlink"/>
            <w:rFonts w:ascii="Times New Roman" w:hAnsi="Times New Roman"/>
            <w:b w:val="false"/>
            <w:i w:val="false"/>
            <w:color w:val="000000"/>
            <w:sz w:val="24"/>
          </w:rPr>
          <w:t>567—135.2</w:t>
        </w:r>
      </w:hyperlink>
      <w:r>
        <w:rPr>
          <w:rFonts w:ascii="Times New Roman" w:hAnsi="Times New Roman"/>
          <w:b w:val="false"/>
          <w:i w:val="false"/>
          <w:color w:val="000000"/>
          <w:sz w:val="24"/>
        </w:rPr>
        <w:t xml:space="preserve">(455B) except as otherwise provided in </w:t>
      </w:r>
      <w:hyperlink r:id="rId8">
        <w:r>
          <w:rPr>
            <w:rStyle w:val="Hyperlink"/>
            <w:rFonts w:ascii="Times New Roman" w:hAnsi="Times New Roman"/>
            <w:b w:val="false"/>
            <w:i w:val="false"/>
            <w:color w:val="000000"/>
            <w:sz w:val="24"/>
          </w:rPr>
          <w:t>135.1(3)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Previously deferred UST systems. Airport hydrant fuel distribution systems, UST systems with field-constructed tanks, and UST systems that store fuel solely for use by emergency power generators must meet the requirements of these rules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Airport hydrant fuel distribution systems and UST systems with field-constructed tanks must meet the requirements in </w:t>
      </w:r>
      <w:hyperlink r:id="rId9">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UST systems that store fuel solely for use by emergency power generators installed on or before November 28, 2007, must meet the requirements in </w:t>
      </w:r>
      <w:hyperlink r:id="rId10">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 by October 13,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UST systems that store fuel solely for use by emergency power generators installed after November 28, 2007, must meet all applicable requirements of this chapter at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Any UST system listed in </w:t>
      </w:r>
      <w:hyperlink r:id="rId11">
        <w:r>
          <w:rPr>
            <w:rStyle w:val="Hyperlink"/>
            <w:rFonts w:ascii="Times New Roman" w:hAnsi="Times New Roman"/>
            <w:b w:val="false"/>
            <w:i w:val="false"/>
            <w:color w:val="000000"/>
            <w:sz w:val="24"/>
          </w:rPr>
          <w:t>135.1(3)</w:t>
        </w:r>
        <w:r>
          <w:rPr>
            <w:rFonts w:ascii="Times New Roman" w:hAnsi="Times New Roman"/>
            <w:b w:val="false"/>
            <w:i/>
            <w:color w:val="000000"/>
            <w:sz w:val="24"/>
          </w:rPr>
          <w:t>“c”</w:t>
        </w:r>
      </w:hyperlink>
      <w:r>
        <w:rPr>
          <w:rFonts w:ascii="Times New Roman" w:hAnsi="Times New Roman"/>
          <w:b w:val="false"/>
          <w:i w:val="false"/>
          <w:color w:val="000000"/>
          <w:sz w:val="24"/>
        </w:rPr>
        <w:t xml:space="preserve"> must meet the requirements of </w:t>
      </w:r>
      <w:hyperlink r:id="rId12">
        <w:r>
          <w:rPr>
            <w:rStyle w:val="Hyperlink"/>
            <w:rFonts w:ascii="Times New Roman" w:hAnsi="Times New Roman"/>
            <w:b w:val="false"/>
            <w:i w:val="false"/>
            <w:color w:val="000000"/>
            <w:sz w:val="24"/>
          </w:rPr>
          <w:t>135.1(4)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Exclusions. The following UST systems are excluded from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UST system holding hazardous wastes listed or identified under Subtitle C of the Solid Waste Disposal Act, or a mixture of such hazardous waste and other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wastewater treatment tank system that is part of a wastewater treatment facility regulated under Section 402 or 307(b) of the federal Clean Water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Equipment or machinery that contains regulated substances for operational purposes such as hydraulic lift tanks and electrical equipment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UST system whose capacity is 110 gallons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UST system that contains a de minimis concentration of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emergency spill or overflow containment UST system that is expeditiously emptied after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Partial exclusions. Rules </w:t>
      </w:r>
      <w:hyperlink r:id="rId13">
        <w:r>
          <w:rPr>
            <w:rStyle w:val="Hyperlink"/>
            <w:rFonts w:ascii="Times New Roman" w:hAnsi="Times New Roman"/>
            <w:b w:val="false"/>
            <w:i w:val="false"/>
            <w:color w:val="000000"/>
            <w:sz w:val="24"/>
          </w:rPr>
          <w:t>567—135.3(455B)</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567—135.4(455B)</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567—135.5(455B)</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w:t>
      </w:r>
      <w:hyperlink r:id="rId17">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 xml:space="preserve">(455B) and </w:t>
      </w:r>
      <w:hyperlink r:id="rId18">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 do not apply to any of the following types of UST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Wastewater treatment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UST systems containing radioactive material that are regulated under the federal Atomic Energy Act of 1954 (</w:t>
      </w:r>
      <w:r>
        <w:rPr>
          <w:rFonts w:ascii="Times New Roman" w:hAnsi="Times New Roman"/>
          <w:b w:val="false"/>
          <w:i w:val="false"/>
          <w:color w:val="000000"/>
          <w:sz w:val="24"/>
        </w:rPr>
        <w:t>42 U.S.C. 2011</w:t>
      </w:r>
      <w:r>
        <w:rPr>
          <w:rFonts w:ascii="Times New Roman" w:hAnsi="Times New Roman"/>
          <w:b w:val="false"/>
          <w:i w:val="false"/>
          <w:color w:val="000000"/>
          <w:sz w:val="24"/>
        </w:rPr>
        <w:t xml:space="preserve"> and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UST system that is part of an emergency generator system at nuclear power generation facilities regulated by the Nuclear Regulatory Commission under 10 CFR 50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Aboveground storage tanks associated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Airport hydrant fuel distribution systems regulated under </w:t>
      </w:r>
      <w:hyperlink r:id="rId19">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UST systems with field-constructed tanks regulated under </w:t>
      </w:r>
      <w:hyperlink r:id="rId20">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Nonpetroleum underground storage tank systems. Rules </w:t>
      </w:r>
      <w:hyperlink r:id="rId21">
        <w:r>
          <w:rPr>
            <w:rStyle w:val="Hyperlink"/>
            <w:rFonts w:ascii="Times New Roman" w:hAnsi="Times New Roman"/>
            <w:b w:val="false"/>
            <w:i w:val="false"/>
            <w:color w:val="000000"/>
            <w:sz w:val="24"/>
          </w:rPr>
          <w:t>567—135.8(455B)</w:t>
        </w:r>
      </w:hyperlink>
      <w:r>
        <w:rPr>
          <w:rFonts w:ascii="Times New Roman" w:hAnsi="Times New Roman"/>
          <w:b w:val="false"/>
          <w:i w:val="false"/>
          <w:color w:val="000000"/>
          <w:sz w:val="24"/>
        </w:rPr>
        <w:t xml:space="preserve"> through </w:t>
      </w:r>
      <w:hyperlink r:id="rId22">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do not apply to any nonpetroleum underground storage tank system, except as otherwise provided for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135.1(4)</w:t>
      </w:r>
      <w:r>
        <w:rPr>
          <w:rFonts w:ascii="Times New Roman" w:hAnsi="Times New Roman"/>
          <w:b w:val="false"/>
          <w:i w:val="false"/>
          <w:color w:val="000000"/>
          <w:sz w:val="24"/>
        </w:rPr>
        <w:t> </w:t>
      </w:r>
      <w:r>
        <w:rPr>
          <w:rFonts w:ascii="Times New Roman" w:hAnsi="Times New Roman"/>
          <w:b w:val="false"/>
          <w:i/>
          <w:color w:val="000000"/>
          <w:sz w:val="24"/>
        </w:rPr>
        <w:t xml:space="preserve">Installation requirements for partially excluded UST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install a UST system listed in </w:t>
      </w:r>
      <w:hyperlink r:id="rId23">
        <w:r>
          <w:rPr>
            <w:rStyle w:val="Hyperlink"/>
            <w:rFonts w:ascii="Times New Roman" w:hAnsi="Times New Roman"/>
            <w:b w:val="false"/>
            <w:i w:val="false"/>
            <w:color w:val="000000"/>
            <w:sz w:val="24"/>
          </w:rPr>
          <w:t>135.1(3)</w:t>
        </w:r>
      </w:hyperlink>
      <w:r>
        <w:rPr>
          <w:rFonts w:ascii="Times New Roman" w:hAnsi="Times New Roman"/>
          <w:b w:val="false"/>
          <w:i/>
          <w:color w:val="000000"/>
          <w:sz w:val="24"/>
        </w:rPr>
        <w:t>“c”</w:t>
      </w:r>
      <w:r>
        <w:rPr>
          <w:rFonts w:ascii="Times New Roman" w:hAnsi="Times New Roman"/>
          <w:b w:val="false"/>
          <w:i w:val="false"/>
          <w:color w:val="000000"/>
          <w:sz w:val="24"/>
        </w:rPr>
        <w:t xml:space="preserve">(1) through </w:t>
      </w:r>
      <w:r>
        <w:rPr>
          <w:rFonts w:ascii="Times New Roman" w:hAnsi="Times New Roman"/>
          <w:b w:val="false"/>
          <w:i/>
          <w:color w:val="000000"/>
          <w:sz w:val="24"/>
        </w:rPr>
        <w:t>“c”</w:t>
      </w:r>
      <w:r>
        <w:rPr>
          <w:rFonts w:ascii="Times New Roman" w:hAnsi="Times New Roman"/>
          <w:b w:val="false"/>
          <w:i w:val="false"/>
          <w:color w:val="000000"/>
          <w:sz w:val="24"/>
        </w:rPr>
        <w:t>(3) storing regulated substances (whether of single- or double-wall construction)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Will prevent releases due to corrosion or structural failure for the operational life of the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cathodically protected against corrosion, constructed of noncorrodible material, steel clad with a noncorrodible material, or designed in a manner to prevent the release or threatened release of any stored substance;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 constructed or lined with material that is compatible with the stored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w:t>
      </w:r>
      <w:hyperlink r:id="rId24">
        <w:r>
          <w:rPr>
            <w:rStyle w:val="Hyperlink"/>
            <w:rFonts w:ascii="Times New Roman" w:hAnsi="Times New Roman"/>
            <w:b w:val="false"/>
            <w:i w:val="false"/>
            <w:color w:val="000000"/>
            <w:sz w:val="24"/>
          </w:rPr>
          <w:t>135.1(4)</w:t>
        </w:r>
      </w:hyperlink>
      <w:r>
        <w:rPr>
          <w:rFonts w:ascii="Times New Roman" w:hAnsi="Times New Roman"/>
          <w:b w:val="false"/>
          <w:i/>
          <w:color w:val="000000"/>
          <w:sz w:val="24"/>
        </w:rPr>
        <w:t>“a,”</w:t>
      </w:r>
      <w:r>
        <w:rPr>
          <w:rFonts w:ascii="Times New Roman" w:hAnsi="Times New Roman"/>
          <w:b w:val="false"/>
          <w:i w:val="false"/>
          <w:color w:val="000000"/>
          <w:sz w:val="24"/>
        </w:rPr>
        <w:t xml:space="preserve"> a UST system without corrosion protection may be installed at a site that is determined by a corrosion expert not to be corrosive enough to cause it to have a release due to corrosion during its operating life. Owners and operators must maintain records that demonstrate compliance with the requirements of this paragraph for the remaining life of the tank.</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referenced in 40 CFR 280.11(b) may be used as guidance for complying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that are referenced in this chapter shall be the version of those documents in effect on May 27, 2026,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567—135.2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“Aboveground release”</w:t>
      </w:r>
      <w:r>
        <w:rPr>
          <w:rFonts w:ascii="Times New Roman" w:hAnsi="Times New Roman"/>
          <w:b w:val="false"/>
          <w:i w:val="false"/>
          <w:color w:val="000000"/>
          <w:sz w:val="24"/>
        </w:rPr>
        <w:t> </w:t>
      </w:r>
      <w:r>
        <w:rPr>
          <w:rFonts w:ascii="Times New Roman" w:hAnsi="Times New Roman"/>
          <w:b w:val="false"/>
          <w:i w:val="false"/>
          <w:color w:val="000000"/>
          <w:sz w:val="24"/>
        </w:rPr>
        <w:t>means any release to the surface of the land or to surface water. This includes but is not limited to releases from the aboveground portion of a UST system and aboveground releases associated with overfills and transfer operations as the regulated substance moves to or from a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remediation”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corrective action undertaken to reduce contaminant concentrations by other than passive remediation or monitoring.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“Airport hydrant fuel distribution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“airport hydrant system”</w:t>
      </w:r>
      <w:r>
        <w:rPr>
          <w:rFonts w:ascii="Times New Roman" w:hAnsi="Times New Roman"/>
          <w:b w:val="false"/>
          <w:i w:val="false"/>
          <w:color w:val="000000"/>
          <w:sz w:val="24"/>
        </w:rPr>
        <w:t> </w:t>
      </w:r>
      <w:r>
        <w:rPr>
          <w:rFonts w:ascii="Times New Roman" w:hAnsi="Times New Roman"/>
          <w:b w:val="false"/>
          <w:i w:val="false"/>
          <w:color w:val="000000"/>
          <w:sz w:val="24"/>
        </w:rPr>
        <w:t>means a UST system that fuels aircraft and operates under high pressure with large diameter piping that typically terminates into one or more hydrants (fill stands). The airport hydrant system begins where fuel enters one or more tanks from an external source such as a pipeline, barge, rail car, or other motor fuel carrier.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“Ancillary equipment”</w:t>
      </w:r>
      <w:r>
        <w:rPr>
          <w:rFonts w:ascii="Times New Roman" w:hAnsi="Times New Roman"/>
          <w:b w:val="false"/>
          <w:i w:val="false"/>
          <w:color w:val="000000"/>
          <w:sz w:val="24"/>
        </w:rPr>
        <w:t> </w:t>
      </w:r>
      <w:r>
        <w:rPr>
          <w:rFonts w:ascii="Times New Roman" w:hAnsi="Times New Roman"/>
          <w:b w:val="false"/>
          <w:i w:val="false"/>
          <w:color w:val="000000"/>
          <w:sz w:val="24"/>
        </w:rPr>
        <w:t>means any devices including but not limited to such devices as piping, fittings, flanges, valves, and pumps used to distribute, meter, or control the flow of regulated substances to and from a 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“Appurtenances”</w:t>
      </w:r>
      <w:r>
        <w:rPr>
          <w:rFonts w:ascii="Times New Roman" w:hAnsi="Times New Roman"/>
          <w:b w:val="false"/>
          <w:i w:val="false"/>
          <w:color w:val="000000"/>
          <w:sz w:val="24"/>
        </w:rPr>
        <w:t> </w:t>
      </w:r>
      <w:r>
        <w:rPr>
          <w:rFonts w:ascii="Times New Roman" w:hAnsi="Times New Roman"/>
          <w:b w:val="false"/>
          <w:i w:val="false"/>
          <w:color w:val="000000"/>
          <w:sz w:val="24"/>
        </w:rPr>
        <w:t>means devices such as piping, fittings, flanges, valves, dispensers and pumps used to distribute, meter, or control the flow of regulated substances to or from an underground storage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“Asbestos-cement pipe”</w:t>
      </w:r>
      <w:r>
        <w:rPr>
          <w:rFonts w:ascii="Times New Roman" w:hAnsi="Times New Roman"/>
          <w:b w:val="false"/>
          <w:i w:val="false"/>
          <w:color w:val="000000"/>
          <w:sz w:val="24"/>
        </w:rPr>
        <w:t> </w:t>
      </w:r>
      <w:r>
        <w:rPr>
          <w:rFonts w:ascii="Times New Roman" w:hAnsi="Times New Roman"/>
          <w:b w:val="false"/>
          <w:i w:val="false"/>
          <w:color w:val="000000"/>
          <w:sz w:val="24"/>
        </w:rPr>
        <w:t>(AC refers to asbestos-cement) means a pipe or conduit constructed of asbestos fiber and Portland cement, which can be used to transport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“ASTM”</w:t>
      </w:r>
      <w:r>
        <w:rPr>
          <w:rFonts w:ascii="Times New Roman" w:hAnsi="Times New Roman"/>
          <w:b w:val="false"/>
          <w:i w:val="false"/>
          <w:color w:val="000000"/>
          <w:sz w:val="24"/>
        </w:rPr>
        <w:t> </w:t>
      </w:r>
      <w:r>
        <w:rPr>
          <w:rFonts w:ascii="Times New Roman" w:hAnsi="Times New Roman"/>
          <w:b w:val="false"/>
          <w:i w:val="false"/>
          <w:color w:val="000000"/>
          <w:sz w:val="24"/>
        </w:rPr>
        <w:t>means the American Society of Testing and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“Backflow preventer”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check valve used to ensure water flows in one direction and designed to prevent contamination from an end user, such as a home, from getting into the general water supply. An approved backflow preventer shall be a reduced-pressure backflow preventer or an antisiphon device that complies with the standards of the American Water Works Association and has been approved by the Foundation for Cross-Connection Control and Hydraulic Research.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“Bedrock”</w:t>
      </w:r>
      <w:r>
        <w:rPr>
          <w:rFonts w:ascii="Times New Roman" w:hAnsi="Times New Roman"/>
          <w:b w:val="false"/>
          <w:i w:val="false"/>
          <w:color w:val="000000"/>
          <w:sz w:val="24"/>
        </w:rPr>
        <w:t> </w:t>
      </w:r>
      <w:r>
        <w:rPr>
          <w:rFonts w:ascii="Times New Roman" w:hAnsi="Times New Roman"/>
          <w:b w:val="false"/>
          <w:i w:val="false"/>
          <w:color w:val="000000"/>
          <w:sz w:val="24"/>
        </w:rPr>
        <w:t>means the rock, usually solid, underlying soil or any other unconsolidated surficial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“Below-ground release”</w:t>
      </w:r>
      <w:r>
        <w:rPr>
          <w:rFonts w:ascii="Times New Roman" w:hAnsi="Times New Roman"/>
          <w:b w:val="false"/>
          <w:i w:val="false"/>
          <w:color w:val="000000"/>
          <w:sz w:val="24"/>
        </w:rPr>
        <w:t> </w:t>
      </w:r>
      <w:r>
        <w:rPr>
          <w:rFonts w:ascii="Times New Roman" w:hAnsi="Times New Roman"/>
          <w:b w:val="false"/>
          <w:i w:val="false"/>
          <w:color w:val="000000"/>
          <w:sz w:val="24"/>
        </w:rPr>
        <w:t>means any release to the subsurface of the land and to groundwater. This includes but is not limited to releases from the below-ground portions of an underground storage tank system and below-ground releases associated with overfills and transfer operations as the regulated substance moves to or from an underground storage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“Beneath the surface of the ground”</w:t>
      </w:r>
      <w:r>
        <w:rPr>
          <w:rFonts w:ascii="Times New Roman" w:hAnsi="Times New Roman"/>
          <w:b w:val="false"/>
          <w:i w:val="false"/>
          <w:color w:val="000000"/>
          <w:sz w:val="24"/>
        </w:rPr>
        <w:t> </w:t>
      </w:r>
      <w:r>
        <w:rPr>
          <w:rFonts w:ascii="Times New Roman" w:hAnsi="Times New Roman"/>
          <w:b w:val="false"/>
          <w:i w:val="false"/>
          <w:color w:val="000000"/>
          <w:sz w:val="24"/>
        </w:rPr>
        <w:t>means beneath the ground surface or otherwise covered with earthen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“Best available technology”</w:t>
      </w:r>
      <w:r>
        <w:rPr>
          <w:rFonts w:ascii="Times New Roman" w:hAnsi="Times New Roman"/>
          <w:b w:val="false"/>
          <w:i w:val="false"/>
          <w:color w:val="000000"/>
          <w:sz w:val="24"/>
        </w:rPr>
        <w:t> </w:t>
      </w:r>
      <w:r>
        <w:rPr>
          <w:rFonts w:ascii="Times New Roman" w:hAnsi="Times New Roman"/>
          <w:b w:val="false"/>
          <w:i w:val="false"/>
          <w:color w:val="000000"/>
          <w:sz w:val="24"/>
        </w:rPr>
        <w:t>means those practices that most appropriately remove, treat, or isolate contaminants from groundwater, soil or associated environment, as determined through professional judgment considering actual equipment or techniques currently in use, published technical articles, site hydrogeology and research results, engineering and groundwater professional reference materials, consultation with experts in the field, capital and operating costs, and guidelines or rules of other regulatory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“Best management practices”</w:t>
      </w:r>
      <w:r>
        <w:rPr>
          <w:rFonts w:ascii="Times New Roman" w:hAnsi="Times New Roman"/>
          <w:b w:val="false"/>
          <w:i w:val="false"/>
          <w:color w:val="000000"/>
          <w:sz w:val="24"/>
        </w:rPr>
        <w:t> </w:t>
      </w:r>
      <w:r>
        <w:rPr>
          <w:rFonts w:ascii="Times New Roman" w:hAnsi="Times New Roman"/>
          <w:b w:val="false"/>
          <w:i w:val="false"/>
          <w:color w:val="000000"/>
          <w:sz w:val="24"/>
        </w:rPr>
        <w:t>means maintenance procedures, schedule of activities, prohibition of practices, and other management practices, or a combination thereof, that, after problem assessment, is determined to be the most effective means of monitoring and preventing additional contamination of the groundwater and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“Biodiesel”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renewable fuel comprised of mono-alkyl esters of long-chain fatty acids derived from vegetable oils or animal fats that is blended with petroleum-based diesel fuel that meets the standards provided in Iowa Code section </w:t>
      </w:r>
      <w:hyperlink r:id="rId25">
        <w:r>
          <w:rPr>
            <w:rStyle w:val="Hyperlink"/>
            <w:rFonts w:ascii="Times New Roman" w:hAnsi="Times New Roman"/>
            <w:b w:val="false"/>
            <w:i w:val="false"/>
            <w:color w:val="000000"/>
            <w:sz w:val="24"/>
          </w:rPr>
          <w:t>214A.2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“Carcinogenic risk”</w:t>
      </w:r>
      <w:r>
        <w:rPr>
          <w:rFonts w:ascii="Times New Roman" w:hAnsi="Times New Roman"/>
          <w:b w:val="false"/>
          <w:i w:val="false"/>
          <w:color w:val="000000"/>
          <w:sz w:val="24"/>
        </w:rPr>
        <w:t> </w:t>
      </w:r>
      <w:r>
        <w:rPr>
          <w:rFonts w:ascii="Times New Roman" w:hAnsi="Times New Roman"/>
          <w:b w:val="false"/>
          <w:i w:val="false"/>
          <w:color w:val="000000"/>
          <w:sz w:val="24"/>
        </w:rPr>
        <w:t>means the incremental risk of a person developing cancer over a lifetime as a result of exposure to a chemical, expressed as a probability such as one in a million (10</w:t>
      </w:r>
      <w:r>
        <w:rPr>
          <w:rFonts w:ascii="Times New Roman" w:hAnsi="Times New Roman"/>
          <w:b w:val="false"/>
          <w:i w:val="false"/>
          <w:color w:val="000000"/>
          <w:sz w:val="24"/>
          <w:vertAlign w:val="superscript"/>
        </w:rPr>
        <w:t>-6</w:t>
      </w:r>
      <w:r>
        <w:rPr>
          <w:rFonts w:ascii="Times New Roman" w:hAnsi="Times New Roman"/>
          <w:b w:val="false"/>
          <w:i w:val="false"/>
          <w:color w:val="000000"/>
          <w:sz w:val="24"/>
        </w:rPr>
        <w:t>). For carcinogenic chemicals of concern, probability is derived from application of certain designated exposure assumptions and a slope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“Cast iron pipe”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 pipe or conduit used as a pressure pipe for transmission of water, gas, or sewage or as a water drainage pipe. It comprises predominantly a gray cast iron tube historically used uncoated, with newer types having various coatings and linings to reduce corrosion and improve hydraulics.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“Cathodic protection”</w:t>
      </w:r>
      <w:r>
        <w:rPr>
          <w:rFonts w:ascii="Times New Roman" w:hAnsi="Times New Roman"/>
          <w:b w:val="false"/>
          <w:i w:val="false"/>
          <w:color w:val="000000"/>
          <w:sz w:val="24"/>
        </w:rPr>
        <w:t> </w:t>
      </w:r>
      <w:r>
        <w:rPr>
          <w:rFonts w:ascii="Times New Roman" w:hAnsi="Times New Roman"/>
          <w:b w:val="false"/>
          <w:i w:val="false"/>
          <w:color w:val="000000"/>
          <w:sz w:val="24"/>
        </w:rPr>
        <w:t>is a technique to prevent corrosion of a metal surface by making that surface the cathode of an electrochemical cell. For example, a tank system can be cathodically protected through the application of either galvanic anodes or impressed current.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“Cathodic protection tester”</w:t>
      </w:r>
      <w:r>
        <w:rPr>
          <w:rFonts w:ascii="Times New Roman" w:hAnsi="Times New Roman"/>
          <w:b w:val="false"/>
          <w:i w:val="false"/>
          <w:color w:val="000000"/>
          <w:sz w:val="24"/>
        </w:rPr>
        <w:t> </w:t>
      </w:r>
      <w:r>
        <w:rPr>
          <w:rFonts w:ascii="Times New Roman" w:hAnsi="Times New Roman"/>
          <w:b w:val="false"/>
          <w:i w:val="false"/>
          <w:color w:val="000000"/>
          <w:sz w:val="24"/>
        </w:rPr>
        <w:t>means a person who can demonstrate an understanding of the principles and measurements of all common types of cathodic protection systems as applied to buried or submerged metal piping and tank systems. At a minimum, such persons must have education and experience in soil resistivity, stray current, structure-to-soil potential, and component electrical isolation measurements of buried metal piping and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“CERCLA”</w:t>
      </w:r>
      <w:r>
        <w:rPr>
          <w:rFonts w:ascii="Times New Roman" w:hAnsi="Times New Roman"/>
          <w:b w:val="false"/>
          <w:i w:val="false"/>
          <w:color w:val="000000"/>
          <w:sz w:val="24"/>
        </w:rPr>
        <w:t> </w:t>
      </w:r>
      <w:r>
        <w:rPr>
          <w:rFonts w:ascii="Times New Roman" w:hAnsi="Times New Roman"/>
          <w:b w:val="false"/>
          <w:i w:val="false"/>
          <w:color w:val="000000"/>
          <w:sz w:val="24"/>
        </w:rPr>
        <w:t>means the Comprehensive Environmental Response, Compensation, and Liability Act of 1980 as amended on October 17, 1986.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company”</w:t>
      </w:r>
      <w:r>
        <w:rPr>
          <w:rFonts w:ascii="Times New Roman" w:hAnsi="Times New Roman"/>
          <w:b w:val="false"/>
          <w:i w:val="false"/>
          <w:color w:val="000000"/>
          <w:sz w:val="24"/>
        </w:rPr>
        <w:t> </w:t>
      </w:r>
      <w:r>
        <w:rPr>
          <w:rFonts w:ascii="Times New Roman" w:hAnsi="Times New Roman"/>
          <w:b w:val="false"/>
          <w:i w:val="false"/>
          <w:color w:val="000000"/>
          <w:sz w:val="24"/>
        </w:rPr>
        <w:t>means a person or company that employs a person who meets all of the qualifications to install, upgrade, repair, test or line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individual”</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has received a certification to perform any of the activities regulated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“Change-in-service”</w:t>
      </w:r>
      <w:r>
        <w:rPr>
          <w:rFonts w:ascii="Times New Roman" w:hAnsi="Times New Roman"/>
          <w:b w:val="false"/>
          <w:i w:val="false"/>
          <w:color w:val="000000"/>
          <w:sz w:val="24"/>
        </w:rPr>
        <w:t> </w:t>
      </w:r>
      <w:r>
        <w:rPr>
          <w:rFonts w:ascii="Times New Roman" w:hAnsi="Times New Roman"/>
          <w:b w:val="false"/>
          <w:i w:val="false"/>
          <w:color w:val="000000"/>
          <w:sz w:val="24"/>
        </w:rPr>
        <w:t>means changing the use of a tank system from a regulated to a nonregulated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“Chemicals of concern”</w:t>
      </w:r>
      <w:r>
        <w:rPr>
          <w:rFonts w:ascii="Times New Roman" w:hAnsi="Times New Roman"/>
          <w:b w:val="false"/>
          <w:i w:val="false"/>
          <w:color w:val="000000"/>
          <w:sz w:val="24"/>
        </w:rPr>
        <w:t> </w:t>
      </w:r>
      <w:r>
        <w:rPr>
          <w:rFonts w:ascii="Times New Roman" w:hAnsi="Times New Roman"/>
          <w:b w:val="false"/>
          <w:i w:val="false"/>
          <w:color w:val="000000"/>
          <w:sz w:val="24"/>
        </w:rPr>
        <w:t>means the compounds derived from petroleum-regulated substances that are subject to evaluation for purposes of applying risk-based corrective action decision making. These compounds are benzene, ethylbenzene, toluene, and xylenes (BTEX) and naphthalene, benzo(a)pyrene, benz(a)anthracene, and chrysene. (</w:t>
      </w:r>
      <w:r>
        <w:rPr>
          <w:rFonts w:ascii="Times New Roman" w:hAnsi="Times New Roman"/>
          <w:b w:val="false"/>
          <w:i w:val="false"/>
          <w:color w:val="000000"/>
          <w:sz w:val="24"/>
        </w:rPr>
        <w:t>NOTE</w:t>
      </w:r>
      <w:r>
        <w:rPr>
          <w:rFonts w:ascii="Times New Roman" w:hAnsi="Times New Roman"/>
          <w:b w:val="false"/>
          <w:i w:val="false"/>
          <w:color w:val="000000"/>
          <w:sz w:val="24"/>
        </w:rPr>
        <w:t xml:space="preserve">: Concentration values for these last four constituents are determined by a conversion method from total extractable hydrocarbons, see </w:t>
      </w:r>
      <w:hyperlink r:id="rId26">
        <w:r>
          <w:rPr>
            <w:rStyle w:val="Hyperlink"/>
            <w:rFonts w:ascii="Times New Roman" w:hAnsi="Times New Roman"/>
            <w:b w:val="false"/>
            <w:i w:val="false"/>
            <w:color w:val="000000"/>
            <w:sz w:val="24"/>
          </w:rPr>
          <w:t>135.8(3)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support recovery unit”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child support recovery unit created by Iowa Code section </w:t>
      </w:r>
      <w:hyperlink r:id="rId27">
        <w:r>
          <w:rPr>
            <w:rStyle w:val="Hyperlink"/>
            <w:rFonts w:ascii="Times New Roman" w:hAnsi="Times New Roman"/>
            <w:b w:val="false"/>
            <w:i w:val="false"/>
            <w:color w:val="000000"/>
            <w:sz w:val="24"/>
          </w:rPr>
          <w:t>252B.2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 A operator”</w:t>
      </w:r>
      <w:r>
        <w:rPr>
          <w:rFonts w:ascii="Times New Roman" w:hAnsi="Times New Roman"/>
          <w:b w:val="false"/>
          <w:i w:val="false"/>
          <w:color w:val="000000"/>
          <w:sz w:val="24"/>
        </w:rPr>
        <w:t> </w:t>
      </w:r>
      <w:r>
        <w:rPr>
          <w:rFonts w:ascii="Times New Roman" w:hAnsi="Times New Roman"/>
          <w:b w:val="false"/>
          <w:i w:val="false"/>
          <w:color w:val="000000"/>
          <w:sz w:val="24"/>
        </w:rPr>
        <w:t>means the individual who has primary responsibility to operate and maintain the UST system in accordance with applicable requirements. The Class A operator typically manages resources and personnel, such as establishing work assignments, to achieve and maintain compliance with regulatory requirements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 B operator”</w:t>
      </w:r>
      <w:r>
        <w:rPr>
          <w:rFonts w:ascii="Times New Roman" w:hAnsi="Times New Roman"/>
          <w:b w:val="false"/>
          <w:i w:val="false"/>
          <w:color w:val="000000"/>
          <w:sz w:val="24"/>
        </w:rPr>
        <w:t> </w:t>
      </w:r>
      <w:r>
        <w:rPr>
          <w:rFonts w:ascii="Times New Roman" w:hAnsi="Times New Roman"/>
          <w:b w:val="false"/>
          <w:i w:val="false"/>
          <w:color w:val="000000"/>
          <w:sz w:val="24"/>
        </w:rPr>
        <w:t>means the individual who has day-to-day responsibility for implementing applicable regulatory requirements established by the department. The Class B operator typically implements in-field aspects of operation, maintenance, and associated recordkeeping for the UST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 C operator”</w:t>
      </w:r>
      <w:r>
        <w:rPr>
          <w:rFonts w:ascii="Times New Roman" w:hAnsi="Times New Roman"/>
          <w:b w:val="false"/>
          <w:i w:val="false"/>
          <w:color w:val="000000"/>
          <w:sz w:val="24"/>
        </w:rPr>
        <w:t> </w:t>
      </w:r>
      <w:r>
        <w:rPr>
          <w:rFonts w:ascii="Times New Roman" w:hAnsi="Times New Roman"/>
          <w:b w:val="false"/>
          <w:i w:val="false"/>
          <w:color w:val="000000"/>
          <w:sz w:val="24"/>
        </w:rPr>
        <w:t>means the individual responsible for initially addressing emergencies presented by a spill or release from a UST system. The Class C operator typically controls or monitors the dispensing or sale of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Federal Regulation”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federal administrative rules adopted by the United States as amended through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“Compatible”</w:t>
      </w:r>
      <w:r>
        <w:rPr>
          <w:rFonts w:ascii="Times New Roman" w:hAnsi="Times New Roman"/>
          <w:b w:val="false"/>
          <w:i w:val="false"/>
          <w:color w:val="000000"/>
          <w:sz w:val="24"/>
        </w:rPr>
        <w:t> </w:t>
      </w:r>
      <w:r>
        <w:rPr>
          <w:rFonts w:ascii="Times New Roman" w:hAnsi="Times New Roman"/>
          <w:b w:val="false"/>
          <w:i w:val="false"/>
          <w:color w:val="000000"/>
          <w:sz w:val="24"/>
        </w:rPr>
        <w:t>means the ability of two or more substances to maintain their respective physical and chemical properties upon contact with one another for the design life of the tank system under conditions likely to be encountered in the 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“Conduit”</w:t>
      </w:r>
      <w:r>
        <w:rPr>
          <w:rFonts w:ascii="Times New Roman" w:hAnsi="Times New Roman"/>
          <w:b w:val="false"/>
          <w:i w:val="false"/>
          <w:color w:val="000000"/>
          <w:sz w:val="24"/>
        </w:rPr>
        <w:t> </w:t>
      </w:r>
      <w:r>
        <w:rPr>
          <w:rFonts w:ascii="Times New Roman" w:hAnsi="Times New Roman"/>
          <w:b w:val="false"/>
          <w:i w:val="false"/>
          <w:color w:val="000000"/>
          <w:sz w:val="24"/>
        </w:rPr>
        <w:t>means underground structures that act as pathways and receptors for chemicals of concern, including but not limited to gravity drain lines and sanitary or storm sewers.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“Connected piping”</w:t>
      </w:r>
      <w:r>
        <w:rPr>
          <w:rFonts w:ascii="Times New Roman" w:hAnsi="Times New Roman"/>
          <w:b w:val="false"/>
          <w:i w:val="false"/>
          <w:color w:val="000000"/>
          <w:sz w:val="24"/>
        </w:rPr>
        <w:t> </w:t>
      </w:r>
      <w:r>
        <w:rPr>
          <w:rFonts w:ascii="Times New Roman" w:hAnsi="Times New Roman"/>
          <w:b w:val="false"/>
          <w:i w:val="false"/>
          <w:color w:val="000000"/>
          <w:sz w:val="24"/>
        </w:rPr>
        <w:t>means all underground piping including valves, elbows, joints, flanges, and flexible connectors attached to a tank system through which regulated substances flow. For the purpose of determining how much piping is connected to any individual UST system, the piping that joins two UST systems should be allocated equally between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“Consumptive use”</w:t>
      </w:r>
      <w:r>
        <w:rPr>
          <w:rFonts w:ascii="Times New Roman" w:hAnsi="Times New Roman"/>
          <w:b w:val="false"/>
          <w:i w:val="false"/>
          <w:color w:val="000000"/>
          <w:sz w:val="24"/>
        </w:rPr>
        <w:t> </w:t>
      </w:r>
      <w:r>
        <w:rPr>
          <w:rFonts w:ascii="Times New Roman" w:hAnsi="Times New Roman"/>
          <w:b w:val="false"/>
          <w:i w:val="false"/>
          <w:color w:val="000000"/>
          <w:sz w:val="24"/>
        </w:rPr>
        <w:t>with respect to heating oil means consumed on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“Containment sump”</w:t>
      </w:r>
      <w:r>
        <w:rPr>
          <w:rFonts w:ascii="Times New Roman" w:hAnsi="Times New Roman"/>
          <w:b w:val="false"/>
          <w:i w:val="false"/>
          <w:color w:val="000000"/>
          <w:sz w:val="24"/>
        </w:rPr>
        <w:t> </w:t>
      </w:r>
      <w:r>
        <w:rPr>
          <w:rFonts w:ascii="Times New Roman" w:hAnsi="Times New Roman"/>
          <w:b w:val="false"/>
          <w:i w:val="false"/>
          <w:color w:val="000000"/>
          <w:sz w:val="24"/>
        </w:rPr>
        <w:t>means a liquid-tight container that protects the environment by containing leaks and spills of regulated substances from piping, dispensers, pumps and related components in the containment area. Containment sumps may be single-walled or secondarily contained and located at the top of the tank (tank top or submersible turbine sump pump), underneath the dispenser (under-dispenser containment sump), or at other points in the piping run (transition or intermediate sump).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“Corrective action”</w:t>
      </w:r>
      <w:r>
        <w:rPr>
          <w:rFonts w:ascii="Times New Roman" w:hAnsi="Times New Roman"/>
          <w:b w:val="false"/>
          <w:i w:val="false"/>
          <w:color w:val="000000"/>
          <w:sz w:val="24"/>
        </w:rPr>
        <w:t> </w:t>
      </w:r>
      <w:r>
        <w:rPr>
          <w:rFonts w:ascii="Times New Roman" w:hAnsi="Times New Roman"/>
          <w:b w:val="false"/>
          <w:i w:val="false"/>
          <w:color w:val="000000"/>
          <w:sz w:val="24"/>
        </w:rPr>
        <w:t>means an action taken to reduce, minimize, eliminate, clean up, control or monitor a release to protect the public health and safety or the environment. Corrective action includes but is not limited to excavation of an underground storage tank for the purpose of repairing a leak or removal of a tank, removal of contaminated soil, disposal or processing of contaminated soil, cleansing of groundwaters or surface waters, natural biodegradation, institutional controls, technological controls and site management practices. Corrective action does not include replacement of an underground storage tank. Corrective action specifically excludes third-party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“Corrective action meeting process”</w:t>
      </w:r>
      <w:r>
        <w:rPr>
          <w:rFonts w:ascii="Times New Roman" w:hAnsi="Times New Roman"/>
          <w:b w:val="false"/>
          <w:i w:val="false"/>
          <w:color w:val="000000"/>
          <w:sz w:val="24"/>
        </w:rPr>
        <w:t> </w:t>
      </w:r>
      <w:r>
        <w:rPr>
          <w:rFonts w:ascii="Times New Roman" w:hAnsi="Times New Roman"/>
          <w:b w:val="false"/>
          <w:i w:val="false"/>
          <w:color w:val="000000"/>
          <w:sz w:val="24"/>
        </w:rPr>
        <w:t>means a series of meetings organized by department staff with owners or operators and other interested parties such as certified groundwater professionals, funding source representatives, and affected property owners. The purpose of the meeting process is to develop and agree on a corrective action plan and the terms for implementation of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“Corrective action plan”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plan that specifies the corrective action to be undertaken by the owner or operator in order to comply with requirements in this chapter and that is incorporated into a memorandum of agreement or other written agreement between the department and the owner or operator. The plan may include but is not limited to provisions for additional site assessment, site monitoring, Tier 2 revisions, Tier 3 assessment, excavation, and other soil and groundwater remedial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“Corrosion expert”</w:t>
      </w:r>
      <w:r>
        <w:rPr>
          <w:rFonts w:ascii="Times New Roman" w:hAnsi="Times New Roman"/>
          <w:b w:val="false"/>
          <w:i w:val="false"/>
          <w:color w:val="000000"/>
          <w:sz w:val="24"/>
        </w:rPr>
        <w:t> </w:t>
      </w:r>
      <w:r>
        <w:rPr>
          <w:rFonts w:ascii="Times New Roman" w:hAnsi="Times New Roman"/>
          <w:b w:val="false"/>
          <w:i w:val="false"/>
          <w:color w:val="000000"/>
          <w:sz w:val="24"/>
        </w:rPr>
        <w:t>means a person who, by reason of thorough knowledge of the physical sciences and the principles of engineering and mathematics acquired by a professional education and related practical experience, is qualified to engage in the practice of corrosion control on buried or submerged metal piping systems and metal tanks. Such a person must be accredited or certified as being qualified by the National Association of Corrosion Engineers or be a registered professional engineer who has certification or licensing that includes education and experience in corrosion control of buried or submerged metal piping systems and metal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“Dielectric material”</w:t>
      </w:r>
      <w:r>
        <w:rPr>
          <w:rFonts w:ascii="Times New Roman" w:hAnsi="Times New Roman"/>
          <w:b w:val="false"/>
          <w:i w:val="false"/>
          <w:color w:val="000000"/>
          <w:sz w:val="24"/>
        </w:rPr>
        <w:t> </w:t>
      </w:r>
      <w:r>
        <w:rPr>
          <w:rFonts w:ascii="Times New Roman" w:hAnsi="Times New Roman"/>
          <w:b w:val="false"/>
          <w:i w:val="false"/>
          <w:color w:val="000000"/>
          <w:sz w:val="24"/>
        </w:rPr>
        <w:t>means a material that does not conduct direct electrical current. Dielectric coatings are used to electrically isolate UST systems from the surrounding soils. Dielectric bushings are used to electrically isolate portions of the UST systems (e.g., tank from piping).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“Dispenser”</w:t>
      </w:r>
      <w:r>
        <w:rPr>
          <w:rFonts w:ascii="Times New Roman" w:hAnsi="Times New Roman"/>
          <w:b w:val="false"/>
          <w:i w:val="false"/>
          <w:color w:val="000000"/>
          <w:sz w:val="24"/>
        </w:rPr>
        <w:t> </w:t>
      </w:r>
      <w:r>
        <w:rPr>
          <w:rFonts w:ascii="Times New Roman" w:hAnsi="Times New Roman"/>
          <w:b w:val="false"/>
          <w:i w:val="false"/>
          <w:color w:val="000000"/>
          <w:sz w:val="24"/>
        </w:rPr>
        <w:t>means equipment located above ground that dispenses regulated substances from the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“Dispenser system”</w:t>
      </w:r>
      <w:r>
        <w:rPr>
          <w:rFonts w:ascii="Times New Roman" w:hAnsi="Times New Roman"/>
          <w:b w:val="false"/>
          <w:i w:val="false"/>
          <w:color w:val="000000"/>
          <w:sz w:val="24"/>
        </w:rPr>
        <w:t> </w:t>
      </w:r>
      <w:r>
        <w:rPr>
          <w:rFonts w:ascii="Times New Roman" w:hAnsi="Times New Roman"/>
          <w:b w:val="false"/>
          <w:i w:val="false"/>
          <w:color w:val="000000"/>
          <w:sz w:val="24"/>
        </w:rPr>
        <w:t>means the dispenser and the equipment necessary to connect the dispenser to the underground storage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“Drinking water well”</w:t>
      </w:r>
      <w:r>
        <w:rPr>
          <w:rFonts w:ascii="Times New Roman" w:hAnsi="Times New Roman"/>
          <w:b w:val="false"/>
          <w:i w:val="false"/>
          <w:color w:val="000000"/>
          <w:sz w:val="24"/>
        </w:rPr>
        <w:t> </w:t>
      </w:r>
      <w:r>
        <w:rPr>
          <w:rFonts w:ascii="Times New Roman" w:hAnsi="Times New Roman"/>
          <w:b w:val="false"/>
          <w:i w:val="false"/>
          <w:color w:val="000000"/>
          <w:sz w:val="24"/>
        </w:rPr>
        <w:t>means any groundwater well used as a source for drinking water by humans and groundwater wells used primarily for the final production of food or medicine for human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“Ductile iron pipe”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pipe or conduit commonly used for potable water distribution and for the pumping of sewage. The predominant wall material is ductile iron, a spheroidized graphite cast iron, and commonly has an internal cement mortar lining to inhibit corrosion from the carried water and various types of external coatings to inhibit corrosion from the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“Electrical equipment”</w:t>
      </w:r>
      <w:r>
        <w:rPr>
          <w:rFonts w:ascii="Times New Roman" w:hAnsi="Times New Roman"/>
          <w:b w:val="false"/>
          <w:i w:val="false"/>
          <w:color w:val="000000"/>
          <w:sz w:val="24"/>
        </w:rPr>
        <w:t> </w:t>
      </w:r>
      <w:r>
        <w:rPr>
          <w:rFonts w:ascii="Times New Roman" w:hAnsi="Times New Roman"/>
          <w:b w:val="false"/>
          <w:i w:val="false"/>
          <w:color w:val="000000"/>
          <w:sz w:val="24"/>
        </w:rPr>
        <w:t>means underground equipment that contains dielectric fluid that is necessary for the operation of equipment such as transformers and buried electrical 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“Enclosed space”</w:t>
      </w:r>
      <w:r>
        <w:rPr>
          <w:rFonts w:ascii="Times New Roman" w:hAnsi="Times New Roman"/>
          <w:b w:val="false"/>
          <w:i w:val="false"/>
          <w:color w:val="000000"/>
          <w:sz w:val="24"/>
        </w:rPr>
        <w:t> </w:t>
      </w:r>
      <w:r>
        <w:rPr>
          <w:rFonts w:ascii="Times New Roman" w:hAnsi="Times New Roman"/>
          <w:b w:val="false"/>
          <w:i w:val="false"/>
          <w:color w:val="000000"/>
          <w:sz w:val="24"/>
        </w:rPr>
        <w:t>means space that can act as a receptor or pathway capable of creating a risk of explosion or inhalation hazard to humans and includes “explosive receptors” and “confined spaces.” Explosive receptors means those receptors designated in these rules that are evaluated for explosive risk. Confined spaces means those receptors designated in these rules for evaluation of vapor inhalation risks.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“Ethanol”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ethyl alcohol that is to be blended with gasoline if it meets the standards provided in Iowa Code section </w:t>
      </w:r>
      <w:hyperlink r:id="rId28">
        <w:r>
          <w:rPr>
            <w:rStyle w:val="Hyperlink"/>
            <w:rFonts w:ascii="Times New Roman" w:hAnsi="Times New Roman"/>
            <w:b w:val="false"/>
            <w:i w:val="false"/>
            <w:color w:val="000000"/>
            <w:sz w:val="24"/>
          </w:rPr>
          <w:t>214A.2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“Excavation zone”</w:t>
      </w:r>
      <w:r>
        <w:rPr>
          <w:rFonts w:ascii="Times New Roman" w:hAnsi="Times New Roman"/>
          <w:b w:val="false"/>
          <w:i w:val="false"/>
          <w:color w:val="000000"/>
          <w:sz w:val="24"/>
        </w:rPr>
        <w:t> </w:t>
      </w:r>
      <w:r>
        <w:rPr>
          <w:rFonts w:ascii="Times New Roman" w:hAnsi="Times New Roman"/>
          <w:b w:val="false"/>
          <w:i w:val="false"/>
          <w:color w:val="000000"/>
          <w:sz w:val="24"/>
        </w:rPr>
        <w:t>means the volume containing the tank system and backfill material bounded by the ground surface, walls, and floor of the pit and trenches into which the UST system is placed at the time of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“Existing tank system”</w:t>
      </w:r>
      <w:r>
        <w:rPr>
          <w:rFonts w:ascii="Times New Roman" w:hAnsi="Times New Roman"/>
          <w:b w:val="false"/>
          <w:i w:val="false"/>
          <w:color w:val="000000"/>
          <w:sz w:val="24"/>
        </w:rPr>
        <w:t> </w:t>
      </w:r>
      <w:r>
        <w:rPr>
          <w:rFonts w:ascii="Times New Roman" w:hAnsi="Times New Roman"/>
          <w:b w:val="false"/>
          <w:i w:val="false"/>
          <w:color w:val="000000"/>
          <w:sz w:val="24"/>
        </w:rPr>
        <w:t>means a tank system used to contain an accumulation of regulated substances or for which installation has commenced on or before January 14, 1987. Installation is considered to have commenced if:</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owner or operator has obtained all federal, state, and local approvals or permits necessary to begin physical construction of the site or installation of the tank system;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Either: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continuous on-site physical construction or installation program has begun;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owner or operator has entered into contractual obligations, which cannot be canceled or modified without substantial loss, for physical construction at the site or installation of the tank system to be completed within a reasonable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“Farm tank”</w:t>
      </w:r>
      <w:r>
        <w:rPr>
          <w:rFonts w:ascii="Times New Roman" w:hAnsi="Times New Roman"/>
          <w:b w:val="false"/>
          <w:i w:val="false"/>
          <w:color w:val="000000"/>
          <w:sz w:val="24"/>
        </w:rPr>
        <w:t> </w:t>
      </w:r>
      <w:r>
        <w:rPr>
          <w:rFonts w:ascii="Times New Roman" w:hAnsi="Times New Roman"/>
          <w:b w:val="false"/>
          <w:i w:val="false"/>
          <w:color w:val="000000"/>
          <w:sz w:val="24"/>
        </w:rPr>
        <w:t>is a tank located on a tract of land devoted to the production of crops or raising animals, including fish, and associated residences and improvements. A farm tank must be located on the farm property. “Farm” includes fish hatcheries, rangeland and nurseries with growing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“Field-constructed tank”</w:t>
      </w:r>
      <w:r>
        <w:rPr>
          <w:rFonts w:ascii="Times New Roman" w:hAnsi="Times New Roman"/>
          <w:b w:val="false"/>
          <w:i w:val="false"/>
          <w:color w:val="000000"/>
          <w:sz w:val="24"/>
        </w:rPr>
        <w:t> </w:t>
      </w:r>
      <w:r>
        <w:rPr>
          <w:rFonts w:ascii="Times New Roman" w:hAnsi="Times New Roman"/>
          <w:b w:val="false"/>
          <w:i w:val="false"/>
          <w:color w:val="000000"/>
          <w:sz w:val="24"/>
        </w:rPr>
        <w:t>means a tank constructed in the field. For example, a tank constructed of concrete that is poured in the field or a steel or fiberglass tank primarily fabricated in the field is considered field-constructed.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“Flow-through process tank”</w:t>
      </w:r>
      <w:r>
        <w:rPr>
          <w:rFonts w:ascii="Times New Roman" w:hAnsi="Times New Roman"/>
          <w:b w:val="false"/>
          <w:i w:val="false"/>
          <w:color w:val="000000"/>
          <w:sz w:val="24"/>
        </w:rPr>
        <w:t> </w:t>
      </w:r>
      <w:r>
        <w:rPr>
          <w:rFonts w:ascii="Times New Roman" w:hAnsi="Times New Roman"/>
          <w:b w:val="false"/>
          <w:i w:val="false"/>
          <w:color w:val="000000"/>
          <w:sz w:val="24"/>
        </w:rPr>
        <w:t>is a tank that forms an integral part of a production process through which there is a steady, variable, recurring, or intermittent flow of materials during the operation of the process. Flow-through process tanks do not include tanks used for the storage of materials prior to their introduction into the production process or for the storage of finished products or by-products from the production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“Free product”</w:t>
      </w:r>
      <w:r>
        <w:rPr>
          <w:rFonts w:ascii="Times New Roman" w:hAnsi="Times New Roman"/>
          <w:b w:val="false"/>
          <w:i w:val="false"/>
          <w:color w:val="000000"/>
          <w:sz w:val="24"/>
        </w:rPr>
        <w:t> </w:t>
      </w:r>
      <w:r>
        <w:rPr>
          <w:rFonts w:ascii="Times New Roman" w:hAnsi="Times New Roman"/>
          <w:b w:val="false"/>
          <w:i w:val="false"/>
          <w:color w:val="000000"/>
          <w:sz w:val="24"/>
        </w:rPr>
        <w:t>refers to a regulated substance that is present as a light nonaqueous phase liquid (e.g., liquid not dissolved in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“Gasket”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type of pipe seals made of a variety of rubbers including but not necessarily limited to styrene-butadiene rubber (SBR), nitrile-butadiene rubber (NBR or nitrile), ethylene propylene diene monomer (EPDM), neoprene (CR), and fluoroelastomer rubber (FKM), which are used to seal pipe connections.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“Gathering lines”</w:t>
      </w:r>
      <w:r>
        <w:rPr>
          <w:rFonts w:ascii="Times New Roman" w:hAnsi="Times New Roman"/>
          <w:b w:val="false"/>
          <w:i w:val="false"/>
          <w:color w:val="000000"/>
          <w:sz w:val="24"/>
        </w:rPr>
        <w:t> </w:t>
      </w:r>
      <w:r>
        <w:rPr>
          <w:rFonts w:ascii="Times New Roman" w:hAnsi="Times New Roman"/>
          <w:b w:val="false"/>
          <w:i w:val="false"/>
          <w:color w:val="000000"/>
          <w:sz w:val="24"/>
        </w:rPr>
        <w:t>means any pipeline, equipment, facility, or building used in the transportation of oil or gas during oil or gas production or gathering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ingestion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groundwater by which chemicals of concern may result in exposure to a human receptor as specified in rules applicable to Tier 1, Tier 2 and Tier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plume”</w:t>
      </w:r>
      <w:r>
        <w:rPr>
          <w:rFonts w:ascii="Times New Roman" w:hAnsi="Times New Roman"/>
          <w:b w:val="false"/>
          <w:i w:val="false"/>
          <w:color w:val="000000"/>
          <w:sz w:val="24"/>
        </w:rPr>
        <w:t> </w:t>
      </w:r>
      <w:r>
        <w:rPr>
          <w:rFonts w:ascii="Times New Roman" w:hAnsi="Times New Roman"/>
          <w:b w:val="false"/>
          <w:i w:val="false"/>
          <w:color w:val="000000"/>
          <w:sz w:val="24"/>
        </w:rPr>
        <w:t>means the extent of groundwater impacted by the release of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is a person who provides subsurface soil contamination and groundwater consulting services, or who contracts to perform or who supervises remediation or corrective action services at leaking underground storage tank sites. Refer to Iowa Code section </w:t>
      </w:r>
      <w:hyperlink r:id="rId29">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to water line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groundwater that leads to a water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vapor to enclosed space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groundwater by which vapors from chemicals of concern may lead to a receptor creating an inhalation or explosive risk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“Hazardous substance UST system”</w:t>
      </w:r>
      <w:r>
        <w:rPr>
          <w:rFonts w:ascii="Times New Roman" w:hAnsi="Times New Roman"/>
          <w:b w:val="false"/>
          <w:i w:val="false"/>
          <w:color w:val="000000"/>
          <w:sz w:val="24"/>
        </w:rPr>
        <w:t> </w:t>
      </w:r>
      <w:r>
        <w:rPr>
          <w:rFonts w:ascii="Times New Roman" w:hAnsi="Times New Roman"/>
          <w:b w:val="false"/>
          <w:i w:val="false"/>
          <w:color w:val="000000"/>
          <w:sz w:val="24"/>
        </w:rPr>
        <w:t>means an underground storage tank system that contains a hazardous substance defined in Section 101(14) of the Comprehensive Environmental Response, Compensation, and Liability Act of 1980 (but not including any substance regulated as a hazardous waste under subtitle C) or any mixture of such substances and petroleum and that is not a petroleum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“Hazard quotient”</w:t>
      </w:r>
      <w:r>
        <w:rPr>
          <w:rFonts w:ascii="Times New Roman" w:hAnsi="Times New Roman"/>
          <w:b w:val="false"/>
          <w:i w:val="false"/>
          <w:color w:val="000000"/>
          <w:sz w:val="24"/>
        </w:rPr>
        <w:t> </w:t>
      </w:r>
      <w:r>
        <w:rPr>
          <w:rFonts w:ascii="Times New Roman" w:hAnsi="Times New Roman"/>
          <w:b w:val="false"/>
          <w:i w:val="false"/>
          <w:color w:val="000000"/>
          <w:sz w:val="24"/>
        </w:rPr>
        <w:t>means the ratio of the level of exposure of a chemical of concern over a specified time period to a reference dose for that chemical of concern derived for a similar exposure period. Unless otherwise specified, the hazard quotient designated in these rules is 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“Heating oil”</w:t>
      </w:r>
      <w:r>
        <w:rPr>
          <w:rFonts w:ascii="Times New Roman" w:hAnsi="Times New Roman"/>
          <w:b w:val="false"/>
          <w:i w:val="false"/>
          <w:color w:val="000000"/>
          <w:sz w:val="24"/>
        </w:rPr>
        <w:t> </w:t>
      </w:r>
      <w:r>
        <w:rPr>
          <w:rFonts w:ascii="Times New Roman" w:hAnsi="Times New Roman"/>
          <w:b w:val="false"/>
          <w:i w:val="false"/>
          <w:color w:val="000000"/>
          <w:sz w:val="24"/>
        </w:rPr>
        <w:t>means petroleum that is No. 1, No. 2, No. 4-light, No. 4-heavy, No. 5-light, No. 5-heavy, and No. 6 technical grades of fuel oil; other residual fuel oils (including Navy Special Fuel Oil and Bunker C); and other fuels when used as substitutes for one of these fuel oils. Heating oil is typically used in the operation of heating equipment, boilers, or furnaces.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“Highly permeable soils”</w:t>
      </w:r>
      <w:r>
        <w:rPr>
          <w:rFonts w:ascii="Times New Roman" w:hAnsi="Times New Roman"/>
          <w:b w:val="false"/>
          <w:i w:val="false"/>
          <w:color w:val="000000"/>
          <w:sz w:val="24"/>
        </w:rPr>
        <w:t> </w:t>
      </w:r>
      <w:r>
        <w:rPr>
          <w:rFonts w:ascii="Times New Roman" w:hAnsi="Times New Roman"/>
          <w:b w:val="false"/>
          <w:i w:val="false"/>
          <w:color w:val="000000"/>
          <w:sz w:val="24"/>
        </w:rPr>
        <w:t>means for the purpose of UST closures: fractured bedrock, any soils with a hydraulic conductivity rate greater than 0.3 meters per day, or any soil material classified by the Unified Soil Classification System as published by the United States Department of the Interior or ASTM designation as (1) GW - well graded gravel, gravel-sand mixtures, little or no fines, (2) GP - poorly graded gravel, gravel-sand mixtures, little or no fines, (3) SW - well graded sands, gravelly sands, little or no fines, or (4) SP - poorly graded sands, gravelly sands, little or no fines.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“Hydraulic conductivity”</w:t>
      </w:r>
      <w:r>
        <w:rPr>
          <w:rFonts w:ascii="Times New Roman" w:hAnsi="Times New Roman"/>
          <w:b w:val="false"/>
          <w:i w:val="false"/>
          <w:color w:val="000000"/>
          <w:sz w:val="24"/>
        </w:rPr>
        <w:t> </w:t>
      </w:r>
      <w:r>
        <w:rPr>
          <w:rFonts w:ascii="Times New Roman" w:hAnsi="Times New Roman"/>
          <w:b w:val="false"/>
          <w:i w:val="false"/>
          <w:color w:val="000000"/>
          <w:sz w:val="24"/>
        </w:rPr>
        <w:t>means the rate of water movement through the soil measured in meters per day (m/d) as determined by the following methods. For a saturated soil, the Bouwer-Rice method or its equivalent shall be used. For unsaturated soil, use a Guelph permeameter or an equivalent in situ constant-head permeameter in a boring finished above the water table. If an in situ method cannot be used for unsaturated soil because of depth, or if the soil is homogeneous and lacks flow-conducting channels, fractures, cavities, etc., laboratory measurement of hydraulic conductivity is acceptable.</w:t>
      </w:r>
    </w:p>
    <w:p>
      <w:pPr>
        <w:spacing w:before="0" w:after="0" w:line="480"/>
        <w:ind w:left="120"/>
        <w:jc w:val="both"/>
      </w:pPr>
      <w:r>
        <w:rPr>
          <w:rFonts w:ascii="Times New Roman" w:hAnsi="Times New Roman"/>
          <w:b w:val="false"/>
          <w:i w:val="false"/>
          <w:color w:val="000000"/>
          <w:sz w:val="24"/>
        </w:rPr>
        <w:t>If laboratory methods are used, collect undisturbed soil samples using a thin-walled tube sampler in accordance with American Society of Testing and Materials (ASTM) Standard D1587. Samples shall be clearly marked, preserved and transported to the laboratory. The laboratory shall measure hydraulic conductivity using a constant-head permeameter in accordance with ASTM Standard D2434 or a falling-head permeameter in accordance with accepted methodology.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“Hydraulic lift tank”</w:t>
      </w:r>
      <w:r>
        <w:rPr>
          <w:rFonts w:ascii="Times New Roman" w:hAnsi="Times New Roman"/>
          <w:b w:val="false"/>
          <w:i w:val="false"/>
          <w:color w:val="000000"/>
          <w:sz w:val="24"/>
        </w:rPr>
        <w:t> </w:t>
      </w:r>
      <w:r>
        <w:rPr>
          <w:rFonts w:ascii="Times New Roman" w:hAnsi="Times New Roman"/>
          <w:b w:val="false"/>
          <w:i w:val="false"/>
          <w:color w:val="000000"/>
          <w:sz w:val="24"/>
        </w:rPr>
        <w:t>means a tank holding hydraulic fluid for a closed-loop mechanical system that uses compressed air or hydraulic fluid to operate lifts, elevators, and other similar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“Install”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“installation”</w:t>
      </w:r>
      <w:r>
        <w:rPr>
          <w:rFonts w:ascii="Times New Roman" w:hAnsi="Times New Roman"/>
          <w:b w:val="false"/>
          <w:i w:val="false"/>
          <w:color w:val="000000"/>
          <w:sz w:val="24"/>
        </w:rPr>
        <w:t> </w:t>
      </w:r>
      <w:r>
        <w:rPr>
          <w:rFonts w:ascii="Times New Roman" w:hAnsi="Times New Roman"/>
          <w:b w:val="false"/>
          <w:i w:val="false"/>
          <w:color w:val="000000"/>
          <w:sz w:val="24"/>
        </w:rPr>
        <w:t>means the physical construction of a UST system including but not limited to activities such as excavating, backfilling, testing, placement of the tank, underground piping, release detection devices, corrosion protection systems, spill and overfill devices and any associated administrative activities such as notifications, recordkeeping and record submissions.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“Installation inspector”</w:t>
      </w:r>
      <w:r>
        <w:rPr>
          <w:rFonts w:ascii="Times New Roman" w:hAnsi="Times New Roman"/>
          <w:b w:val="false"/>
          <w:i w:val="false"/>
          <w:color w:val="000000"/>
          <w:sz w:val="24"/>
        </w:rPr>
        <w:t> </w:t>
      </w:r>
      <w:r>
        <w:rPr>
          <w:rFonts w:ascii="Times New Roman" w:hAnsi="Times New Roman"/>
          <w:b w:val="false"/>
          <w:i w:val="false"/>
          <w:color w:val="000000"/>
          <w:sz w:val="24"/>
        </w:rPr>
        <w:t>means a certified individual who is engaged in the inspection and approval of the installation of new or upgraded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“Installer”</w:t>
      </w:r>
      <w:r>
        <w:rPr>
          <w:rFonts w:ascii="Times New Roman" w:hAnsi="Times New Roman"/>
          <w:b w:val="false"/>
          <w:i w:val="false"/>
          <w:color w:val="000000"/>
          <w:sz w:val="24"/>
        </w:rPr>
        <w:t> </w:t>
      </w:r>
      <w:r>
        <w:rPr>
          <w:rFonts w:ascii="Times New Roman" w:hAnsi="Times New Roman"/>
          <w:b w:val="false"/>
          <w:i w:val="false"/>
          <w:color w:val="000000"/>
          <w:sz w:val="24"/>
        </w:rPr>
        <w:t>means a certified individual or certified company engaged in the installation of a new underground storage tank system or the upgrading of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“Institutional controls”</w:t>
      </w:r>
      <w:r>
        <w:rPr>
          <w:rFonts w:ascii="Times New Roman" w:hAnsi="Times New Roman"/>
          <w:b w:val="false"/>
          <w:i w:val="false"/>
          <w:color w:val="000000"/>
          <w:sz w:val="24"/>
        </w:rPr>
        <w:t> </w:t>
      </w:r>
      <w:r>
        <w:rPr>
          <w:rFonts w:ascii="Times New Roman" w:hAnsi="Times New Roman"/>
          <w:b w:val="false"/>
          <w:i w:val="false"/>
          <w:color w:val="000000"/>
          <w:sz w:val="24"/>
        </w:rPr>
        <w:t>means the restriction on use or access (for example, fences, deed restrictions, restrictive zoning) to a site or facility to eliminate or minimize potential exposure to a chemical(s) of concern. Institutional controls include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law of the United States or the state;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regulation issued pursuant to federal or state laws;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ordinance or regulation of a political subdivision in which real estate subject to the institutional control is located;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restriction on the use of or activities occurring at real estate that are embodied in a covenant running with the land that: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Contains a legal description of the real estate in a manner that satisfies Iowa Code section </w:t>
      </w:r>
      <w:hyperlink r:id="rId30">
        <w:r>
          <w:rPr>
            <w:rStyle w:val="Hyperlink"/>
            <w:rFonts w:ascii="Times New Roman" w:hAnsi="Times New Roman"/>
            <w:b w:val="false"/>
            <w:i w:val="false"/>
            <w:color w:val="000000"/>
            <w:sz w:val="24"/>
          </w:rPr>
          <w:t>558.1</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Is properly executed in a manner that satisfies Iowa Code section </w:t>
      </w:r>
      <w:hyperlink r:id="rId31">
        <w:r>
          <w:rPr>
            <w:rStyle w:val="Hyperlink"/>
            <w:rFonts w:ascii="Times New Roman" w:hAnsi="Times New Roman"/>
            <w:b w:val="false"/>
            <w:i w:val="false"/>
            <w:color w:val="000000"/>
            <w:sz w:val="24"/>
          </w:rPr>
          <w:t>558.1</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Is recorded in the appropriate office of the county in which the real estate is located;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Adequately and accurately describes the institutional control;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Is in the form of a covenant acceptable to the department.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Any other institutional control the owner or operator can reasonably demonstrate to the department that will reduce the risk from a release throughout the period necessary to ensure that no applicable target risk is likely to be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 the aggregate”</w:t>
      </w:r>
      <w:r>
        <w:rPr>
          <w:rFonts w:ascii="Times New Roman" w:hAnsi="Times New Roman"/>
          <w:b w:val="false"/>
          <w:i w:val="false"/>
          <w:color w:val="000000"/>
          <w:sz w:val="24"/>
        </w:rPr>
        <w:t> </w:t>
      </w:r>
      <w:r>
        <w:rPr>
          <w:rFonts w:ascii="Times New Roman" w:hAnsi="Times New Roman"/>
          <w:b w:val="false"/>
          <w:i w:val="false"/>
          <w:color w:val="000000"/>
          <w:sz w:val="24"/>
        </w:rPr>
        <w:t>means for all claims or suits in a single policy year seeking damages.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“Light, nonaqueous-phase liquid”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“LNAPL”</w:t>
      </w:r>
      <w:r>
        <w:rPr>
          <w:rFonts w:ascii="Times New Roman" w:hAnsi="Times New Roman"/>
          <w:b w:val="false"/>
          <w:i w:val="false"/>
          <w:color w:val="000000"/>
          <w:sz w:val="24"/>
        </w:rPr>
        <w:t> </w:t>
      </w:r>
      <w:r>
        <w:rPr>
          <w:rFonts w:ascii="Times New Roman" w:hAnsi="Times New Roman"/>
          <w:b w:val="false"/>
          <w:i w:val="false"/>
          <w:color w:val="000000"/>
          <w:sz w:val="24"/>
        </w:rPr>
        <w:t>means a light non-aqueous phase liquid (e.g., petroleum oil, gasoline, diesel fuel) that has a density less than water and is immiscible with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“Liner”</w:t>
      </w:r>
      <w:r>
        <w:rPr>
          <w:rFonts w:ascii="Times New Roman" w:hAnsi="Times New Roman"/>
          <w:b w:val="false"/>
          <w:i w:val="false"/>
          <w:color w:val="000000"/>
          <w:sz w:val="24"/>
        </w:rPr>
        <w:t> </w:t>
      </w:r>
      <w:r>
        <w:rPr>
          <w:rFonts w:ascii="Times New Roman" w:hAnsi="Times New Roman"/>
          <w:b w:val="false"/>
          <w:i w:val="false"/>
          <w:color w:val="000000"/>
          <w:sz w:val="24"/>
        </w:rPr>
        <w:t>means a certified company or an individual who provides services to install underground storage tank lining and to repair 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“Liquid trap”</w:t>
      </w:r>
      <w:r>
        <w:rPr>
          <w:rFonts w:ascii="Times New Roman" w:hAnsi="Times New Roman"/>
          <w:b w:val="false"/>
          <w:i w:val="false"/>
          <w:color w:val="000000"/>
          <w:sz w:val="24"/>
        </w:rPr>
        <w:t> </w:t>
      </w:r>
      <w:r>
        <w:rPr>
          <w:rFonts w:ascii="Times New Roman" w:hAnsi="Times New Roman"/>
          <w:b w:val="false"/>
          <w:i w:val="false"/>
          <w:color w:val="000000"/>
          <w:sz w:val="24"/>
        </w:rPr>
        <w:t>means sumps, well cellars, and other traps used in association with oil and gas production, gathering, and extraction operations (including gas production plants), for the purpose of collecting oil, water, and other liquids. These liquid traps may temporarily collect liquids for subsequent disposition or reinjection into a production or pipeline stream, or may collect and separate liquids from a gas stream.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“Maintenance”</w:t>
      </w:r>
      <w:r>
        <w:rPr>
          <w:rFonts w:ascii="Times New Roman" w:hAnsi="Times New Roman"/>
          <w:b w:val="false"/>
          <w:i w:val="false"/>
          <w:color w:val="000000"/>
          <w:sz w:val="24"/>
        </w:rPr>
        <w:t> </w:t>
      </w:r>
      <w:r>
        <w:rPr>
          <w:rFonts w:ascii="Times New Roman" w:hAnsi="Times New Roman"/>
          <w:b w:val="false"/>
          <w:i w:val="false"/>
          <w:color w:val="000000"/>
          <w:sz w:val="24"/>
        </w:rPr>
        <w:t>means the normal operational upkeep to prevent an underground storage tank system from releasing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“MCLs”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drinking water primary maximum contaminant levels set out in </w:t>
      </w:r>
      <w:hyperlink r:id="rId32">
        <w:r>
          <w:rPr>
            <w:rStyle w:val="Hyperlink"/>
            <w:rFonts w:ascii="Times New Roman" w:hAnsi="Times New Roman"/>
            <w:b w:val="false"/>
            <w:i w:val="false"/>
            <w:color w:val="000000"/>
            <w:sz w:val="24"/>
          </w:rPr>
          <w:t>567—41.3(455B)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“Memorandum of agreement”</w:t>
      </w:r>
      <w:r>
        <w:rPr>
          <w:rFonts w:ascii="Times New Roman" w:hAnsi="Times New Roman"/>
          <w:b w:val="false"/>
          <w:i w:val="false"/>
          <w:color w:val="000000"/>
          <w:sz w:val="24"/>
        </w:rPr>
        <w:t> </w:t>
      </w:r>
      <w:r>
        <w:rPr>
          <w:rFonts w:ascii="Times New Roman" w:hAnsi="Times New Roman"/>
          <w:b w:val="false"/>
          <w:i w:val="false"/>
          <w:color w:val="000000"/>
          <w:sz w:val="24"/>
        </w:rPr>
        <w:t>means a written agreement between the department and the owner or operator that specifies the corrective action that will be undertaken by the owner or operator in order to comply with requirements in this chapter and the terms for implementation of the plan. The plan may include but is not limited to provisions for additional site assessment, site monitoring, Tier 2 revisions, Tier 3 assessment, excavation, and other soil and groundwater remedial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“Migrate”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“migrating”</w:t>
      </w:r>
      <w:r>
        <w:rPr>
          <w:rFonts w:ascii="Times New Roman" w:hAnsi="Times New Roman"/>
          <w:b w:val="false"/>
          <w:i w:val="false"/>
          <w:color w:val="000000"/>
          <w:sz w:val="24"/>
        </w:rPr>
        <w:t> </w:t>
      </w:r>
      <w:r>
        <w:rPr>
          <w:rFonts w:ascii="Times New Roman" w:hAnsi="Times New Roman"/>
          <w:b w:val="false"/>
          <w:i w:val="false"/>
          <w:color w:val="000000"/>
          <w:sz w:val="24"/>
        </w:rPr>
        <w:t>means a LNAPL body that is expanding laterally into areas previously not impacted by LNAPL.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“Mobile LNAPL”</w:t>
      </w:r>
      <w:r>
        <w:rPr>
          <w:rFonts w:ascii="Times New Roman" w:hAnsi="Times New Roman"/>
          <w:b w:val="false"/>
          <w:i w:val="false"/>
          <w:color w:val="000000"/>
          <w:sz w:val="24"/>
        </w:rPr>
        <w:t> </w:t>
      </w:r>
      <w:r>
        <w:rPr>
          <w:rFonts w:ascii="Times New Roman" w:hAnsi="Times New Roman"/>
          <w:b w:val="false"/>
          <w:i w:val="false"/>
          <w:color w:val="000000"/>
          <w:sz w:val="24"/>
        </w:rPr>
        <w:t>means LNAPL that exists above residual saturation levels such that it can accumulate in monitoring wells constructed within its footprint or smear vertically with a rising or falling water table but will not migrate or spread from its current footprint (i.e., move into monitoring wells beyond its current footprint).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“Modification”</w:t>
      </w:r>
      <w:r>
        <w:rPr>
          <w:rFonts w:ascii="Times New Roman" w:hAnsi="Times New Roman"/>
          <w:b w:val="false"/>
          <w:i w:val="false"/>
          <w:color w:val="000000"/>
          <w:sz w:val="24"/>
        </w:rPr>
        <w:t> </w:t>
      </w:r>
      <w:r>
        <w:rPr>
          <w:rFonts w:ascii="Times New Roman" w:hAnsi="Times New Roman"/>
          <w:b w:val="false"/>
          <w:i w:val="false"/>
          <w:color w:val="000000"/>
          <w:sz w:val="24"/>
        </w:rPr>
        <w:t>means to change a UST system currently in use by the installation of new UST system components. “Modification” includes but is not limited to the addition of corrosion protection to a previously lined tank, installation of new underground piping or replacement of existing underground piping, changing the primary release detection method, or adding secondary containment. “Modification” does not include those activities defined in this rule as “repair” or “replacement.”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“Motor fuel”</w:t>
      </w:r>
      <w:r>
        <w:rPr>
          <w:rFonts w:ascii="Times New Roman" w:hAnsi="Times New Roman"/>
          <w:b w:val="false"/>
          <w:i w:val="false"/>
          <w:color w:val="000000"/>
          <w:sz w:val="24"/>
        </w:rPr>
        <w:t> </w:t>
      </w:r>
      <w:r>
        <w:rPr>
          <w:rFonts w:ascii="Times New Roman" w:hAnsi="Times New Roman"/>
          <w:b w:val="false"/>
          <w:i w:val="false"/>
          <w:color w:val="000000"/>
          <w:sz w:val="24"/>
        </w:rPr>
        <w:t>means a complex blend of hydrocarbons typically used in the operation of a motor engine, such as motor gasoline, aviation gasoline, No. 1 or No. 2 diesel fuel, or any blend containing one or more of these substances (for example, motor gasoline blended with alcohol).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tank system”</w:t>
      </w:r>
      <w:r>
        <w:rPr>
          <w:rFonts w:ascii="Times New Roman" w:hAnsi="Times New Roman"/>
          <w:b w:val="false"/>
          <w:i w:val="false"/>
          <w:color w:val="000000"/>
          <w:sz w:val="24"/>
        </w:rPr>
        <w:t> </w:t>
      </w:r>
      <w:r>
        <w:rPr>
          <w:rFonts w:ascii="Times New Roman" w:hAnsi="Times New Roman"/>
          <w:b w:val="false"/>
          <w:i w:val="false"/>
          <w:color w:val="000000"/>
          <w:sz w:val="24"/>
        </w:rPr>
        <w:t>means a tank system that will be used to contain an accumulation of regulated substances and for which installation has commenced after January 14, 1987. (See also “Existing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“Noncarcinogenic risk”</w:t>
      </w:r>
      <w:r>
        <w:rPr>
          <w:rFonts w:ascii="Times New Roman" w:hAnsi="Times New Roman"/>
          <w:b w:val="false"/>
          <w:i w:val="false"/>
          <w:color w:val="000000"/>
          <w:sz w:val="24"/>
        </w:rPr>
        <w:t> </w:t>
      </w:r>
      <w:r>
        <w:rPr>
          <w:rFonts w:ascii="Times New Roman" w:hAnsi="Times New Roman"/>
          <w:b w:val="false"/>
          <w:i w:val="false"/>
          <w:color w:val="000000"/>
          <w:sz w:val="24"/>
        </w:rPr>
        <w:t>means the potential for adverse systemic or toxic effects caused by exposure to noncarcinogenic chemicals of concern, expressed as the hazard quotient.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“Noncommercial purposes”</w:t>
      </w:r>
      <w:r>
        <w:rPr>
          <w:rFonts w:ascii="Times New Roman" w:hAnsi="Times New Roman"/>
          <w:b w:val="false"/>
          <w:i w:val="false"/>
          <w:color w:val="000000"/>
          <w:sz w:val="24"/>
        </w:rPr>
        <w:t> </w:t>
      </w:r>
      <w:r>
        <w:rPr>
          <w:rFonts w:ascii="Times New Roman" w:hAnsi="Times New Roman"/>
          <w:b w:val="false"/>
          <w:i w:val="false"/>
          <w:color w:val="000000"/>
          <w:sz w:val="24"/>
        </w:rPr>
        <w:t>with respect to motor fuel means not for resale.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“Non-drinking water well”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groundwater well (except an extraction well used as part of a remediation system) not defined as a drinking water well including a groundwater well that is not properly plugged in accordance with department rules in </w:t>
      </w:r>
      <w:hyperlink r:id="rId33">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“Nonresidential area”</w:t>
      </w:r>
      <w:r>
        <w:rPr>
          <w:rFonts w:ascii="Times New Roman" w:hAnsi="Times New Roman"/>
          <w:b w:val="false"/>
          <w:i w:val="false"/>
          <w:color w:val="000000"/>
          <w:sz w:val="24"/>
        </w:rPr>
        <w:t> </w:t>
      </w:r>
      <w:r>
        <w:rPr>
          <w:rFonts w:ascii="Times New Roman" w:hAnsi="Times New Roman"/>
          <w:b w:val="false"/>
          <w:i w:val="false"/>
          <w:color w:val="000000"/>
          <w:sz w:val="24"/>
        </w:rPr>
        <w:t>means land that is not currently used as a residential area and that is zoned for nonresidential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“Obligor”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natural person as defined in Iowa Code section </w:t>
      </w:r>
      <w:hyperlink r:id="rId35">
        <w:r>
          <w:rPr>
            <w:rStyle w:val="Hyperlink"/>
            <w:rFonts w:ascii="Times New Roman" w:hAnsi="Times New Roman"/>
            <w:b w:val="false"/>
            <w:i w:val="false"/>
            <w:color w:val="000000"/>
            <w:sz w:val="24"/>
          </w:rPr>
          <w:t>252B.1</w:t>
        </w:r>
      </w:hyperlink>
      <w:r>
        <w:rPr>
          <w:rFonts w:ascii="Times New Roman" w:hAnsi="Times New Roman"/>
          <w:b w:val="false"/>
          <w:i w:val="false"/>
          <w:color w:val="000000"/>
          <w:sz w:val="24"/>
        </w:rPr>
        <w:t xml:space="preserve"> who has been ordered by a court or administrative agency to pay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“On the premises where stored”</w:t>
      </w:r>
      <w:r>
        <w:rPr>
          <w:rFonts w:ascii="Times New Roman" w:hAnsi="Times New Roman"/>
          <w:b w:val="false"/>
          <w:i w:val="false"/>
          <w:color w:val="000000"/>
          <w:sz w:val="24"/>
        </w:rPr>
        <w:t> </w:t>
      </w:r>
      <w:r>
        <w:rPr>
          <w:rFonts w:ascii="Times New Roman" w:hAnsi="Times New Roman"/>
          <w:b w:val="false"/>
          <w:i w:val="false"/>
          <w:color w:val="000000"/>
          <w:sz w:val="24"/>
        </w:rPr>
        <w:t>with respect to heating oil means UST systems located on the same property where the stored heating oil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“Operational life”</w:t>
      </w:r>
      <w:r>
        <w:rPr>
          <w:rFonts w:ascii="Times New Roman" w:hAnsi="Times New Roman"/>
          <w:b w:val="false"/>
          <w:i w:val="false"/>
          <w:color w:val="000000"/>
          <w:sz w:val="24"/>
        </w:rPr>
        <w:t> </w:t>
      </w:r>
      <w:r>
        <w:rPr>
          <w:rFonts w:ascii="Times New Roman" w:hAnsi="Times New Roman"/>
          <w:b w:val="false"/>
          <w:i w:val="false"/>
          <w:color w:val="000000"/>
          <w:sz w:val="24"/>
        </w:rPr>
        <w:t xml:space="preserve">refers to the period beginning when installation of the tank system has commenced until the time the tank system is properly closed under </w:t>
      </w:r>
      <w:hyperlink r:id="rId36">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“OSHA”</w:t>
      </w:r>
      <w:r>
        <w:rPr>
          <w:rFonts w:ascii="Times New Roman" w:hAnsi="Times New Roman"/>
          <w:b w:val="false"/>
          <w:i w:val="false"/>
          <w:color w:val="000000"/>
          <w:sz w:val="24"/>
        </w:rPr>
        <w:t> </w:t>
      </w:r>
      <w:r>
        <w:rPr>
          <w:rFonts w:ascii="Times New Roman" w:hAnsi="Times New Roman"/>
          <w:b w:val="false"/>
          <w:i w:val="false"/>
          <w:color w:val="000000"/>
          <w:sz w:val="24"/>
        </w:rPr>
        <w:t>means the Occupational Safety and Health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“Overexcavation”</w:t>
      </w:r>
      <w:r>
        <w:rPr>
          <w:rFonts w:ascii="Times New Roman" w:hAnsi="Times New Roman"/>
          <w:b w:val="false"/>
          <w:i w:val="false"/>
          <w:color w:val="000000"/>
          <w:sz w:val="24"/>
        </w:rPr>
        <w:t> </w:t>
      </w:r>
      <w:r>
        <w:rPr>
          <w:rFonts w:ascii="Times New Roman" w:hAnsi="Times New Roman"/>
          <w:b w:val="false"/>
          <w:i w:val="false"/>
          <w:color w:val="000000"/>
          <w:sz w:val="24"/>
        </w:rPr>
        <w:t>refers to the excavation of subsurface materials outside the excavation zone for the purpose of removing contaminated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“Overfill release”</w:t>
      </w:r>
      <w:r>
        <w:rPr>
          <w:rFonts w:ascii="Times New Roman" w:hAnsi="Times New Roman"/>
          <w:b w:val="false"/>
          <w:i w:val="false"/>
          <w:color w:val="000000"/>
          <w:sz w:val="24"/>
        </w:rPr>
        <w:t> </w:t>
      </w:r>
      <w:r>
        <w:rPr>
          <w:rFonts w:ascii="Times New Roman" w:hAnsi="Times New Roman"/>
          <w:b w:val="false"/>
          <w:i w:val="false"/>
          <w:color w:val="000000"/>
          <w:sz w:val="24"/>
        </w:rPr>
        <w:t>is a release that occurs when a tank is filled beyond its capacity, resulting in a discharge of the regulated substance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“Pathway”</w:t>
      </w:r>
      <w:r>
        <w:rPr>
          <w:rFonts w:ascii="Times New Roman" w:hAnsi="Times New Roman"/>
          <w:b w:val="false"/>
          <w:i w:val="false"/>
          <w:color w:val="000000"/>
          <w:sz w:val="24"/>
        </w:rPr>
        <w:t> </w:t>
      </w:r>
      <w:r>
        <w:rPr>
          <w:rFonts w:ascii="Times New Roman" w:hAnsi="Times New Roman"/>
          <w:b w:val="false"/>
          <w:i w:val="false"/>
          <w:color w:val="000000"/>
          <w:sz w:val="24"/>
        </w:rPr>
        <w:t>means a transport mechanism by which chemicals of concern may reach a receptor(s) or the location(s) of a potential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closure”</w:t>
      </w:r>
      <w:r>
        <w:rPr>
          <w:rFonts w:ascii="Times New Roman" w:hAnsi="Times New Roman"/>
          <w:b w:val="false"/>
          <w:i w:val="false"/>
          <w:color w:val="000000"/>
          <w:sz w:val="24"/>
        </w:rPr>
        <w:t> </w:t>
      </w:r>
      <w:r>
        <w:rPr>
          <w:rFonts w:ascii="Times New Roman" w:hAnsi="Times New Roman"/>
          <w:b w:val="false"/>
          <w:i w:val="false"/>
          <w:color w:val="000000"/>
          <w:sz w:val="24"/>
        </w:rPr>
        <w:t>means removing all regulated substances from the tank system, assessing the site for contamination, and permanently removing tank and piping from the ground or filling the tank in place with a solid inert material and plugging all piping. Permanent closure also includes partial closure of a tank system such as removal or replacement of tanks or piping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 who conveys or deposits a regulated substance”</w:t>
      </w:r>
      <w:r>
        <w:rPr>
          <w:rFonts w:ascii="Times New Roman" w:hAnsi="Times New Roman"/>
          <w:b w:val="false"/>
          <w:i w:val="false"/>
          <w:color w:val="000000"/>
          <w:sz w:val="24"/>
        </w:rPr>
        <w:t> </w:t>
      </w:r>
      <w:r>
        <w:rPr>
          <w:rFonts w:ascii="Times New Roman" w:hAnsi="Times New Roman"/>
          <w:b w:val="false"/>
          <w:i w:val="false"/>
          <w:color w:val="000000"/>
          <w:sz w:val="24"/>
        </w:rPr>
        <w:t>means a person who sells or supplies the owner or operator with the regulated substance and the person who transports or actually deposits the regulated substance in the underground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“Petroleum UST system”</w:t>
      </w:r>
      <w:r>
        <w:rPr>
          <w:rFonts w:ascii="Times New Roman" w:hAnsi="Times New Roman"/>
          <w:b w:val="false"/>
          <w:i w:val="false"/>
          <w:color w:val="000000"/>
          <w:sz w:val="24"/>
        </w:rPr>
        <w:t> </w:t>
      </w:r>
      <w:r>
        <w:rPr>
          <w:rFonts w:ascii="Times New Roman" w:hAnsi="Times New Roman"/>
          <w:b w:val="false"/>
          <w:i w:val="false"/>
          <w:color w:val="000000"/>
          <w:sz w:val="24"/>
        </w:rPr>
        <w:t>means an underground storage tank system that contains petroleum or a mixture of petroleum with de minimis quantities of other regulated substances. Such systems include those containing motor fuels, jet fuels, distillate fuel oils, residual fuel oils, lubricants, petroleum solvents, and used oils.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“Pipe”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“piping”</w:t>
      </w:r>
      <w:r>
        <w:rPr>
          <w:rFonts w:ascii="Times New Roman" w:hAnsi="Times New Roman"/>
          <w:b w:val="false"/>
          <w:i w:val="false"/>
          <w:color w:val="000000"/>
          <w:sz w:val="24"/>
        </w:rPr>
        <w:t> </w:t>
      </w:r>
      <w:r>
        <w:rPr>
          <w:rFonts w:ascii="Times New Roman" w:hAnsi="Times New Roman"/>
          <w:b w:val="false"/>
          <w:i w:val="false"/>
          <w:color w:val="000000"/>
          <w:sz w:val="24"/>
        </w:rPr>
        <w:t>means a hollow cylinder or tubular conduit that is constructed of nonearthen materials and that routinely contains and conveys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“Pipeline facilities (including gathering lines)”</w:t>
      </w:r>
      <w:r>
        <w:rPr>
          <w:rFonts w:ascii="Times New Roman" w:hAnsi="Times New Roman"/>
          <w:b w:val="false"/>
          <w:i w:val="false"/>
          <w:color w:val="000000"/>
          <w:sz w:val="24"/>
        </w:rPr>
        <w:t> </w:t>
      </w:r>
      <w:r>
        <w:rPr>
          <w:rFonts w:ascii="Times New Roman" w:hAnsi="Times New Roman"/>
          <w:b w:val="false"/>
          <w:i w:val="false"/>
          <w:color w:val="000000"/>
          <w:sz w:val="24"/>
        </w:rPr>
        <w:t>are new and existing pipe rights-of-way and any associated equipment, facilities, or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of compliance”</w:t>
      </w:r>
      <w:r>
        <w:rPr>
          <w:rFonts w:ascii="Times New Roman" w:hAnsi="Times New Roman"/>
          <w:b w:val="false"/>
          <w:i w:val="false"/>
          <w:color w:val="000000"/>
          <w:sz w:val="24"/>
        </w:rPr>
        <w:t> </w:t>
      </w:r>
      <w:r>
        <w:rPr>
          <w:rFonts w:ascii="Times New Roman" w:hAnsi="Times New Roman"/>
          <w:b w:val="false"/>
          <w:i w:val="false"/>
          <w:color w:val="000000"/>
          <w:sz w:val="24"/>
        </w:rPr>
        <w:t>means the location(s) at the source(s) of contamination or at the location(s) between the source(s) and the point(s) of exposure where concentrations of chemicals of concern must meet applicable risk-based screening levels at Tier 1 or other target level(s) at Tier 2 or Tier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of exposure”</w:t>
      </w:r>
      <w:r>
        <w:rPr>
          <w:rFonts w:ascii="Times New Roman" w:hAnsi="Times New Roman"/>
          <w:b w:val="false"/>
          <w:i w:val="false"/>
          <w:color w:val="000000"/>
          <w:sz w:val="24"/>
        </w:rPr>
        <w:t> </w:t>
      </w:r>
      <w:r>
        <w:rPr>
          <w:rFonts w:ascii="Times New Roman" w:hAnsi="Times New Roman"/>
          <w:b w:val="false"/>
          <w:i w:val="false"/>
          <w:color w:val="000000"/>
          <w:sz w:val="24"/>
        </w:rPr>
        <w:t>means the location(s) at which an actual or potential receptor may be exposed to chemicals of concern via a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“Polybutylene pipe”</w:t>
      </w:r>
      <w:r>
        <w:rPr>
          <w:rFonts w:ascii="Times New Roman" w:hAnsi="Times New Roman"/>
          <w:b w:val="false"/>
          <w:i w:val="false"/>
          <w:color w:val="000000"/>
          <w:sz w:val="24"/>
        </w:rPr>
        <w:t> </w:t>
      </w:r>
      <w:r>
        <w:rPr>
          <w:rFonts w:ascii="Times New Roman" w:hAnsi="Times New Roman"/>
          <w:b w:val="false"/>
          <w:i w:val="false"/>
          <w:color w:val="000000"/>
          <w:sz w:val="24"/>
        </w:rPr>
        <w:t xml:space="preserve">(PB refers to polybutylene) means a water supply pipe comprised of a form of plastic resin that was used extensively from 1978 until 1995. The piping systems were used for underground water mains and as interior water distribution piping. Polybutylene mains are usually blue in color, but may be gray, black, or white. The pipe is usually ½ inch or 1 inch in diameter, and it may be found entering a residence through the basement wall or floor, concrete slab or through the crawlspace; frequently it enters the residence near the water heater.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“Polyethylene pipe”</w:t>
      </w:r>
      <w:r>
        <w:rPr>
          <w:rFonts w:ascii="Times New Roman" w:hAnsi="Times New Roman"/>
          <w:b w:val="false"/>
          <w:i w:val="false"/>
          <w:color w:val="000000"/>
          <w:sz w:val="24"/>
        </w:rPr>
        <w:t> </w:t>
      </w:r>
      <w:r>
        <w:rPr>
          <w:rFonts w:ascii="Times New Roman" w:hAnsi="Times New Roman"/>
          <w:b w:val="false"/>
          <w:i w:val="false"/>
          <w:color w:val="000000"/>
          <w:sz w:val="24"/>
        </w:rPr>
        <w:t xml:space="preserve">(PE refers to polyethylene) means a water supply pipe comprised of thermoplastic material produced from the polymerization of ethylene. PE pipe is manufactured by extrusion in sizes ranging from ½ inch to 63 inches. PE pipe is available in rolled coils of various lengths or in straight lengths of up to 40 feet. PE pipe is available in many forms and colors, including single-extrusion colored or black pipe, black pipe with co-extruded color striping, and black or natural pipe with a co-extruded colored layer. PE pipe has been demonstrated to be very permeable to petroleum while still retaining its flexible structure.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“Polyvinyl chloride pipe”</w:t>
      </w:r>
      <w:r>
        <w:rPr>
          <w:rFonts w:ascii="Times New Roman" w:hAnsi="Times New Roman"/>
          <w:b w:val="false"/>
          <w:i w:val="false"/>
          <w:color w:val="000000"/>
          <w:sz w:val="24"/>
        </w:rPr>
        <w:t> </w:t>
      </w:r>
      <w:r>
        <w:rPr>
          <w:rFonts w:ascii="Times New Roman" w:hAnsi="Times New Roman"/>
          <w:b w:val="false"/>
          <w:i w:val="false"/>
          <w:color w:val="000000"/>
          <w:sz w:val="24"/>
        </w:rPr>
        <w:t xml:space="preserve"> (PVC refers to polyvinyl chloride) means a pipe made from a plastic and vinyl combination material. The pipes are durable, hard to damage, and long-lasting. A PVC pipe is very resistant and does not rust, nor is it likely to rot or wear over time. PVC piping is most commonly used in water systems, underground wiring, and sewer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“Portland cement”</w:t>
      </w:r>
      <w:r>
        <w:rPr>
          <w:rFonts w:ascii="Times New Roman" w:hAnsi="Times New Roman"/>
          <w:b w:val="false"/>
          <w:i w:val="false"/>
          <w:color w:val="000000"/>
          <w:sz w:val="24"/>
        </w:rPr>
        <w:t> </w:t>
      </w:r>
      <w:r>
        <w:rPr>
          <w:rFonts w:ascii="Times New Roman" w:hAnsi="Times New Roman"/>
          <w:b w:val="false"/>
          <w:i w:val="false"/>
          <w:color w:val="000000"/>
          <w:sz w:val="24"/>
        </w:rPr>
        <w:t>means hydraulic cement (cement that not only hardens by reacting with water but also forms a water-resistant product) and is produced by pulverizing clinkers consisting essentially of hydraulic calcium silicates, usually containing one or more forms of calcium sulfate as an inter ground addition.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“Potential receptor”</w:t>
      </w:r>
      <w:r>
        <w:rPr>
          <w:rFonts w:ascii="Times New Roman" w:hAnsi="Times New Roman"/>
          <w:b w:val="false"/>
          <w:i w:val="false"/>
          <w:color w:val="000000"/>
          <w:sz w:val="24"/>
        </w:rPr>
        <w:t> </w:t>
      </w:r>
      <w:r>
        <w:rPr>
          <w:rFonts w:ascii="Times New Roman" w:hAnsi="Times New Roman"/>
          <w:b w:val="false"/>
          <w:i w:val="false"/>
          <w:color w:val="000000"/>
          <w:sz w:val="24"/>
        </w:rPr>
        <w:t>means a receptor not in existence at the time a Tier 1, Tier 2 or Tier 3 site assessment is prepared but that could reasonably be expected to exist within 20 years of the preparation of the Tier 1, Tier 2 or Tier 3 site assessment or as otherwise specified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“Precision test”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tank and line tightness test that meets the requirements in </w:t>
      </w:r>
      <w:hyperlink r:id="rId37">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“Preferential pathway”</w:t>
      </w:r>
      <w:r>
        <w:rPr>
          <w:rFonts w:ascii="Times New Roman" w:hAnsi="Times New Roman"/>
          <w:b w:val="false"/>
          <w:i w:val="false"/>
          <w:color w:val="000000"/>
          <w:sz w:val="24"/>
        </w:rPr>
        <w:t> </w:t>
      </w:r>
      <w:r>
        <w:rPr>
          <w:rFonts w:ascii="Times New Roman" w:hAnsi="Times New Roman"/>
          <w:b w:val="false"/>
          <w:i w:val="false"/>
          <w:color w:val="000000"/>
          <w:sz w:val="24"/>
        </w:rPr>
        <w:t>means conditions that act as a pathway permitting contamination to migrate through soils and to groundwater at a faster rate than would be expected through naturally occurring undisturbed soils or unfractured bedrock including but not limited to wells, cisterns, tile lines, drainage systems, utility lines and envelopes, and conduits.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“Protected groundwater source”</w:t>
      </w:r>
      <w:r>
        <w:rPr>
          <w:rFonts w:ascii="Times New Roman" w:hAnsi="Times New Roman"/>
          <w:b w:val="false"/>
          <w:i w:val="false"/>
          <w:color w:val="000000"/>
          <w:sz w:val="24"/>
        </w:rPr>
        <w:t> </w:t>
      </w:r>
      <w:r>
        <w:rPr>
          <w:rFonts w:ascii="Times New Roman" w:hAnsi="Times New Roman"/>
          <w:b w:val="false"/>
          <w:i w:val="false"/>
          <w:color w:val="000000"/>
          <w:sz w:val="24"/>
        </w:rPr>
        <w:t>means a saturated bed, formation, or group of formations that has a hydraulic conductivity of at least 0.44 meters per day (m/d) and a total dissolved solids of less than 2,500 milligrams per liter (mg/l) or a bedrock aquifer with total dissolved solids of less than 2,500 milligrams per liter (mg/l) if bedrock is encountered before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water supply well”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well connected to a system for the provision to the public of piped water for human consumption, if such system has at least 15 service connections or regularly serves an average of at least 25 individuals daily at least 60 days out of the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“Receptor”</w:t>
      </w:r>
      <w:r>
        <w:rPr>
          <w:rFonts w:ascii="Times New Roman" w:hAnsi="Times New Roman"/>
          <w:b w:val="false"/>
          <w:i w:val="false"/>
          <w:color w:val="000000"/>
          <w:sz w:val="24"/>
        </w:rPr>
        <w:t> </w:t>
      </w:r>
      <w:r>
        <w:rPr>
          <w:rFonts w:ascii="Times New Roman" w:hAnsi="Times New Roman"/>
          <w:b w:val="false"/>
          <w:i w:val="false"/>
          <w:color w:val="000000"/>
          <w:sz w:val="24"/>
        </w:rPr>
        <w:t>means enclosed spaces, conduits, protected groundwater sources, drinking and non-drinking water wells, surface water bodies, and public water systems that when impacted by chemicals of concern may result in exposure to humans and aquatic life, explosive conditions or other adverse effects on health, safety and the environment as specified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“Reference dose”</w:t>
      </w:r>
      <w:r>
        <w:rPr>
          <w:rFonts w:ascii="Times New Roman" w:hAnsi="Times New Roman"/>
          <w:b w:val="false"/>
          <w:i w:val="false"/>
          <w:color w:val="000000"/>
          <w:sz w:val="24"/>
        </w:rPr>
        <w:t> </w:t>
      </w:r>
      <w:r>
        <w:rPr>
          <w:rFonts w:ascii="Times New Roman" w:hAnsi="Times New Roman"/>
          <w:b w:val="false"/>
          <w:i w:val="false"/>
          <w:color w:val="000000"/>
          <w:sz w:val="24"/>
        </w:rPr>
        <w:t>means a designated toxicity value established in these rules for evaluating potential noncarcinogenic effects in humans resulting from exposure to a chemical(s) of concern. Reference doses are designated in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“Regulated substance”</w:t>
      </w:r>
      <w:r>
        <w:rPr>
          <w:rFonts w:ascii="Times New Roman" w:hAnsi="Times New Roman"/>
          <w:b w:val="false"/>
          <w:i w:val="false"/>
          <w:color w:val="000000"/>
          <w:sz w:val="24"/>
        </w:rPr>
        <w:t> </w:t>
      </w:r>
      <w:r>
        <w:rPr>
          <w:rFonts w:ascii="Times New Roman" w:hAnsi="Times New Roman"/>
          <w:b w:val="false"/>
          <w:i w:val="false"/>
          <w:color w:val="000000"/>
          <w:sz w:val="24"/>
        </w:rPr>
        <w:t>means an element, compound, mixture, solution or substance that, when released into the environment, may present substantial danger to the public health or welfare or the environment. “Regulated substance” includes: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Substances designated in Table 302.4 of </w:t>
      </w:r>
      <w:r>
        <w:rPr>
          <w:rFonts w:ascii="Times New Roman" w:hAnsi="Times New Roman"/>
          <w:b w:val="false"/>
          <w:i w:val="false"/>
          <w:color w:val="000000"/>
          <w:sz w:val="24"/>
        </w:rPr>
        <w:t>40 CFR Part 302</w:t>
      </w:r>
      <w:r>
        <w:rPr>
          <w:rFonts w:ascii="Times New Roman" w:hAnsi="Times New Roman"/>
          <w:b w:val="false"/>
          <w:i w:val="false"/>
          <w:color w:val="000000"/>
          <w:sz w:val="24"/>
        </w:rPr>
        <w:t xml:space="preserve"> (September 13, 1988),</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Substances that exhibit the characteristics identified in </w:t>
      </w:r>
      <w:r>
        <w:rPr>
          <w:rFonts w:ascii="Times New Roman" w:hAnsi="Times New Roman"/>
          <w:b w:val="false"/>
          <w:i w:val="false"/>
          <w:color w:val="000000"/>
          <w:sz w:val="24"/>
        </w:rPr>
        <w:t>40 CFR 261.20</w:t>
      </w:r>
      <w:r>
        <w:rPr>
          <w:rFonts w:ascii="Times New Roman" w:hAnsi="Times New Roman"/>
          <w:b w:val="false"/>
          <w:i w:val="false"/>
          <w:color w:val="000000"/>
          <w:sz w:val="24"/>
        </w:rPr>
        <w:t xml:space="preserve"> through 261.24 (May 10, 1984) and that are not excluded from regulation as a hazardous waste under </w:t>
      </w:r>
      <w:r>
        <w:rPr>
          <w:rFonts w:ascii="Times New Roman" w:hAnsi="Times New Roman"/>
          <w:b w:val="false"/>
          <w:i w:val="false"/>
          <w:color w:val="000000"/>
          <w:sz w:val="24"/>
        </w:rPr>
        <w:t>40 CFR 261.4(b)</w:t>
      </w:r>
      <w:r>
        <w:rPr>
          <w:rFonts w:ascii="Times New Roman" w:hAnsi="Times New Roman"/>
          <w:b w:val="false"/>
          <w:i w:val="false"/>
          <w:color w:val="000000"/>
          <w:sz w:val="24"/>
        </w:rPr>
        <w:t xml:space="preserve"> (May 10, 1984),</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substance defined in Section 101(14) of the Comprehensive Environmental Response, Compensation, and Liability Act (CERCLA) (but not including any substance regulated as a hazardous waste under subtitle C),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Petroleum, including crude oil or any fraction thereof that is liquid at standard conditions of temperature and pressure (60 degrees Fahrenheit and 14.7 pounds per square inch absolute). The term “regulated substance” includes but is not limited to petroleum and petroleum-based substances comprised of a complex blend of hydrocarbons such as motor fuels, jet fuels, distillate fuel oils, residual fuel oils, lubricants, petroleum solvents, and used oils.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“Release detection”</w:t>
      </w:r>
      <w:r>
        <w:rPr>
          <w:rFonts w:ascii="Times New Roman" w:hAnsi="Times New Roman"/>
          <w:b w:val="false"/>
          <w:i w:val="false"/>
          <w:color w:val="000000"/>
          <w:sz w:val="24"/>
        </w:rPr>
        <w:t> </w:t>
      </w:r>
      <w:r>
        <w:rPr>
          <w:rFonts w:ascii="Times New Roman" w:hAnsi="Times New Roman"/>
          <w:b w:val="false"/>
          <w:i w:val="false"/>
          <w:color w:val="000000"/>
          <w:sz w:val="24"/>
        </w:rPr>
        <w:t>means determining whether a release of a regulated substance has occurred from the UST system into the environment or a leak has occurred into the interstitial space between the UST system and its secondary barrier or secondary containment around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“Removal”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process of removing and disposing of an underground storage tank system no longer in service or the process of abandoning an underground storage tank system in place in accordance with </w:t>
      </w:r>
      <w:hyperlink r:id="rId38">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“Remover”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certified individual who is engaged in permanent closure activities by removal or filling in place of underground storage tank systems in accordance with </w:t>
      </w:r>
      <w:hyperlink r:id="rId39">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“Repair”</w:t>
      </w:r>
      <w:r>
        <w:rPr>
          <w:rFonts w:ascii="Times New Roman" w:hAnsi="Times New Roman"/>
          <w:b w:val="false"/>
          <w:i w:val="false"/>
          <w:color w:val="000000"/>
          <w:sz w:val="24"/>
        </w:rPr>
        <w:t> </w:t>
      </w:r>
      <w:r>
        <w:rPr>
          <w:rFonts w:ascii="Times New Roman" w:hAnsi="Times New Roman"/>
          <w:b w:val="false"/>
          <w:i w:val="false"/>
          <w:color w:val="000000"/>
          <w:sz w:val="24"/>
        </w:rPr>
        <w:t>means to restore to proper operating condition a tank, pipe, spill prevention equipment, overfill prevention equipment, corrosion protection equipment, release detection equipment or other UST system component that has caused a release of product from the UST system or has failed to function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“Replaced”</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For a tank: to remove a tank and install another tank.</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For piping: to remove 50 percent or more of piping and install other piping, excluding connectors, connected to a single tank. For tanks with multiple piping runs, this definition applies independently to each piping run.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“Replacement”</w:t>
      </w:r>
      <w:r>
        <w:rPr>
          <w:rFonts w:ascii="Times New Roman" w:hAnsi="Times New Roman"/>
          <w:b w:val="false"/>
          <w:i w:val="false"/>
          <w:color w:val="000000"/>
          <w:sz w:val="24"/>
        </w:rPr>
        <w:t> </w:t>
      </w:r>
      <w:r>
        <w:rPr>
          <w:rFonts w:ascii="Times New Roman" w:hAnsi="Times New Roman"/>
          <w:b w:val="false"/>
          <w:i w:val="false"/>
          <w:color w:val="000000"/>
          <w:sz w:val="24"/>
        </w:rPr>
        <w:t>means the installation of a new underground tank system or component, in substantially the same location as an existing tank system or component.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area”</w:t>
      </w:r>
      <w:r>
        <w:rPr>
          <w:rFonts w:ascii="Times New Roman" w:hAnsi="Times New Roman"/>
          <w:b w:val="false"/>
          <w:i w:val="false"/>
          <w:color w:val="000000"/>
          <w:sz w:val="24"/>
        </w:rPr>
        <w:t> </w:t>
      </w:r>
      <w:r>
        <w:rPr>
          <w:rFonts w:ascii="Times New Roman" w:hAnsi="Times New Roman"/>
          <w:b w:val="false"/>
          <w:i w:val="false"/>
          <w:color w:val="000000"/>
          <w:sz w:val="24"/>
        </w:rPr>
        <w:t>means land used as a permanent residence or domicile, such as a house, apartment, nursing home, school, child care facility or prison, land zoned for such uses, or land where no zoning is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tank”</w:t>
      </w:r>
      <w:r>
        <w:rPr>
          <w:rFonts w:ascii="Times New Roman" w:hAnsi="Times New Roman"/>
          <w:b w:val="false"/>
          <w:i w:val="false"/>
          <w:color w:val="000000"/>
          <w:sz w:val="24"/>
        </w:rPr>
        <w:t> </w:t>
      </w:r>
      <w:r>
        <w:rPr>
          <w:rFonts w:ascii="Times New Roman" w:hAnsi="Times New Roman"/>
          <w:b w:val="false"/>
          <w:i w:val="false"/>
          <w:color w:val="000000"/>
          <w:sz w:val="24"/>
        </w:rPr>
        <w:t>is a tank located on property used primarily for dwelling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“Residual LNAPL”</w:t>
      </w:r>
      <w:r>
        <w:rPr>
          <w:rFonts w:ascii="Times New Roman" w:hAnsi="Times New Roman"/>
          <w:b w:val="false"/>
          <w:i w:val="false"/>
          <w:color w:val="000000"/>
          <w:sz w:val="24"/>
        </w:rPr>
        <w:t> </w:t>
      </w:r>
      <w:r>
        <w:rPr>
          <w:rFonts w:ascii="Times New Roman" w:hAnsi="Times New Roman"/>
          <w:b w:val="false"/>
          <w:i w:val="false"/>
          <w:color w:val="000000"/>
          <w:sz w:val="24"/>
        </w:rPr>
        <w:t>means LNAPL that is bound in the soil and will not move into monitoring wells or smear with a rising or falling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“Risk-based screening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“RBSL”</w:t>
      </w:r>
      <w:r>
        <w:rPr>
          <w:rFonts w:ascii="Times New Roman" w:hAnsi="Times New Roman"/>
          <w:b w:val="false"/>
          <w:i w:val="false"/>
          <w:color w:val="000000"/>
          <w:sz w:val="24"/>
        </w:rPr>
        <w:t> </w:t>
      </w:r>
      <w:r>
        <w:rPr>
          <w:rFonts w:ascii="Times New Roman" w:hAnsi="Times New Roman"/>
          <w:b w:val="false"/>
          <w:i w:val="false"/>
          <w:color w:val="000000"/>
          <w:sz w:val="24"/>
        </w:rPr>
        <w:t>means the risk-based concentration level for chemicals of concern developed for a Tier 1 analysis to be met at the point(s) of compliance and incorporated in the Tier 1 Look-up Table in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“Secondary containment”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“secondarily contained”</w:t>
      </w:r>
      <w:r>
        <w:rPr>
          <w:rFonts w:ascii="Times New Roman" w:hAnsi="Times New Roman"/>
          <w:b w:val="false"/>
          <w:i w:val="false"/>
          <w:color w:val="000000"/>
          <w:sz w:val="24"/>
        </w:rPr>
        <w:t xml:space="preserve"> means a release prevention and release detection system for a tank or piping. This system has an inner and outer barrier with an interstitial space monitored for leaks. This term includes containment sumps when used for interstitial monitoring of piping.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“Secondary containment tank”</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“secondary containment piping”</w:t>
      </w:r>
      <w:r>
        <w:rPr>
          <w:rFonts w:ascii="Times New Roman" w:hAnsi="Times New Roman"/>
          <w:b w:val="false"/>
          <w:i w:val="false"/>
          <w:color w:val="000000"/>
          <w:sz w:val="24"/>
        </w:rPr>
        <w:t> </w:t>
      </w:r>
      <w:r>
        <w:rPr>
          <w:rFonts w:ascii="Times New Roman" w:hAnsi="Times New Roman"/>
          <w:b w:val="false"/>
          <w:i w:val="false"/>
          <w:color w:val="000000"/>
          <w:sz w:val="24"/>
        </w:rPr>
        <w:t>means a tank or piping that is designed with an inner primary shell and a liquid-tight outer secondary shell or jacket that extends around the entire inner shell, and that is designed to contain any leak through the primary shell from any part of the tank or piping that routinely contains product, and that also allows for monitoring of the interstitial space between the shells and the detection of any leak.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“Self-insured retention”</w:t>
      </w:r>
      <w:r>
        <w:rPr>
          <w:rFonts w:ascii="Times New Roman" w:hAnsi="Times New Roman"/>
          <w:b w:val="false"/>
          <w:i w:val="false"/>
          <w:color w:val="000000"/>
          <w:sz w:val="24"/>
        </w:rPr>
        <w:t> </w:t>
      </w:r>
      <w:r>
        <w:rPr>
          <w:rFonts w:ascii="Times New Roman" w:hAnsi="Times New Roman"/>
          <w:b w:val="false"/>
          <w:i w:val="false"/>
          <w:color w:val="000000"/>
          <w:sz w:val="24"/>
        </w:rPr>
        <w:t>means the portion of a claim paid by insureds who self-insure a portion of their risk as part of a policy. Expenses included as a part of the self-insured retention are the cost of claims settlements or suits, the cost of adjusting, legal fees, court costs and any other investigative cost associated with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“Septic tank”</w:t>
      </w:r>
      <w:r>
        <w:rPr>
          <w:rFonts w:ascii="Times New Roman" w:hAnsi="Times New Roman"/>
          <w:b w:val="false"/>
          <w:i w:val="false"/>
          <w:color w:val="000000"/>
          <w:sz w:val="24"/>
        </w:rPr>
        <w:t> </w:t>
      </w:r>
      <w:r>
        <w:rPr>
          <w:rFonts w:ascii="Times New Roman" w:hAnsi="Times New Roman"/>
          <w:b w:val="false"/>
          <w:i w:val="false"/>
          <w:color w:val="000000"/>
          <w:sz w:val="24"/>
        </w:rPr>
        <w:t>is a watertight covered receptacle designed to receive or process, through liquid separation or biological digestion, the sewage discharged from a building sewer. The effluent from such receptacle is distributed for disposal through the soil and settled solids and scum from the tank are pumped out periodically and hauled to a treatment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line”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pipe connected to a business or residence from a water main, typically of a size not exceeding six inches in diameter, and including its gaskets and other appurtenances. For purposes of this chapter, service lines refer to pipes specifically used for drinking water transmission.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technician”</w:t>
      </w:r>
      <w:r>
        <w:rPr>
          <w:rFonts w:ascii="Times New Roman" w:hAnsi="Times New Roman"/>
          <w:b w:val="false"/>
          <w:i w:val="false"/>
          <w:color w:val="000000"/>
          <w:sz w:val="24"/>
        </w:rPr>
        <w:t> </w:t>
      </w:r>
      <w:r>
        <w:rPr>
          <w:rFonts w:ascii="Times New Roman" w:hAnsi="Times New Roman"/>
          <w:b w:val="false"/>
          <w:i w:val="false"/>
          <w:color w:val="000000"/>
          <w:sz w:val="24"/>
        </w:rPr>
        <w:t>means a noncertified individual who works for a certified individual or a certified company or who is certified by a manufacturer to conduct modification or replacement activities at UST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 assessment investigation”</w:t>
      </w:r>
      <w:r>
        <w:rPr>
          <w:rFonts w:ascii="Times New Roman" w:hAnsi="Times New Roman"/>
          <w:b w:val="false"/>
          <w:i w:val="false"/>
          <w:color w:val="000000"/>
          <w:sz w:val="24"/>
        </w:rPr>
        <w:t> </w:t>
      </w:r>
      <w:r>
        <w:rPr>
          <w:rFonts w:ascii="Times New Roman" w:hAnsi="Times New Roman"/>
          <w:b w:val="false"/>
          <w:i w:val="false"/>
          <w:color w:val="000000"/>
          <w:sz w:val="24"/>
        </w:rPr>
        <w:t>means an investigation conducted by a certified groundwater professional to determine relevant site historical data, the types, amounts, and sources of petroleum contaminants present, hydrogeological characteristics of the site, full vertical and horizontal extent of the contamination in soils and groundwater, direction and rate of flow of the contamination, ranges of concentration of the contaminants by analysis of soils and groundwater, the vertical and horizontal extent of the contamination exceeding department standards, and the actual or potential threat to public health and safety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 cleanup report”</w:t>
      </w:r>
      <w:r>
        <w:rPr>
          <w:rFonts w:ascii="Times New Roman" w:hAnsi="Times New Roman"/>
          <w:b w:val="false"/>
          <w:i w:val="false"/>
          <w:color w:val="000000"/>
          <w:sz w:val="24"/>
        </w:rPr>
        <w:t> </w:t>
      </w:r>
      <w:r>
        <w:rPr>
          <w:rFonts w:ascii="Times New Roman" w:hAnsi="Times New Roman"/>
          <w:b w:val="false"/>
          <w:i w:val="false"/>
          <w:color w:val="000000"/>
          <w:sz w:val="24"/>
        </w:rPr>
        <w:t>means the report required to be submitted by these rules and in accordance with department guidance that may include the results of Tier 2 or Tier 3 assessment and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“Site-specific target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“SSTL”</w:t>
      </w:r>
      <w:r>
        <w:rPr>
          <w:rFonts w:ascii="Times New Roman" w:hAnsi="Times New Roman"/>
          <w:b w:val="false"/>
          <w:i w:val="false"/>
          <w:color w:val="000000"/>
          <w:sz w:val="24"/>
        </w:rPr>
        <w:t> </w:t>
      </w:r>
      <w:r>
        <w:rPr>
          <w:rFonts w:ascii="Times New Roman" w:hAnsi="Times New Roman"/>
          <w:b w:val="false"/>
          <w:i w:val="false"/>
          <w:color w:val="000000"/>
          <w:sz w:val="24"/>
        </w:rPr>
        <w:t>means the risk-based target level(s) for chemicals of concern developed as the result of a Tier 2 or Tier 3 assessment that must be achieved at applicable point(s) of compliance at the source to meet the target level(s) at the point(s) of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leaching to groundwater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soil by which chemicals of concern may leach to groundwater and through a groundwater transport pathway impact an actual or potential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plume”</w:t>
      </w:r>
      <w:r>
        <w:rPr>
          <w:rFonts w:ascii="Times New Roman" w:hAnsi="Times New Roman"/>
          <w:b w:val="false"/>
          <w:i w:val="false"/>
          <w:color w:val="000000"/>
          <w:sz w:val="24"/>
        </w:rPr>
        <w:t> </w:t>
      </w:r>
      <w:r>
        <w:rPr>
          <w:rFonts w:ascii="Times New Roman" w:hAnsi="Times New Roman"/>
          <w:b w:val="false"/>
          <w:i w:val="false"/>
          <w:color w:val="000000"/>
          <w:sz w:val="24"/>
        </w:rPr>
        <w:t>means the vertical and horizontal extent of soil impacted by the release of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to water line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that leads from soil to a water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vapor to enclosed space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soil by which vapors from chemicals of concern may lead to a receptor creating an inhalation or explosive risk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“Storm water or wastewater collection system”</w:t>
      </w:r>
      <w:r>
        <w:rPr>
          <w:rFonts w:ascii="Times New Roman" w:hAnsi="Times New Roman"/>
          <w:b w:val="false"/>
          <w:i w:val="false"/>
          <w:color w:val="000000"/>
          <w:sz w:val="24"/>
        </w:rPr>
        <w:t> </w:t>
      </w:r>
      <w:r>
        <w:rPr>
          <w:rFonts w:ascii="Times New Roman" w:hAnsi="Times New Roman"/>
          <w:b w:val="false"/>
          <w:i w:val="false"/>
          <w:color w:val="000000"/>
          <w:sz w:val="24"/>
        </w:rPr>
        <w:t>means piping, pumps, conduits, and any other equipment necessary to collect and transport the flow of surface water run-off resulting from precipitation, or domestic, commercial, or industrial wastewater to and from retention areas or any areas where treatment is designated to occur. The collection of storm water and wastewater does not include treatment except where incidental to conveyance.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impoundment”</w:t>
      </w:r>
      <w:r>
        <w:rPr>
          <w:rFonts w:ascii="Times New Roman" w:hAnsi="Times New Roman"/>
          <w:b w:val="false"/>
          <w:i w:val="false"/>
          <w:color w:val="000000"/>
          <w:sz w:val="24"/>
        </w:rPr>
        <w:t> </w:t>
      </w:r>
      <w:r>
        <w:rPr>
          <w:rFonts w:ascii="Times New Roman" w:hAnsi="Times New Roman"/>
          <w:b w:val="false"/>
          <w:i w:val="false"/>
          <w:color w:val="000000"/>
          <w:sz w:val="24"/>
        </w:rPr>
        <w:t>is a natural topographic depression, constructed excavation, or diked area formed primarily of earthen materials (although it may be lined with manufactured materials) that is not an injection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 body”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general use segments as provided in 567—paragraph </w:t>
      </w:r>
      <w:hyperlink r:id="rId40">
        <w:r>
          <w:rPr>
            <w:rStyle w:val="Hyperlink"/>
            <w:rFonts w:ascii="Times New Roman" w:hAnsi="Times New Roman"/>
            <w:b w:val="false"/>
            <w:i w:val="false"/>
            <w:color w:val="000000"/>
            <w:sz w:val="24"/>
          </w:rPr>
          <w:t>61.3(1)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designated use segments of water bodies as provided in 567—paragraph </w:t>
      </w:r>
      <w:hyperlink r:id="rId41">
        <w:r>
          <w:rPr>
            <w:rStyle w:val="Hyperlink"/>
            <w:rFonts w:ascii="Times New Roman" w:hAnsi="Times New Roman"/>
            <w:b w:val="false"/>
            <w:i w:val="false"/>
            <w:color w:val="000000"/>
            <w:sz w:val="24"/>
          </w:rPr>
          <w:t>61.3(1)</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42">
        <w:r>
          <w:rPr>
            <w:rStyle w:val="Hyperlink"/>
            <w:rFonts w:ascii="Times New Roman" w:hAnsi="Times New Roman"/>
            <w:b w:val="false"/>
            <w:i w:val="false"/>
            <w:color w:val="000000"/>
            <w:sz w:val="24"/>
          </w:rPr>
          <w:t>567—subrule 61.3(5)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 criteria”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for chemicals of concern, the Criteria for Chemical Constituents in Table 1 of </w:t>
      </w:r>
      <w:hyperlink r:id="rId43">
        <w:r>
          <w:rPr>
            <w:rStyle w:val="Hyperlink"/>
            <w:rFonts w:ascii="Times New Roman" w:hAnsi="Times New Roman"/>
            <w:b w:val="false"/>
            <w:i w:val="false"/>
            <w:color w:val="000000"/>
            <w:sz w:val="24"/>
          </w:rPr>
          <w:t>567—61.3(455B)</w:t>
        </w:r>
      </w:hyperlink>
      <w:r>
        <w:rPr>
          <w:rFonts w:ascii="Times New Roman" w:hAnsi="Times New Roman"/>
          <w:b w:val="false"/>
          <w:i w:val="false"/>
          <w:color w:val="000000"/>
          <w:sz w:val="24"/>
        </w:rPr>
        <w:t>, except that “1,000 µg/L” will be substituted for the chronic levels for toluene for Class B designated use segments.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that leads to a surface water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“Tank”</w:t>
      </w:r>
      <w:r>
        <w:rPr>
          <w:rFonts w:ascii="Times New Roman" w:hAnsi="Times New Roman"/>
          <w:b w:val="false"/>
          <w:i w:val="false"/>
          <w:color w:val="000000"/>
          <w:sz w:val="24"/>
        </w:rPr>
        <w:t> </w:t>
      </w:r>
      <w:r>
        <w:rPr>
          <w:rFonts w:ascii="Times New Roman" w:hAnsi="Times New Roman"/>
          <w:b w:val="false"/>
          <w:i w:val="false"/>
          <w:color w:val="000000"/>
          <w:sz w:val="24"/>
        </w:rPr>
        <w:t>is a stationary device designed to contain an accumulation of regulated substances and constructed of nonearthen materials (e.g., concrete, steel, plastic) that provide structural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allowable concentrations of chemicals of concern established to achieve an applicable target risk that must be met at the point(s) of compliance as specified in these rules.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 risk”</w:t>
      </w:r>
      <w:r>
        <w:rPr>
          <w:rFonts w:ascii="Times New Roman" w:hAnsi="Times New Roman"/>
          <w:b w:val="false"/>
          <w:i w:val="false"/>
          <w:color w:val="000000"/>
          <w:sz w:val="24"/>
        </w:rPr>
        <w:t> </w:t>
      </w:r>
      <w:r>
        <w:rPr>
          <w:rFonts w:ascii="Times New Roman" w:hAnsi="Times New Roman"/>
          <w:b w:val="false"/>
          <w:i w:val="false"/>
          <w:color w:val="000000"/>
          <w:sz w:val="24"/>
        </w:rPr>
        <w:t>refers to an applicable carcinogenic and noncarcinogenic risk factor designated in these rules and used in determining target levels (for carcinogenic risk assessment, target risk is a separate factor, different from exposure factors, both of which are used in determining target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“Technological controls”</w:t>
      </w:r>
      <w:r>
        <w:rPr>
          <w:rFonts w:ascii="Times New Roman" w:hAnsi="Times New Roman"/>
          <w:b w:val="false"/>
          <w:i w:val="false"/>
          <w:color w:val="000000"/>
          <w:sz w:val="24"/>
        </w:rPr>
        <w:t> </w:t>
      </w:r>
      <w:r>
        <w:rPr>
          <w:rFonts w:ascii="Times New Roman" w:hAnsi="Times New Roman"/>
          <w:b w:val="false"/>
          <w:i w:val="false"/>
          <w:color w:val="000000"/>
          <w:sz w:val="24"/>
        </w:rPr>
        <w:t>means a physical action that does not involve source removal or reduction, but severs or reduces exposure to a receptor, such as caps, containment, carbon filters, point of use water treatment,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closure”</w:t>
      </w:r>
      <w:r>
        <w:rPr>
          <w:rFonts w:ascii="Times New Roman" w:hAnsi="Times New Roman"/>
          <w:b w:val="false"/>
          <w:i w:val="false"/>
          <w:color w:val="000000"/>
          <w:sz w:val="24"/>
        </w:rPr>
        <w:t> </w:t>
      </w:r>
      <w:r>
        <w:rPr>
          <w:rFonts w:ascii="Times New Roman" w:hAnsi="Times New Roman"/>
          <w:b w:val="false"/>
          <w:i w:val="false"/>
          <w:color w:val="000000"/>
          <w:sz w:val="24"/>
        </w:rPr>
        <w:t>means a regulated tank or UST system that has been out of operation for three months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“Tester”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certified company or individual who tests tanks, lines, leak detection systems, or monitoring systems as required by </w:t>
      </w:r>
      <w:hyperlink r:id="rId44">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For the purposes of this definition, an owner, operator or an employee of an owner or operator performing leak detection or cathodic protection monitoring, as required by </w:t>
      </w:r>
      <w:hyperlink r:id="rId45">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is not a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“Testing”</w:t>
      </w:r>
      <w:r>
        <w:rPr>
          <w:rFonts w:ascii="Times New Roman" w:hAnsi="Times New Roman"/>
          <w:b w:val="false"/>
          <w:i w:val="false"/>
          <w:color w:val="000000"/>
          <w:sz w:val="24"/>
        </w:rPr>
        <w:t> </w:t>
      </w:r>
      <w:r>
        <w:rPr>
          <w:rFonts w:ascii="Times New Roman" w:hAnsi="Times New Roman"/>
          <w:b w:val="false"/>
          <w:i w:val="false"/>
          <w:color w:val="000000"/>
          <w:sz w:val="24"/>
        </w:rPr>
        <w:t>means the process of utilizing a system to test underground storage tank systems or any part thereof for tightness, leak detection, cathodic protection or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 1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groundwater and soil levels in the Tier 1 Look-up Table set out in </w:t>
      </w:r>
      <w:hyperlink r:id="rId46">
        <w:r>
          <w:rPr>
            <w:rStyle w:val="Hyperlink"/>
            <w:rFonts w:ascii="Times New Roman" w:hAnsi="Times New Roman"/>
            <w:b w:val="false"/>
            <w:i w:val="false"/>
            <w:color w:val="000000"/>
            <w:sz w:val="24"/>
          </w:rPr>
          <w:t>567—135.9(455B)</w:t>
        </w:r>
      </w:hyperlink>
      <w:r>
        <w:rPr>
          <w:rFonts w:ascii="Times New Roman" w:hAnsi="Times New Roman"/>
          <w:b w:val="false"/>
          <w:i w:val="false"/>
          <w:color w:val="000000"/>
          <w:sz w:val="24"/>
        </w:rPr>
        <w:t xml:space="preserve"> and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 1 site assessment”</w:t>
      </w:r>
      <w:r>
        <w:rPr>
          <w:rFonts w:ascii="Times New Roman" w:hAnsi="Times New Roman"/>
          <w:b w:val="false"/>
          <w:i w:val="false"/>
          <w:color w:val="000000"/>
          <w:sz w:val="24"/>
        </w:rPr>
        <w:t> </w:t>
      </w:r>
      <w:r>
        <w:rPr>
          <w:rFonts w:ascii="Times New Roman" w:hAnsi="Times New Roman"/>
          <w:b w:val="false"/>
          <w:i w:val="false"/>
          <w:color w:val="000000"/>
          <w:sz w:val="24"/>
        </w:rPr>
        <w:t>means the evaluation of limited site-specific data compared to the Tier 1 levels established in these rules for the purpose of determining which pathways do not require assessment and evaluation at Tier 2 and which sites warrant a no further action required classification without further assessment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 2 site assessment”</w:t>
      </w:r>
      <w:r>
        <w:rPr>
          <w:rFonts w:ascii="Times New Roman" w:hAnsi="Times New Roman"/>
          <w:b w:val="false"/>
          <w:i w:val="false"/>
          <w:color w:val="000000"/>
          <w:sz w:val="24"/>
        </w:rPr>
        <w:t> </w:t>
      </w:r>
      <w:r>
        <w:rPr>
          <w:rFonts w:ascii="Times New Roman" w:hAnsi="Times New Roman"/>
          <w:b w:val="false"/>
          <w:i w:val="false"/>
          <w:color w:val="000000"/>
          <w:sz w:val="24"/>
        </w:rPr>
        <w:t>means the process of assessing risk to actual and potential receptors by using site-specific contaminant concentrations and designated Tier 2 exposure and fate and transport models to determine the applicable target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 3 site assessment”</w:t>
      </w:r>
      <w:r>
        <w:rPr>
          <w:rFonts w:ascii="Times New Roman" w:hAnsi="Times New Roman"/>
          <w:b w:val="false"/>
          <w:i w:val="false"/>
          <w:color w:val="000000"/>
          <w:sz w:val="24"/>
        </w:rPr>
        <w:t> </w:t>
      </w:r>
      <w:r>
        <w:rPr>
          <w:rFonts w:ascii="Times New Roman" w:hAnsi="Times New Roman"/>
          <w:b w:val="false"/>
          <w:i w:val="false"/>
          <w:color w:val="000000"/>
          <w:sz w:val="24"/>
        </w:rPr>
        <w:t>means a site-specific risk assessment utilizing more sophisticated data or analytic techniques than a Tier 2 site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program that provides information to and evaluates the knowledge of a Class A, Class B, or Class C operator through testing, practical demonstration, or another approach acceptable to the department regarding requirements for UST systems that meet the requirements of </w:t>
      </w:r>
      <w:hyperlink r:id="rId47">
        <w:r>
          <w:rPr>
            <w:rStyle w:val="Hyperlink"/>
            <w:rFonts w:ascii="Times New Roman" w:hAnsi="Times New Roman"/>
            <w:b w:val="false"/>
            <w:i w:val="false"/>
            <w:color w:val="000000"/>
            <w:sz w:val="24"/>
          </w:rPr>
          <w:t>135.4(6) through 135.4(12)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“Under-dispenser containment ”</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“UDC”</w:t>
      </w:r>
      <w:r>
        <w:rPr>
          <w:rFonts w:ascii="Times New Roman" w:hAnsi="Times New Roman"/>
          <w:b w:val="false"/>
          <w:i w:val="false"/>
          <w:color w:val="000000"/>
          <w:sz w:val="24"/>
        </w:rPr>
        <w:t> </w:t>
      </w:r>
      <w:r>
        <w:rPr>
          <w:rFonts w:ascii="Times New Roman" w:hAnsi="Times New Roman"/>
          <w:b w:val="false"/>
          <w:i w:val="false"/>
          <w:color w:val="000000"/>
          <w:sz w:val="24"/>
        </w:rPr>
        <w:t>means containment underneath a dispenser system designed to prevent leaks from the dispenser and piping within or above the UDC from reaching soil or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area”</w:t>
      </w:r>
      <w:r>
        <w:rPr>
          <w:rFonts w:ascii="Times New Roman" w:hAnsi="Times New Roman"/>
          <w:b w:val="false"/>
          <w:i w:val="false"/>
          <w:color w:val="000000"/>
          <w:sz w:val="24"/>
        </w:rPr>
        <w:t> </w:t>
      </w:r>
      <w:r>
        <w:rPr>
          <w:rFonts w:ascii="Times New Roman" w:hAnsi="Times New Roman"/>
          <w:b w:val="false"/>
          <w:i w:val="false"/>
          <w:color w:val="000000"/>
          <w:sz w:val="24"/>
        </w:rPr>
        <w:t>means an underground room, such as a basement, cellar, shaft or vault, providing enough space for physical inspection of the exterior of the tank situated on or above the surface of the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release”</w:t>
      </w:r>
      <w:r>
        <w:rPr>
          <w:rFonts w:ascii="Times New Roman" w:hAnsi="Times New Roman"/>
          <w:b w:val="false"/>
          <w:i w:val="false"/>
          <w:color w:val="000000"/>
          <w:sz w:val="24"/>
        </w:rPr>
        <w:t> </w:t>
      </w:r>
      <w:r>
        <w:rPr>
          <w:rFonts w:ascii="Times New Roman" w:hAnsi="Times New Roman"/>
          <w:b w:val="false"/>
          <w:i w:val="false"/>
          <w:color w:val="000000"/>
          <w:sz w:val="24"/>
        </w:rPr>
        <w:t>means any below-ground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storage tank compliance inspector”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“UST compliance inspector”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inspects a regulated underground storage tank (UST) to satisfy the requirements of </w:t>
      </w:r>
      <w:hyperlink r:id="rId48">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for compliance with UST technical standards in </w:t>
      </w:r>
      <w:hyperlink r:id="rId49">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storage tank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“UST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certified by the department under </w:t>
      </w:r>
      <w:hyperlink r:id="rId50">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excluding groundwater professionals and compliance inspectors. The certification program includes underground storage tank system installation, installation inspection, UST system testing, tank lining, cathodic protection installation/inspection, and UST removal. The certification issued will list the type of work the individual is certified to perform.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utility vault”</w:t>
      </w:r>
      <w:r>
        <w:rPr>
          <w:rFonts w:ascii="Times New Roman" w:hAnsi="Times New Roman"/>
          <w:b w:val="false"/>
          <w:i w:val="false"/>
          <w:color w:val="000000"/>
          <w:sz w:val="24"/>
        </w:rPr>
        <w:t> </w:t>
      </w:r>
      <w:r>
        <w:rPr>
          <w:rFonts w:ascii="Times New Roman" w:hAnsi="Times New Roman"/>
          <w:b w:val="false"/>
          <w:i w:val="false"/>
          <w:color w:val="000000"/>
          <w:sz w:val="24"/>
        </w:rPr>
        <w:t>means any constructed space accessible for inspection and maintenance associated with subsurface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w:t>
      </w:r>
      <w:r>
        <w:rPr>
          <w:rFonts w:ascii="Times New Roman" w:hAnsi="Times New Roman"/>
          <w:b w:val="false"/>
          <w:i w:val="false"/>
          <w:color w:val="000000"/>
          <w:sz w:val="24"/>
        </w:rPr>
        <w:t> </w:t>
      </w:r>
      <w:r>
        <w:rPr>
          <w:rFonts w:ascii="Times New Roman" w:hAnsi="Times New Roman"/>
          <w:b w:val="false"/>
          <w:i w:val="false"/>
          <w:color w:val="000000"/>
          <w:sz w:val="24"/>
        </w:rPr>
        <w:t xml:space="preserve">in reference to child support, means the child support recovery unit created in Iowa Code section </w:t>
      </w:r>
      <w:hyperlink r:id="rId51">
        <w:r>
          <w:rPr>
            <w:rStyle w:val="Hyperlink"/>
            <w:rFonts w:ascii="Times New Roman" w:hAnsi="Times New Roman"/>
            <w:b w:val="false"/>
            <w:i w:val="false"/>
            <w:color w:val="000000"/>
            <w:sz w:val="24"/>
          </w:rPr>
          <w:t>252B.2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“Unreasonable risk to public health and safety or the environment”</w:t>
      </w:r>
      <w:r>
        <w:rPr>
          <w:rFonts w:ascii="Times New Roman" w:hAnsi="Times New Roman"/>
          <w:b w:val="false"/>
          <w:i w:val="false"/>
          <w:color w:val="000000"/>
          <w:sz w:val="24"/>
        </w:rPr>
        <w:t> </w:t>
      </w:r>
      <w:r>
        <w:rPr>
          <w:rFonts w:ascii="Times New Roman" w:hAnsi="Times New Roman"/>
          <w:b w:val="false"/>
          <w:i w:val="false"/>
          <w:color w:val="000000"/>
          <w:sz w:val="24"/>
        </w:rPr>
        <w:t>means the Tier 1 levels for a Tier 1 site assessment, the applicable target level for a Tier 2 site assessment, and the applicable target level for a Tier 3 site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“Upgrade”</w:t>
      </w:r>
      <w:r>
        <w:rPr>
          <w:rFonts w:ascii="Times New Roman" w:hAnsi="Times New Roman"/>
          <w:b w:val="false"/>
          <w:i w:val="false"/>
          <w:color w:val="000000"/>
          <w:sz w:val="24"/>
        </w:rPr>
        <w:t> </w:t>
      </w:r>
      <w:r>
        <w:rPr>
          <w:rFonts w:ascii="Times New Roman" w:hAnsi="Times New Roman"/>
          <w:b w:val="false"/>
          <w:i w:val="false"/>
          <w:color w:val="000000"/>
          <w:sz w:val="24"/>
        </w:rPr>
        <w:t>means the addition or retrofit of some systems such as cathodic protection, lining, or spill and overfill controls to improve the ability of an underground storage tank system to prevent the release of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 EPA”</w:t>
      </w:r>
      <w:r>
        <w:rPr>
          <w:rFonts w:ascii="Times New Roman" w:hAnsi="Times New Roman"/>
          <w:b w:val="false"/>
          <w:i w:val="false"/>
          <w:color w:val="000000"/>
          <w:sz w:val="24"/>
        </w:rPr>
        <w:t> </w:t>
      </w:r>
      <w:r>
        <w:rPr>
          <w:rFonts w:ascii="Times New Roman" w:hAnsi="Times New Roman"/>
          <w:b w:val="false"/>
          <w:i w:val="false"/>
          <w:color w:val="000000"/>
          <w:sz w:val="24"/>
        </w:rPr>
        <w:t>means the United States Environmental Protection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“UST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“tank system”</w:t>
      </w:r>
      <w:r>
        <w:rPr>
          <w:rFonts w:ascii="Times New Roman" w:hAnsi="Times New Roman"/>
          <w:b w:val="false"/>
          <w:i w:val="false"/>
          <w:color w:val="000000"/>
          <w:sz w:val="24"/>
        </w:rPr>
        <w:t> </w:t>
      </w:r>
      <w:r>
        <w:rPr>
          <w:rFonts w:ascii="Times New Roman" w:hAnsi="Times New Roman"/>
          <w:b w:val="false"/>
          <w:i w:val="false"/>
          <w:color w:val="000000"/>
          <w:sz w:val="24"/>
        </w:rPr>
        <w:t>means an underground storage tank, connected underground piping, underground ancillary equipment, and containment system,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“Utility envelope”</w:t>
      </w:r>
      <w:r>
        <w:rPr>
          <w:rFonts w:ascii="Times New Roman" w:hAnsi="Times New Roman"/>
          <w:b w:val="false"/>
          <w:i w:val="false"/>
          <w:color w:val="000000"/>
          <w:sz w:val="24"/>
        </w:rPr>
        <w:t> </w:t>
      </w:r>
      <w:r>
        <w:rPr>
          <w:rFonts w:ascii="Times New Roman" w:hAnsi="Times New Roman"/>
          <w:b w:val="false"/>
          <w:i w:val="false"/>
          <w:color w:val="000000"/>
          <w:sz w:val="24"/>
        </w:rPr>
        <w:t>means the backfill and trench used for any subsurface utility line, drainage system and tile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“Wastewater treatment tank”</w:t>
      </w:r>
      <w:r>
        <w:rPr>
          <w:rFonts w:ascii="Times New Roman" w:hAnsi="Times New Roman"/>
          <w:b w:val="false"/>
          <w:i w:val="false"/>
          <w:color w:val="000000"/>
          <w:sz w:val="24"/>
        </w:rPr>
        <w:t> </w:t>
      </w:r>
      <w:r>
        <w:rPr>
          <w:rFonts w:ascii="Times New Roman" w:hAnsi="Times New Roman"/>
          <w:b w:val="false"/>
          <w:i w:val="false"/>
          <w:color w:val="000000"/>
          <w:sz w:val="24"/>
        </w:rPr>
        <w:t>means a tank that is designed to receive and treat an influent wastewater through physical, chemical, or biological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line”</w:t>
      </w:r>
      <w:r>
        <w:rPr>
          <w:rFonts w:ascii="Times New Roman" w:hAnsi="Times New Roman"/>
          <w:b w:val="false"/>
          <w:i w:val="false"/>
          <w:color w:val="000000"/>
          <w:sz w:val="24"/>
        </w:rPr>
        <w:t> </w:t>
      </w:r>
      <w:r>
        <w:rPr>
          <w:rFonts w:ascii="Times New Roman" w:hAnsi="Times New Roman"/>
          <w:b w:val="false"/>
          <w:i w:val="false"/>
          <w:color w:val="000000"/>
          <w:sz w:val="24"/>
        </w:rPr>
        <w:t>means a hollow cylinder or tubular conduit that routinely contains and conveys potable water and is constructed of nonearthen materials, including but not limited to asbestos-cement, copper, high-density polyethylene (HDPE), polybutylene, polyethylene, and wood. Such piping includes any elbows, couplings, unions, valves, or other in-line fixtures, as well as the gaskets, that contain and convey potable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main pipe”</w:t>
      </w:r>
      <w:r>
        <w:rPr>
          <w:rFonts w:ascii="Times New Roman" w:hAnsi="Times New Roman"/>
          <w:b w:val="false"/>
          <w:i w:val="false"/>
          <w:color w:val="000000"/>
          <w:sz w:val="24"/>
        </w:rPr>
        <w:t> </w:t>
      </w:r>
      <w:r>
        <w:rPr>
          <w:rFonts w:ascii="Times New Roman" w:hAnsi="Times New Roman"/>
          <w:b w:val="false"/>
          <w:i w:val="false"/>
          <w:color w:val="000000"/>
          <w:sz w:val="24"/>
        </w:rPr>
        <w:t>means a main line to the water distribution system with feeder lines or service lines connected to it and that typically is six inches or greater in diameter, and includes its gaskets and other appurtenances.</w:t>
      </w:r>
    </w:p>
    <w:p>
      <w:pPr>
        <w:spacing w:before="0" w:after="0" w:line="480"/>
        <w:ind w:left="120"/>
        <w:jc w:val="both"/>
      </w:pPr>
      <w:r>
        <w:rPr>
          <w:rFonts w:ascii="Times New Roman" w:hAnsi="Times New Roman"/>
          <w:b/>
          <w:i w:val="false"/>
          <w:color w:val="000000"/>
          <w:sz w:val="24"/>
        </w:rPr>
        <w:t>567—135.3</w:t>
      </w:r>
      <w:r>
        <w:rPr>
          <w:rFonts w:ascii="Times New Roman" w:hAnsi="Times New Roman"/>
          <w:b/>
          <w:i w:val="false"/>
          <w:color w:val="000000"/>
          <w:sz w:val="24"/>
        </w:rPr>
        <w:t xml:space="preserve">(455B) </w:t>
      </w:r>
      <w:r>
        <w:rPr>
          <w:rFonts w:ascii="Times New Roman" w:hAnsi="Times New Roman"/>
          <w:b/>
          <w:i w:val="false"/>
          <w:color w:val="000000"/>
          <w:sz w:val="24"/>
        </w:rPr>
        <w:t xml:space="preserve">UST systems—design, construction, installation and notification.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135.3(1)</w:t>
      </w:r>
      <w:r>
        <w:rPr>
          <w:rFonts w:ascii="Times New Roman" w:hAnsi="Times New Roman"/>
          <w:b w:val="false"/>
          <w:i w:val="false"/>
          <w:color w:val="000000"/>
          <w:sz w:val="24"/>
        </w:rPr>
        <w:t> </w:t>
      </w:r>
      <w:r>
        <w:rPr>
          <w:rFonts w:ascii="Times New Roman" w:hAnsi="Times New Roman"/>
          <w:b w:val="false"/>
          <w:i/>
          <w:color w:val="000000"/>
          <w:sz w:val="24"/>
        </w:rPr>
        <w:t xml:space="preserve">Performance standards for new UST systems. </w:t>
      </w:r>
      <w:r>
        <w:rPr>
          <w:rFonts w:ascii="Times New Roman" w:hAnsi="Times New Roman"/>
          <w:b w:val="false"/>
          <w:i w:val="false"/>
          <w:color w:val="000000"/>
          <w:sz w:val="24"/>
        </w:rPr>
        <w:t xml:space="preserve">In order to prevent releases due to structural failure, corrosion, or spills and overfills for as long as the UST system is used to store regulated substances, all owners and operators of new UST systems must meet the following requirements. The UST system must be secondarily contained in accordance with </w:t>
      </w:r>
      <w:hyperlink r:id="rId52">
        <w:r>
          <w:rPr>
            <w:rStyle w:val="Hyperlink"/>
            <w:rFonts w:ascii="Times New Roman" w:hAnsi="Times New Roman"/>
            <w:b w:val="false"/>
            <w:i w:val="false"/>
            <w:color w:val="000000"/>
            <w:sz w:val="24"/>
          </w:rPr>
          <w:t>135.3(8)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Tanks. </w:t>
      </w:r>
      <w:r>
        <w:rPr>
          <w:rFonts w:ascii="Times New Roman" w:hAnsi="Times New Roman"/>
          <w:b w:val="false"/>
          <w:i w:val="false"/>
          <w:color w:val="000000"/>
          <w:sz w:val="24"/>
        </w:rPr>
        <w:t>Each tank must be properly designed and constructed, and any portion underground that routinely contains product must be protected from corrosion in accordance with a code of practice developed by a nationally recognized association or independent testing laboratory as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tank is constructed of fiberglass-reinforced plastic; or</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referenced in 40 CFR 280.20(a)(1) may be used to comply with </w:t>
      </w:r>
      <w:hyperlink r:id="rId53">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tank is constructed of steel and cathodically protected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tank is coated with a suitable dielectric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Field-installed cathodic protection systems are designed by a corrosion expert.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Impressed current systems are designed to allow determination of current operating status as required in </w:t>
      </w:r>
      <w:hyperlink r:id="rId54">
        <w:r>
          <w:rPr>
            <w:rStyle w:val="Hyperlink"/>
            <w:rFonts w:ascii="Times New Roman" w:hAnsi="Times New Roman"/>
            <w:b w:val="false"/>
            <w:i w:val="false"/>
            <w:color w:val="000000"/>
            <w:sz w:val="24"/>
          </w:rPr>
          <w:t>135.4(2)</w:t>
        </w:r>
        <w:r>
          <w:rPr>
            <w:rFonts w:ascii="Times New Roman" w:hAnsi="Times New Roman"/>
            <w:b w:val="false"/>
            <w:i/>
            <w:color w:val="000000"/>
            <w:sz w:val="24"/>
          </w:rPr>
          <w:t>“c.”</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Cathodic protection systems are operated and maintained in accordance with </w:t>
      </w:r>
      <w:hyperlink r:id="rId55">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 xml:space="preserve"> or according to guidelines established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is constructed of steel and clad or jacketed with a noncorrodible material; or </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 xml:space="preserve">The industry codes referenced in 40 CFR 280.20(3) may be used to comply with </w:t>
      </w:r>
      <w:hyperlink r:id="rId56">
        <w:r>
          <w:rPr>
            <w:rStyle w:val="Hyperlink"/>
            <w:rFonts w:ascii="Times New Roman" w:hAnsi="Times New Roman"/>
            <w:b w:val="false"/>
            <w:i w:val="false"/>
            <w:color w:val="000000"/>
            <w:sz w:val="24"/>
          </w:rPr>
          <w:t>135.3(1)</w:t>
        </w:r>
        <w:r>
          <w:rPr>
            <w:rFonts w:ascii="Times New Roman" w:hAnsi="Times New Roman"/>
            <w:b w:val="false"/>
            <w:i/>
            <w:color w:val="000000"/>
            <w:sz w:val="24"/>
          </w:rPr>
          <w:t>“a”</w:t>
        </w:r>
        <w:r>
          <w:rPr>
            <w:rFonts w:ascii="Times New Roman" w:hAnsi="Times New Roman"/>
            <w:b w:val="false"/>
            <w:i w:val="false"/>
            <w:color w:val="000000"/>
            <w:sz w:val="24"/>
          </w:rPr>
          <w:t>(3)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tank is constructed of metal without additional corrosion protection measures provided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tank is installed at a site that is determined by a corrosion expert not to be corrosive enough to cause it to have a release due to corrosion during its operating life;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maintain records that demonstrate compliance with the requirements of </w:t>
      </w:r>
      <w:hyperlink r:id="rId57">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(4)“1” for the remaining life of the tank;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construction and corrosion protection are determined by the department to be designed to prevent the release or threatened release of any stored regulated substance in a manner that is no less protective of human health and the environment than </w:t>
      </w:r>
      <w:hyperlink r:id="rId58">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Piping. </w:t>
      </w:r>
      <w:r>
        <w:rPr>
          <w:rFonts w:ascii="Times New Roman" w:hAnsi="Times New Roman"/>
          <w:b w:val="false"/>
          <w:i w:val="false"/>
          <w:color w:val="000000"/>
          <w:sz w:val="24"/>
        </w:rPr>
        <w:t>The piping that routinely contains regulated substances and is in contact with the ground must be properly designed, constructed, and protected from corrosion in accordance with a code of practice developed by a nationally recognized association or independent testing laboratory as specified in this rule. This includes piping for remote tank fill locations.</w:t>
      </w:r>
    </w:p>
    <w:p>
      <w:pPr>
        <w:spacing w:before="0" w:after="0" w:line="480"/>
        <w:ind w:left="120"/>
        <w:jc w:val="both"/>
      </w:pPr>
      <w:r>
        <w:rPr>
          <w:rFonts w:ascii="Times New Roman" w:hAnsi="Times New Roman"/>
          <w:b w:val="false"/>
          <w:i w:val="false"/>
          <w:color w:val="000000"/>
          <w:sz w:val="24"/>
        </w:rPr>
        <w:t xml:space="preserve">All piping must have secondary containment, installed according to manufacturer’s specifications, and be compatible with the product stored and the environment to which it will be exposed. Piping must maintain its original specifications and structural integrity. Piping whose structural integrity has degraded must be replaced. All piping installations must meet National Fire Prevention Association Standard 30 and Standard 30A or the International Fire Code as adopted by the Iowa state fire marshal in </w:t>
      </w:r>
      <w:hyperlink r:id="rId59">
        <w:r>
          <w:rPr>
            <w:rStyle w:val="Hyperlink"/>
            <w:rFonts w:ascii="Times New Roman" w:hAnsi="Times New Roman"/>
            <w:b w:val="false"/>
            <w:i w:val="false"/>
            <w:color w:val="000000"/>
            <w:sz w:val="24"/>
          </w:rPr>
          <w:t>481—Chapter 282</w:t>
        </w:r>
      </w:hyperlink>
      <w:r>
        <w:rPr>
          <w:rFonts w:ascii="Times New Roman" w:hAnsi="Times New Roman"/>
          <w:b w:val="false"/>
          <w:i w:val="false"/>
          <w:color w:val="000000"/>
          <w:sz w:val="24"/>
        </w:rPr>
        <w:t>, “Flammable or Combustible Liquids.”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piping is constructed of a noncorrodible material; or</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referenced in 40 CFR 280.20(b)(1) may be used to comply with </w:t>
      </w:r>
      <w:hyperlink r:id="rId60">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 xml:space="preserve">(1).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piping is constructed of steel and cathodically protected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piping is coated with a suitable dielectric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Field-installed cathodic protection systems are designed by a corrosion expert;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Impressed current systems are designed to allow determination of current operating status as required in </w:t>
      </w:r>
      <w:hyperlink r:id="rId61">
        <w:r>
          <w:rPr>
            <w:rStyle w:val="Hyperlink"/>
            <w:rFonts w:ascii="Times New Roman" w:hAnsi="Times New Roman"/>
            <w:b w:val="false"/>
            <w:i w:val="false"/>
            <w:color w:val="000000"/>
            <w:sz w:val="24"/>
          </w:rPr>
          <w:t>135.4(2)</w:t>
        </w:r>
      </w:hyperlink>
      <w:r>
        <w:rPr>
          <w:rFonts w:ascii="Times New Roman" w:hAnsi="Times New Roman"/>
          <w:b w:val="false"/>
          <w:i/>
          <w:color w:val="000000"/>
          <w:sz w:val="24"/>
        </w:rPr>
        <w:t>“c”</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Cathodic protection systems are operated and maintained in accordance with </w:t>
      </w:r>
      <w:hyperlink r:id="rId62">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 xml:space="preserve"> or guidelines established by the department; or</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referenced in 40 CFR 280.20(b)(2) may be used to comply with </w:t>
      </w:r>
      <w:hyperlink r:id="rId63">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 xml:space="preserve">(2).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piping is constructed of metal without additional corrosion protection measures provided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piping is installed at a site that is determined by a corrosion expert to not be corrosive enough to cause it to have a release due to corrosion during its operating life;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maintain records that demonstrate compliance with the requirements of </w:t>
      </w:r>
      <w:hyperlink r:id="rId64">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(3)“1” for the remaining life of the piping;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piping construction and corrosion protection are determined by the department to be designed to prevent the release or threatened release of any stored regulated substance in a manner that is no less protective of human health and the environment than the requirements in </w:t>
      </w:r>
      <w:hyperlink r:id="rId65">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 xml:space="preserve">(1) through </w:t>
      </w:r>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Spill and overfill prevention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w:t>
      </w:r>
      <w:hyperlink r:id="rId66">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(2), to prevent spilling and overfilling associated with product transfer to the UST system, owners and operators must use the following spill and overfill prevention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Spill prevention equipment that will prevent release of product to the environment when the transfer hose is detached from the fill pipe (for example, a spill catchment basin);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Overfill prevention equipment that will: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Automatically shut off flow into the tank when the tank is no more than 95 percent full;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Alert the transfer operator when the tank is no more than 90 percent full by restricting the flow into the tank (not allowed for suction product delivery systems, for tanks with stage 1 vapor recovery or when product delivery is by pumping) or triggering a high-level alarm;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Restrict flow 30 minutes prior to overfilling, alert the transfer operator with a high-level alarm one minute before overfilling, or automatically shut off the flow into the tank so that none of the fittings located on top of the tank are exposed to product due to overfilling.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are not required to use the spill and overfill prevention equipment specified in </w:t>
      </w:r>
      <w:hyperlink r:id="rId67">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(1)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Alternative equipment is used that is determined by the department to be no less protective of human health and the environment than the equipment specified in </w:t>
      </w:r>
      <w:hyperlink r:id="rId68">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(1)“1” or “2”;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UST system is filled by transfers of no more than 25 gallons at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Flow restrictors used in vent lines may not be used to comply with </w:t>
      </w:r>
      <w:hyperlink r:id="rId69">
        <w:r>
          <w:rPr>
            <w:rStyle w:val="Hyperlink"/>
            <w:rFonts w:ascii="Times New Roman" w:hAnsi="Times New Roman"/>
            <w:b w:val="false"/>
            <w:i w:val="false"/>
            <w:color w:val="000000"/>
            <w:sz w:val="24"/>
          </w:rPr>
          <w:t>135.3(1)</w:t>
        </w:r>
      </w:hyperlink>
      <w:r>
        <w:rPr>
          <w:rFonts w:ascii="Times New Roman" w:hAnsi="Times New Roman"/>
          <w:b w:val="false"/>
          <w:i/>
          <w:color w:val="000000"/>
          <w:sz w:val="24"/>
        </w:rPr>
        <w:t>“c”</w:t>
      </w:r>
      <w:r>
        <w:rPr>
          <w:rFonts w:ascii="Times New Roman" w:hAnsi="Times New Roman"/>
          <w:b w:val="false"/>
          <w:i w:val="false"/>
          <w:color w:val="000000"/>
          <w:sz w:val="24"/>
        </w:rPr>
        <w:t>(1)“2” when overfill prevention is installed or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Spill and overfill prevention equipment must be periodically tested or inspected in accordance with </w:t>
      </w:r>
      <w:hyperlink r:id="rId70">
        <w:r>
          <w:rPr>
            <w:rStyle w:val="Hyperlink"/>
            <w:rFonts w:ascii="Times New Roman" w:hAnsi="Times New Roman"/>
            <w:b w:val="false"/>
            <w:i w:val="false"/>
            <w:color w:val="000000"/>
            <w:sz w:val="24"/>
          </w:rPr>
          <w:t>135.4(12)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Spill prevention equipment must be kept free of any liquid and debris. Any liquid or debris must be removed prior to product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Installation. </w:t>
      </w:r>
      <w:r>
        <w:rPr>
          <w:rFonts w:ascii="Times New Roman" w:hAnsi="Times New Roman"/>
          <w:b w:val="false"/>
          <w:i w:val="false"/>
          <w:color w:val="000000"/>
          <w:sz w:val="24"/>
        </w:rPr>
        <w:t xml:space="preserve">The UST system must be properly installed in accordance with a code of practice developed by a nationally recognized association or independent testing laboratory and in accordance with the manufacturer’s instructions. The UST system installation shall be conducted by an installer certified by the department under </w:t>
      </w:r>
      <w:hyperlink r:id="rId71">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and in accordance with </w:t>
      </w:r>
      <w:hyperlink r:id="rId72">
        <w:r>
          <w:rPr>
            <w:rStyle w:val="Hyperlink"/>
            <w:rFonts w:ascii="Times New Roman" w:hAnsi="Times New Roman"/>
            <w:b w:val="false"/>
            <w:i w:val="false"/>
            <w:color w:val="000000"/>
            <w:sz w:val="24"/>
          </w:rPr>
          <w:t>567—subrules 134.11(3)</w:t>
        </w:r>
      </w:hyperlink>
      <w:r>
        <w:rPr>
          <w:rFonts w:ascii="Times New Roman" w:hAnsi="Times New Roman"/>
          <w:b w:val="false"/>
          <w:i w:val="false"/>
          <w:color w:val="000000"/>
          <w:sz w:val="24"/>
        </w:rPr>
        <w:t xml:space="preserve"> and </w:t>
      </w:r>
      <w:hyperlink r:id="rId73">
        <w:r>
          <w:rPr>
            <w:rStyle w:val="Hyperlink"/>
            <w:rFonts w:ascii="Times New Roman" w:hAnsi="Times New Roman"/>
            <w:b w:val="false"/>
            <w:i w:val="false"/>
            <w:color w:val="000000"/>
            <w:sz w:val="24"/>
          </w:rPr>
          <w:t>134.11(4)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Tank and piping system installation practices and procedures described in the codes referenced in 40 CFR 280.20(d) may be used to comply with the requirements of </w:t>
      </w:r>
      <w:hyperlink r:id="rId74">
        <w:r>
          <w:rPr>
            <w:rStyle w:val="Hyperlink"/>
            <w:rFonts w:ascii="Times New Roman" w:hAnsi="Times New Roman"/>
            <w:b w:val="false"/>
            <w:i w:val="false"/>
            <w:color w:val="000000"/>
            <w:sz w:val="24"/>
          </w:rPr>
          <w:t>135.3(1)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installation. </w:t>
      </w:r>
      <w:r>
        <w:rPr>
          <w:rFonts w:ascii="Times New Roman" w:hAnsi="Times New Roman"/>
          <w:b w:val="false"/>
          <w:i w:val="false"/>
          <w:color w:val="000000"/>
          <w:sz w:val="24"/>
        </w:rPr>
        <w:t xml:space="preserve">All owners and operators must ensure that the following methods of certification, testing, and inspection are used to demonstrate compliance with </w:t>
      </w:r>
      <w:hyperlink r:id="rId75">
        <w:r>
          <w:rPr>
            <w:rStyle w:val="Hyperlink"/>
            <w:rFonts w:ascii="Times New Roman" w:hAnsi="Times New Roman"/>
            <w:b w:val="false"/>
            <w:i w:val="false"/>
            <w:color w:val="000000"/>
            <w:sz w:val="24"/>
          </w:rPr>
          <w:t>135.3(1)</w:t>
        </w:r>
      </w:hyperlink>
      <w:r>
        <w:rPr>
          <w:rFonts w:ascii="Times New Roman" w:hAnsi="Times New Roman"/>
          <w:b w:val="false"/>
          <w:i/>
          <w:color w:val="000000"/>
          <w:sz w:val="24"/>
        </w:rPr>
        <w:t>“d”</w:t>
      </w:r>
      <w:r>
        <w:rPr>
          <w:rFonts w:ascii="Times New Roman" w:hAnsi="Times New Roman"/>
          <w:b w:val="false"/>
          <w:i w:val="false"/>
          <w:color w:val="000000"/>
          <w:sz w:val="24"/>
        </w:rPr>
        <w:t xml:space="preserve"> by providing a certification of compliance on the UST registration form in accordance with </w:t>
      </w:r>
      <w:hyperlink r:id="rId76">
        <w:r>
          <w:rPr>
            <w:rStyle w:val="Hyperlink"/>
            <w:rFonts w:ascii="Times New Roman" w:hAnsi="Times New Roman"/>
            <w:b w:val="false"/>
            <w:i w:val="false"/>
            <w:color w:val="000000"/>
            <w:sz w:val="24"/>
          </w:rPr>
          <w:t>135.3(3)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installer is certified by the department as provided in </w:t>
      </w:r>
      <w:hyperlink r:id="rId77">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installation has been inspected by a certified installation inspector as required by </w:t>
      </w:r>
      <w:hyperlink r:id="rId78">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Dispenser systems. </w:t>
      </w:r>
      <w:r>
        <w:rPr>
          <w:rFonts w:ascii="Times New Roman" w:hAnsi="Times New Roman"/>
          <w:b w:val="false"/>
          <w:i w:val="false"/>
          <w:color w:val="000000"/>
          <w:sz w:val="24"/>
        </w:rPr>
        <w:t>Each UST system must be equipped with under-dispenser containment (UDC) for any new or replaced dispenser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dispenser system is considered new when both the dispenser and the equipment needed to connect the dispenser to the underground storage tank system are installed at a location where there previously was no dispenser (new UST system or new dispenser location at an existing UST system). The equipment necessary to connect the dispenser to the underground storage tank system includes check valves, shear valves, unburied risers or flexible connectors, or other transitional components that are underneath the dispenser and connect the dispenser to the underground piping.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UDC shall be installed whenever an existing dispenser system is removed and replaced with another dispenser and the equipment used to connect the dispenser to the underground storage tank system is replaced. This equipment includes flexible connectors or risers or other transitional components that are beneath the dispenser and connect the dispenser to the piping. UDC is not required when only the emergency shutoff or shear valves or check valves are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UDC must be liquid-tight on its sides, bottom, and at any penetrations. UDC must allow for visual inspection and access to the components in the containment system or be periodically monitored for leaks from the dispenser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135.3(2)</w:t>
      </w:r>
      <w:r>
        <w:rPr>
          <w:rFonts w:ascii="Times New Roman" w:hAnsi="Times New Roman"/>
          <w:b w:val="false"/>
          <w:i w:val="false"/>
          <w:color w:val="000000"/>
          <w:sz w:val="24"/>
        </w:rPr>
        <w:t> </w:t>
      </w:r>
      <w:r>
        <w:rPr>
          <w:rFonts w:ascii="Times New Roman" w:hAnsi="Times New Roman"/>
          <w:b w:val="false"/>
          <w:i/>
          <w:color w:val="000000"/>
          <w:sz w:val="24"/>
        </w:rPr>
        <w:t xml:space="preserve">Upgrading of existing UST systems. </w:t>
      </w:r>
      <w:r>
        <w:rPr>
          <w:rFonts w:ascii="Times New Roman" w:hAnsi="Times New Roman"/>
          <w:b w:val="false"/>
          <w:i w:val="false"/>
          <w:color w:val="000000"/>
          <w:sz w:val="24"/>
        </w:rPr>
        <w:t xml:space="preserve">Owners and operators must permanently close any UST system that does not meet the new UST system performance standards or has not been upgraded in accordance with </w:t>
      </w:r>
      <w:hyperlink r:id="rId79">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xml:space="preserve"> This subrule does not apply to previously deferred UST systems. Upgrading is no longer allowed for UST systems not upgraded by December 22, 1998.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Alternatives allowed. </w:t>
      </w:r>
      <w:r>
        <w:rPr>
          <w:rFonts w:ascii="Times New Roman" w:hAnsi="Times New Roman"/>
          <w:b w:val="false"/>
          <w:i w:val="false"/>
          <w:color w:val="000000"/>
          <w:sz w:val="24"/>
        </w:rPr>
        <w:t>Not later than December 22, 1998, all existing UST systems had to comply with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New UST system performance standards under </w:t>
      </w:r>
      <w:hyperlink r:id="rId80">
        <w:r>
          <w:rPr>
            <w:rStyle w:val="Hyperlink"/>
            <w:rFonts w:ascii="Times New Roman" w:hAnsi="Times New Roman"/>
            <w:b w:val="false"/>
            <w:i w:val="false"/>
            <w:color w:val="000000"/>
            <w:sz w:val="24"/>
          </w:rPr>
          <w:t>135.3(1)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upgrading requirements in </w:t>
      </w:r>
      <w:hyperlink r:id="rId81">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Closure requirements under </w:t>
      </w:r>
      <w:hyperlink r:id="rId82">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including applicable requirements for corrective action under </w:t>
      </w:r>
      <w:hyperlink r:id="rId83">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through </w:t>
      </w:r>
      <w:hyperlink r:id="rId84">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Tank upgrading requirements. </w:t>
      </w:r>
      <w:r>
        <w:rPr>
          <w:rFonts w:ascii="Times New Roman" w:hAnsi="Times New Roman"/>
          <w:b w:val="false"/>
          <w:i w:val="false"/>
          <w:color w:val="000000"/>
          <w:sz w:val="24"/>
        </w:rPr>
        <w:t>Steel tanks had to be upgraded to meet one of the following requirements in accordance with a code of practice developed by a nationally recognized association or independent testing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Interior lining. Tanks upgraded by internal lining must meet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lining was installed in accordance with the requirements of </w:t>
      </w:r>
      <w:hyperlink r:id="rId85">
        <w:r>
          <w:rPr>
            <w:rStyle w:val="Hyperlink"/>
            <w:rFonts w:ascii="Times New Roman" w:hAnsi="Times New Roman"/>
            <w:b w:val="false"/>
            <w:i w:val="false"/>
            <w:color w:val="000000"/>
            <w:sz w:val="24"/>
          </w:rPr>
          <w:t>135.4(4)</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ten years after lining, and every five years thereafter, the lined tank is internally inspected and found to be structurally sound with the lining still performing in accordance with original design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internal lining is no longer performing in accordance with original design specifications and cannot be repaired in accordance with a code of practice developed by a nationally recognized association or independent testing laboratory, the lined tank must be permanently closed in accordance with </w:t>
      </w:r>
      <w:hyperlink r:id="rId86">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Cathodic protection. Tanks upgraded by cathodic protection meet the requirements of </w:t>
      </w:r>
      <w:hyperlink r:id="rId87">
        <w:r>
          <w:rPr>
            <w:rStyle w:val="Hyperlink"/>
            <w:rFonts w:ascii="Times New Roman" w:hAnsi="Times New Roman"/>
            <w:b w:val="false"/>
            <w:i w:val="false"/>
            <w:color w:val="000000"/>
            <w:sz w:val="24"/>
          </w:rPr>
          <w:t>135.3(1)</w:t>
        </w:r>
        <w:r>
          <w:rPr>
            <w:rFonts w:ascii="Times New Roman" w:hAnsi="Times New Roman"/>
            <w:b w:val="false"/>
            <w:i/>
            <w:color w:val="000000"/>
            <w:sz w:val="24"/>
          </w:rPr>
          <w:t>“a”</w:t>
        </w:r>
        <w:r>
          <w:rPr>
            <w:rFonts w:ascii="Times New Roman" w:hAnsi="Times New Roman"/>
            <w:b w:val="false"/>
            <w:i w:val="false"/>
            <w:color w:val="000000"/>
            <w:sz w:val="24"/>
          </w:rPr>
          <w:t>(2)“2,”</w:t>
        </w:r>
      </w:hyperlink>
      <w:r>
        <w:rPr>
          <w:rFonts w:ascii="Times New Roman" w:hAnsi="Times New Roman"/>
          <w:b w:val="false"/>
          <w:i w:val="false"/>
          <w:color w:val="000000"/>
          <w:sz w:val="24"/>
        </w:rPr>
        <w:t xml:space="preserve"> “3,” and “4” and the integrity of the tank was ensured using one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tank was internally inspected and assessed to ensure that the tank was structurally sound and free of corrosion holes prior to installing the cathodic protection system;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had been installed for less than ten years and is monitored monthly for releases in accordance with </w:t>
      </w:r>
      <w:hyperlink r:id="rId8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“d”</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had been installed for less than ten years and was assessed for corrosion holes by conducting two tightness tests that meet the requirements of </w:t>
      </w:r>
      <w:hyperlink r:id="rId89">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first tightness test must have been conducted prior to installing the cathodic protection system. The second tightness test must have been conducted between three and six months following the first operation of the cathodic protection system;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was assessed for corrosion holes by a method that is determined by the department to prevent releases in a manner that is no less protective of human health and the environment than </w:t>
      </w:r>
      <w:hyperlink r:id="rId90">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(2)“1” through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Internal lining combined with cathodic protection. Tanks upgraded by both internal lining and cathodic protection must have met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lining was installed in accordance with the requirements of </w:t>
      </w:r>
      <w:hyperlink r:id="rId91">
        <w:r>
          <w:rPr>
            <w:rStyle w:val="Hyperlink"/>
            <w:rFonts w:ascii="Times New Roman" w:hAnsi="Times New Roman"/>
            <w:b w:val="false"/>
            <w:i w:val="false"/>
            <w:color w:val="000000"/>
            <w:sz w:val="24"/>
          </w:rPr>
          <w:t>135.4(4)</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cathodic protection system was installed within six months of lining installation and meets the requirements of </w:t>
      </w:r>
      <w:hyperlink r:id="rId92">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(2)“2,” “3,” and “4.”</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regarding </w:t>
      </w:r>
      <w:hyperlink r:id="rId93">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codes referenced in 40 CFR 280.21 are options for complying with </w:t>
      </w:r>
      <w:hyperlink r:id="rId94">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regarding </w:t>
      </w:r>
      <w:hyperlink r:id="rId95">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(1)“2”: The codes referenced in 40 CFR 280.21(b)(1)(ii) may be used to comply with the periodic lining inspection requirement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Piping upgrading requirements. </w:t>
      </w:r>
      <w:r>
        <w:rPr>
          <w:rFonts w:ascii="Times New Roman" w:hAnsi="Times New Roman"/>
          <w:b w:val="false"/>
          <w:i w:val="false"/>
          <w:color w:val="000000"/>
          <w:sz w:val="24"/>
        </w:rPr>
        <w:t xml:space="preserve">Metal piping that routinely contains regulated substances and is in contact with the ground must be cathodically protected in accordance with a code of practice developed by a nationally recognized association or independent testing laboratory and must meet the requirements of </w:t>
      </w:r>
      <w:hyperlink r:id="rId96">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(2)“2,” “3,” and “4.”</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listed in 40 CFR 280.21(c) may be used to comply with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Spill and overfill prevention equipment. </w:t>
      </w:r>
      <w:r>
        <w:rPr>
          <w:rFonts w:ascii="Times New Roman" w:hAnsi="Times New Roman"/>
          <w:b w:val="false"/>
          <w:i w:val="false"/>
          <w:color w:val="000000"/>
          <w:sz w:val="24"/>
        </w:rPr>
        <w:t xml:space="preserve">To prevent spilling and overfilling associated with product transfer to the UST system, all existing UST systems must comply with UST system spill and overfill prevention equipment requirements specified in </w:t>
      </w:r>
      <w:hyperlink r:id="rId97">
        <w:r>
          <w:rPr>
            <w:rStyle w:val="Hyperlink"/>
            <w:rFonts w:ascii="Times New Roman" w:hAnsi="Times New Roman"/>
            <w:b w:val="false"/>
            <w:i w:val="false"/>
            <w:color w:val="000000"/>
            <w:sz w:val="24"/>
          </w:rPr>
          <w:t>135.3(1)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135.3(3)</w:t>
      </w:r>
      <w:r>
        <w:rPr>
          <w:rFonts w:ascii="Times New Roman" w:hAnsi="Times New Roman"/>
          <w:b w:val="false"/>
          <w:i w:val="false"/>
          <w:color w:val="000000"/>
          <w:sz w:val="24"/>
        </w:rPr>
        <w:t> </w:t>
      </w:r>
      <w:r>
        <w:rPr>
          <w:rFonts w:ascii="Times New Roman" w:hAnsi="Times New Roman"/>
          <w:b w:val="false"/>
          <w:i/>
          <w:color w:val="000000"/>
          <w:sz w:val="24"/>
        </w:rPr>
        <w:t xml:space="preserve">Registration and notification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w:t>
      </w:r>
      <w:hyperlink r:id="rId98">
        <w:r>
          <w:rPr>
            <w:rStyle w:val="Hyperlink"/>
            <w:rFonts w:ascii="Times New Roman" w:hAnsi="Times New Roman"/>
            <w:b w:val="false"/>
            <w:i w:val="false"/>
            <w:color w:val="000000"/>
            <w:sz w:val="24"/>
          </w:rPr>
          <w:t>135.3(3)</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owner of an underground storage tank existing on or before July 1, 1985, shall complete and submit to the department a copy of the registration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 of an underground storage tank system taken out of operation between January 1, 1974, and July 1, 1985, shall complete and submit to the department a copy of the registration form provided by the department unless the owner knows the tank has been removed from the ground. For purposes of this subrule, “owner” means the person who owned the tank immediately before the discontinuation of the tank’s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who brings into use an underground storage tank system after July 1, 1985, shall complete and submit to the department a copy of the registration form provided by the department within 30 days of the final installation inspection required in </w:t>
      </w:r>
      <w:hyperlink r:id="rId99">
        <w:r>
          <w:rPr>
            <w:rStyle w:val="Hyperlink"/>
            <w:rFonts w:ascii="Times New Roman" w:hAnsi="Times New Roman"/>
            <w:b w:val="false"/>
            <w:i w:val="false"/>
            <w:color w:val="000000"/>
            <w:sz w:val="24"/>
          </w:rPr>
          <w:t>567—subparagraph 134.14(3)</w:t>
        </w:r>
        <w:r>
          <w:rPr>
            <w:rFonts w:ascii="Times New Roman" w:hAnsi="Times New Roman"/>
            <w:b w:val="false"/>
            <w:i/>
            <w:color w:val="000000"/>
            <w:sz w:val="24"/>
          </w:rPr>
          <w:t>“c”</w:t>
        </w:r>
        <w:r>
          <w:rPr>
            <w:rFonts w:ascii="Times New Roman" w:hAnsi="Times New Roman"/>
            <w:b w:val="false"/>
            <w:i w:val="false"/>
            <w:color w:val="000000"/>
            <w:sz w:val="24"/>
          </w:rPr>
          <w:t>(3)</w:t>
        </w:r>
      </w:hyperlink>
      <w:r>
        <w:rPr>
          <w:rFonts w:ascii="Times New Roman" w:hAnsi="Times New Roman"/>
          <w:b w:val="false"/>
          <w:i w:val="false"/>
          <w:color w:val="000000"/>
          <w:sz w:val="24"/>
        </w:rPr>
        <w:t xml:space="preserve"> by a certified installation inspector. The owner or operator shall not allow the deposit of any regulated substance into the tank without prior approval of the department or until the permanent registration tag and annual tank tag have been attached to the tank fill pipe and the tank system is covered by an approved financial responsibility mechanism in accordance with </w:t>
      </w:r>
      <w:hyperlink r:id="rId100">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owners and operators of new UST systems must provide UST system details and a site diagram and certify in the registration form compliance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Installation of tanks and piping under </w:t>
      </w:r>
      <w:hyperlink r:id="rId101">
        <w:r>
          <w:rPr>
            <w:rStyle w:val="Hyperlink"/>
            <w:rFonts w:ascii="Times New Roman" w:hAnsi="Times New Roman"/>
            <w:b w:val="false"/>
            <w:i w:val="false"/>
            <w:color w:val="000000"/>
            <w:sz w:val="24"/>
          </w:rPr>
          <w:t>135.3(1)</w:t>
        </w:r>
      </w:hyperlink>
      <w:r>
        <w:rPr>
          <w:rFonts w:ascii="Times New Roman" w:hAnsi="Times New Roman"/>
          <w:b w:val="false"/>
          <w:i/>
          <w:color w:val="000000"/>
          <w:sz w:val="24"/>
        </w:rPr>
        <w:t>“e”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Cathodic protection of steel tanks and piping under </w:t>
      </w:r>
      <w:hyperlink r:id="rId102">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responsibility under </w:t>
      </w:r>
      <w:hyperlink r:id="rId103">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Release detection methods under </w:t>
      </w:r>
      <w:hyperlink r:id="rId104">
        <w:r>
          <w:rPr>
            <w:rStyle w:val="Hyperlink"/>
            <w:rFonts w:ascii="Times New Roman" w:hAnsi="Times New Roman"/>
            <w:b w:val="false"/>
            <w:i w:val="false"/>
            <w:color w:val="000000"/>
            <w:sz w:val="24"/>
          </w:rPr>
          <w:t>135.5(2)</w:t>
        </w:r>
      </w:hyperlink>
      <w:r>
        <w:rPr>
          <w:rFonts w:ascii="Times New Roman" w:hAnsi="Times New Roman"/>
          <w:b w:val="false"/>
          <w:i w:val="false"/>
          <w:color w:val="000000"/>
          <w:sz w:val="24"/>
        </w:rPr>
        <w:t xml:space="preserve"> and </w:t>
      </w:r>
      <w:hyperlink r:id="rId105">
        <w:r>
          <w:rPr>
            <w:rStyle w:val="Hyperlink"/>
            <w:rFonts w:ascii="Times New Roman" w:hAnsi="Times New Roman"/>
            <w:b w:val="false"/>
            <w:i w:val="false"/>
            <w:color w:val="000000"/>
            <w:sz w:val="24"/>
          </w:rPr>
          <w:t>135.5(3)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Class A and B operator certification under </w:t>
      </w:r>
      <w:hyperlink r:id="rId106">
        <w:r>
          <w:rPr>
            <w:rStyle w:val="Hyperlink"/>
            <w:rFonts w:ascii="Times New Roman" w:hAnsi="Times New Roman"/>
            <w:b w:val="false"/>
            <w:i w:val="false"/>
            <w:color w:val="000000"/>
            <w:sz w:val="24"/>
          </w:rPr>
          <w:t>135.4(6)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NESHAP Stage 1 vapor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All owners and operators of new UST systems must ensure that the certified installer certifies in the registration form that the methods used to install the tanks and piping comply with the requirements in </w:t>
      </w:r>
      <w:hyperlink r:id="rId107">
        <w:r>
          <w:rPr>
            <w:rStyle w:val="Hyperlink"/>
            <w:rFonts w:ascii="Times New Roman" w:hAnsi="Times New Roman"/>
            <w:b w:val="false"/>
            <w:i w:val="false"/>
            <w:color w:val="000000"/>
            <w:sz w:val="24"/>
          </w:rPr>
          <w:t>135.3(1)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Exemption from reporting requirement. Paragraphs </w:t>
      </w:r>
      <w:hyperlink r:id="rId108">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“c”</w:t>
      </w:r>
      <w:r>
        <w:rPr>
          <w:rFonts w:ascii="Times New Roman" w:hAnsi="Times New Roman"/>
          <w:b w:val="false"/>
          <w:i w:val="false"/>
          <w:color w:val="000000"/>
          <w:sz w:val="24"/>
        </w:rPr>
        <w:t xml:space="preserve"> do not apply to an underground storage tank for which notice was given pursuant to Section 103, Subsection c, of the Comprehensive Environmental Response, Compensation, and Liabilities Act of 1980.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Subsection 9603(c)).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Notification requirement for installing a tank. A person installing an underground storage tank and the owner or operator of the underground storage tank must notify the department of their intent to install the tank 30 days prior to installation. Notification shall be on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Notice requirement for acquiring a UST system. A person, company or lending institution that assumes ownership or operation of a regulated underground storage tank must submit notification to the department on a form provided by the department within 30 days of acquisition and prior to tank operation. The owner must include copies of training certificates for the Class A and Class B operators (</w:t>
      </w:r>
      <w:hyperlink r:id="rId109">
        <w:r>
          <w:rPr>
            <w:rStyle w:val="Hyperlink"/>
            <w:rFonts w:ascii="Times New Roman" w:hAnsi="Times New Roman"/>
            <w:b w:val="false"/>
            <w:i w:val="false"/>
            <w:color w:val="000000"/>
            <w:sz w:val="24"/>
          </w:rPr>
          <w:t>135.4(6)</w:t>
        </w:r>
      </w:hyperlink>
      <w:r>
        <w:rPr>
          <w:rFonts w:ascii="Times New Roman" w:hAnsi="Times New Roman"/>
          <w:b w:val="false"/>
          <w:i w:val="false"/>
          <w:color w:val="000000"/>
          <w:sz w:val="24"/>
        </w:rPr>
        <w:t xml:space="preserve">) and proof of financial responsibility required in </w:t>
      </w:r>
      <w:hyperlink r:id="rId110">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 The new owner is responsible for any current tank management fees that have not been previously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It is unlawful for a person to deposit or accept a regulated substance into an underground storage tank if the person has received notice from the department that the underground storage tank is subject to a delivery prohibition or if there is a “red tag” attached to the UST fill pipe or fill pipe cap as provided in </w:t>
      </w:r>
      <w:hyperlink r:id="rId111">
        <w:r>
          <w:rPr>
            <w:rStyle w:val="Hyperlink"/>
            <w:rFonts w:ascii="Times New Roman" w:hAnsi="Times New Roman"/>
            <w:b w:val="false"/>
            <w:i w:val="false"/>
            <w:color w:val="000000"/>
            <w:sz w:val="24"/>
          </w:rPr>
          <w:t>135.3(7)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may provide written authorization to receive a regulated substance when conditions warrant.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provide known depositors of regulated substances lists of underground storage tank sites that have been issued tank tags, those that have not been issued tank tags, and those subject to a delivery prohibition pursuant to </w:t>
      </w:r>
      <w:hyperlink r:id="rId112">
        <w:r>
          <w:rPr>
            <w:rStyle w:val="Hyperlink"/>
            <w:rFonts w:ascii="Times New Roman" w:hAnsi="Times New Roman"/>
            <w:b w:val="false"/>
            <w:i w:val="false"/>
            <w:color w:val="000000"/>
            <w:sz w:val="24"/>
          </w:rPr>
          <w:t>135.3(7)</w:t>
        </w:r>
      </w:hyperlink>
      <w:r>
        <w:rPr>
          <w:rFonts w:ascii="Times New Roman" w:hAnsi="Times New Roman"/>
          <w:b w:val="false"/>
          <w:i w:val="false"/>
          <w:color w:val="000000"/>
          <w:sz w:val="24"/>
        </w:rPr>
        <w:t>. These lists do not remove the requirement for depositors to verify that current tank tags are affixed to the fill pipe prior to delivering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shall not accept or deposit a regulated substance in an underground storage tank after receiving written or oral notice from the department that the tank is not covered by an approved form of financial responsibility in accordance with </w:t>
      </w:r>
      <w:hyperlink r:id="rId113">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135.3(4)</w:t>
      </w:r>
      <w:r>
        <w:rPr>
          <w:rFonts w:ascii="Times New Roman" w:hAnsi="Times New Roman"/>
          <w:b w:val="false"/>
          <w:i w:val="false"/>
          <w:color w:val="000000"/>
          <w:sz w:val="24"/>
        </w:rPr>
        <w:t> </w:t>
      </w:r>
      <w:r>
        <w:rPr>
          <w:rFonts w:ascii="Times New Roman" w:hAnsi="Times New Roman"/>
          <w:b w:val="false"/>
          <w:i/>
          <w:color w:val="000000"/>
          <w:sz w:val="24"/>
        </w:rPr>
        <w:t xml:space="preserve">Farm and residential tanks.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 farm or residential tank of 1,100 gallons or less capacity used for storing motor fuel for noncommercial purposes is subject to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Farm and residential tanks, installed before July 1, 1987, are required to be registered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Farm and residential tanks installed on or after July 1, 1987, must be in compliance with all the underground storage tank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135.3(5)</w:t>
      </w:r>
      <w:r>
        <w:rPr>
          <w:rFonts w:ascii="Times New Roman" w:hAnsi="Times New Roman"/>
          <w:b w:val="false"/>
          <w:i w:val="false"/>
          <w:color w:val="000000"/>
          <w:sz w:val="24"/>
        </w:rPr>
        <w:t> </w:t>
      </w:r>
      <w:r>
        <w:rPr>
          <w:rFonts w:ascii="Times New Roman" w:hAnsi="Times New Roman"/>
          <w:b w:val="false"/>
          <w:i/>
          <w:color w:val="000000"/>
          <w:sz w:val="24"/>
        </w:rPr>
        <w:t xml:space="preserve">Registration tags and annual management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Tanks of 1,100 gallons or less capacity that have registered with the department will be issued a permanent registration tag.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tanks over 1,100-gallon capacity must submit a tank management fee form and fee payment of $65 per tank by January 15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additional $250 per tank late fee must be paid if the tank management fee is not paid by March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submit proof that the tanks are covered by an approved form of financial responsibility in accordance with </w:t>
      </w:r>
      <w:hyperlink r:id="rId114">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Upon proper payment of the fee and acceptable proof of financial responsibility, and a determination there are no outstanding compliance violations, a one-year renewal tag will be issued for the period from April 1 to March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there are outstanding compliance violations, the annual tank tags may be withheld until the violations are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department shall refund a tank management fee if the tank is permanently closed prior to April 1 for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affix the tag to the fill pipe of the underground storage tank where it will be readily visible.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conveys or deposits a regulated substance shall inspect the underground storage tank to determine the existence or absence of a permanent registration tag, a current annual renewal tag, or a delivery prohibition “red tag” as provided in </w:t>
      </w:r>
      <w:hyperlink r:id="rId115">
        <w:r>
          <w:rPr>
            <w:rStyle w:val="Hyperlink"/>
            <w:rFonts w:ascii="Times New Roman" w:hAnsi="Times New Roman"/>
            <w:b w:val="false"/>
            <w:i w:val="false"/>
            <w:color w:val="000000"/>
            <w:sz w:val="24"/>
          </w:rPr>
          <w:t>135.3(7)</w:t>
        </w:r>
      </w:hyperlink>
      <w:r>
        <w:rPr>
          <w:rFonts w:ascii="Times New Roman" w:hAnsi="Times New Roman"/>
          <w:b w:val="false"/>
          <w:i w:val="false"/>
          <w:color w:val="000000"/>
          <w:sz w:val="24"/>
        </w:rPr>
        <w:t>. If a current annual renewal tag, or a silver permanent tag for regulated tanks less than 1,100 gallons is not affixed to the fill pipe or fill pipe cap or if a delivery prohibition “red tag” is displayed, the person shall not deposit the substance in the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135.3(6)</w:t>
      </w:r>
      <w:r>
        <w:rPr>
          <w:rFonts w:ascii="Times New Roman" w:hAnsi="Times New Roman"/>
          <w:b w:val="false"/>
          <w:i w:val="false"/>
          <w:color w:val="000000"/>
          <w:sz w:val="24"/>
        </w:rPr>
        <w:t> </w:t>
      </w:r>
      <w:r>
        <w:rPr>
          <w:rFonts w:ascii="Times New Roman" w:hAnsi="Times New Roman"/>
          <w:b w:val="false"/>
          <w:i/>
          <w:color w:val="000000"/>
          <w:sz w:val="24"/>
        </w:rPr>
        <w:t xml:space="preserve">Previously unregistered petroleum underground storage tanks. </w:t>
      </w:r>
      <w:r>
        <w:rPr>
          <w:rFonts w:ascii="Times New Roman" w:hAnsi="Times New Roman"/>
          <w:b w:val="false"/>
          <w:i w:val="false"/>
          <w:color w:val="000000"/>
          <w:sz w:val="24"/>
        </w:rPr>
        <w:t xml:space="preserve">A petroleum underground storage tank required to be registered under </w:t>
      </w:r>
      <w:hyperlink r:id="rId116">
        <w:r>
          <w:rPr>
            <w:rStyle w:val="Hyperlink"/>
            <w:rFonts w:ascii="Times New Roman" w:hAnsi="Times New Roman"/>
            <w:b w:val="false"/>
            <w:i w:val="false"/>
            <w:color w:val="000000"/>
            <w:sz w:val="24"/>
          </w:rPr>
          <w:t>135.3(3)</w:t>
        </w:r>
      </w:hyperlink>
      <w:r>
        <w:rPr>
          <w:rFonts w:ascii="Times New Roman" w:hAnsi="Times New Roman"/>
          <w:b w:val="false"/>
          <w:i w:val="false"/>
          <w:color w:val="000000"/>
          <w:sz w:val="24"/>
        </w:rPr>
        <w:t xml:space="preserve"> and </w:t>
      </w:r>
      <w:hyperlink r:id="rId117">
        <w:r>
          <w:rPr>
            <w:rStyle w:val="Hyperlink"/>
            <w:rFonts w:ascii="Times New Roman" w:hAnsi="Times New Roman"/>
            <w:b w:val="false"/>
            <w:i w:val="false"/>
            <w:color w:val="000000"/>
            <w:sz w:val="24"/>
          </w:rPr>
          <w:t>135.3(4)</w:t>
        </w:r>
      </w:hyperlink>
      <w:r>
        <w:rPr>
          <w:rFonts w:ascii="Times New Roman" w:hAnsi="Times New Roman"/>
          <w:b w:val="false"/>
          <w:i w:val="false"/>
          <w:color w:val="000000"/>
          <w:sz w:val="24"/>
        </w:rPr>
        <w:t xml:space="preserve"> that has not been registered shall be registered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registration fee under Iowa Code section </w:t>
      </w:r>
      <w:hyperlink r:id="rId118">
        <w:r>
          <w:rPr>
            <w:rStyle w:val="Hyperlink"/>
            <w:rFonts w:ascii="Times New Roman" w:hAnsi="Times New Roman"/>
            <w:b w:val="false"/>
            <w:i w:val="false"/>
            <w:color w:val="000000"/>
            <w:sz w:val="24"/>
          </w:rPr>
          <w:t>455B.473(4)</w:t>
        </w:r>
      </w:hyperlink>
      <w:r>
        <w:rPr>
          <w:rFonts w:ascii="Times New Roman" w:hAnsi="Times New Roman"/>
          <w:b w:val="false"/>
          <w:i w:val="false"/>
          <w:color w:val="000000"/>
          <w:sz w:val="24"/>
        </w:rPr>
        <w:t xml:space="preserve"> and </w:t>
      </w:r>
      <w:hyperlink r:id="rId119">
        <w:r>
          <w:rPr>
            <w:rStyle w:val="Hyperlink"/>
            <w:rFonts w:ascii="Times New Roman" w:hAnsi="Times New Roman"/>
            <w:b w:val="false"/>
            <w:i w:val="false"/>
            <w:color w:val="000000"/>
            <w:sz w:val="24"/>
          </w:rPr>
          <w:t>455B.473(5)</w:t>
        </w:r>
      </w:hyperlink>
      <w:r>
        <w:rPr>
          <w:rFonts w:ascii="Times New Roman" w:hAnsi="Times New Roman"/>
          <w:b w:val="false"/>
          <w:i w:val="false"/>
          <w:color w:val="000000"/>
          <w:sz w:val="24"/>
        </w:rPr>
        <w:t xml:space="preserve"> shall accompany the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storage tank management fee and any late fees under Iowa Code section </w:t>
      </w:r>
      <w:hyperlink r:id="rId120">
        <w:r>
          <w:rPr>
            <w:rStyle w:val="Hyperlink"/>
            <w:rFonts w:ascii="Times New Roman" w:hAnsi="Times New Roman"/>
            <w:b w:val="false"/>
            <w:i w:val="false"/>
            <w:color w:val="000000"/>
            <w:sz w:val="24"/>
          </w:rPr>
          <w:t>455B.473(8)</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be paid for past years in which the tank should have been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waive the late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135.3(7)</w:t>
      </w:r>
      <w:r>
        <w:rPr>
          <w:rFonts w:ascii="Times New Roman" w:hAnsi="Times New Roman"/>
          <w:b w:val="false"/>
          <w:i w:val="false"/>
          <w:color w:val="000000"/>
          <w:sz w:val="24"/>
        </w:rPr>
        <w:t> </w:t>
      </w:r>
      <w:r>
        <w:rPr>
          <w:rFonts w:ascii="Times New Roman" w:hAnsi="Times New Roman"/>
          <w:b w:val="false"/>
          <w:i/>
          <w:color w:val="000000"/>
          <w:sz w:val="24"/>
        </w:rPr>
        <w:t xml:space="preserve">Delivery prohibition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Identifying sites subject to delivery response prohibition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renewal tag and tank management fee process. Owners and operators shall certify to the following on a form prepared by the department when applying for annual tank tags pursuant to </w:t>
      </w:r>
      <w:hyperlink r:id="rId121">
        <w:r>
          <w:rPr>
            <w:rStyle w:val="Hyperlink"/>
            <w:rFonts w:ascii="Times New Roman" w:hAnsi="Times New Roman"/>
            <w:b w:val="false"/>
            <w:i w:val="false"/>
            <w:color w:val="000000"/>
            <w:sz w:val="24"/>
          </w:rPr>
          <w:t>135.3(5)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Installation and performance of an approved UST and piping release detection method as provided in </w:t>
      </w:r>
      <w:hyperlink r:id="rId122">
        <w:r>
          <w:rPr>
            <w:rStyle w:val="Hyperlink"/>
            <w:rFonts w:ascii="Times New Roman" w:hAnsi="Times New Roman"/>
            <w:b w:val="false"/>
            <w:i w:val="false"/>
            <w:color w:val="000000"/>
            <w:sz w:val="24"/>
          </w:rPr>
          <w:t>567—135.5(455B)</w:t>
        </w:r>
      </w:hyperlink>
      <w:r>
        <w:rPr>
          <w:rFonts w:ascii="Times New Roman" w:hAnsi="Times New Roman"/>
          <w:b w:val="false"/>
          <w:i w:val="false"/>
          <w:color w:val="000000"/>
          <w:sz w:val="24"/>
        </w:rPr>
        <w:t>, including an annual line tightness test and a line leak detector test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Installation of an approved overfill and spill protection system as provided in </w:t>
      </w:r>
      <w:hyperlink r:id="rId123">
        <w:r>
          <w:rPr>
            <w:rStyle w:val="Hyperlink"/>
            <w:rFonts w:ascii="Times New Roman" w:hAnsi="Times New Roman"/>
            <w:b w:val="false"/>
            <w:i w:val="false"/>
            <w:color w:val="000000"/>
            <w:sz w:val="24"/>
          </w:rPr>
          <w:t>135.3(1)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Installation of an approved corrosion protection system as provided in </w:t>
      </w:r>
      <w:hyperlink r:id="rId124">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UST system has been out of operation for more than three months, that the UST system has been temporarily closed in accordance with </w:t>
      </w:r>
      <w:hyperlink r:id="rId125">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and a certification of temporary closure has been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UST system has been removed or filled in place within the last 12 months, the date of removal or filling in place and whether a closure report has been submitted as provided in </w:t>
      </w:r>
      <w:hyperlink r:id="rId126">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Sites with provisional status. If the UST system has been classified as operating under provisional status as provided in </w:t>
      </w:r>
      <w:hyperlink r:id="rId127">
        <w:r>
          <w:rPr>
            <w:rStyle w:val="Hyperlink"/>
            <w:rFonts w:ascii="Times New Roman" w:hAnsi="Times New Roman"/>
            <w:b w:val="false"/>
            <w:i w:val="false"/>
            <w:color w:val="000000"/>
            <w:sz w:val="24"/>
          </w:rPr>
          <w:t>135.3(7)</w:t>
        </w:r>
      </w:hyperlink>
      <w:r>
        <w:rPr>
          <w:rFonts w:ascii="Times New Roman" w:hAnsi="Times New Roman"/>
          <w:b w:val="false"/>
          <w:i/>
          <w:color w:val="000000"/>
          <w:sz w:val="24"/>
        </w:rPr>
        <w:t>“c,”</w:t>
      </w:r>
      <w:r>
        <w:rPr>
          <w:rFonts w:ascii="Times New Roman" w:hAnsi="Times New Roman"/>
          <w:b w:val="false"/>
          <w:i w:val="false"/>
          <w:color w:val="000000"/>
          <w:sz w:val="24"/>
        </w:rPr>
        <w:t xml:space="preserve"> owners and operators when applying for annual tank tags pursuant to </w:t>
      </w:r>
      <w:hyperlink r:id="rId128">
        <w:r>
          <w:rPr>
            <w:rStyle w:val="Hyperlink"/>
            <w:rFonts w:ascii="Times New Roman" w:hAnsi="Times New Roman"/>
            <w:b w:val="false"/>
            <w:i w:val="false"/>
            <w:color w:val="000000"/>
            <w:sz w:val="24"/>
          </w:rPr>
          <w:t>135.3(5)</w:t>
        </w:r>
      </w:hyperlink>
      <w:r>
        <w:rPr>
          <w:rFonts w:ascii="Times New Roman" w:hAnsi="Times New Roman"/>
          <w:b w:val="false"/>
          <w:i w:val="false"/>
          <w:color w:val="000000"/>
          <w:sz w:val="24"/>
        </w:rPr>
        <w:t xml:space="preserve"> must certify on a form prepared by the department that the owners and operators are in compliance with an approved provisional status remedial plan as provided in </w:t>
      </w:r>
      <w:hyperlink r:id="rId129">
        <w:r>
          <w:rPr>
            <w:rStyle w:val="Hyperlink"/>
            <w:rFonts w:ascii="Times New Roman" w:hAnsi="Times New Roman"/>
            <w:b w:val="false"/>
            <w:i w:val="false"/>
            <w:color w:val="000000"/>
            <w:sz w:val="24"/>
          </w:rPr>
          <w:t>135.3(7)</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inspections. The department may initiate a delivery prohibition response action based on: (1) a finding resulting from a third-party compliance inspection conducted pursuant to </w:t>
      </w:r>
      <w:hyperlink r:id="rId130">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(2) a department investigation and inspection conducted pursuant to Iowa Code section </w:t>
      </w:r>
      <w:hyperlink r:id="rId131">
        <w:r>
          <w:rPr>
            <w:rStyle w:val="Hyperlink"/>
            <w:rFonts w:ascii="Times New Roman" w:hAnsi="Times New Roman"/>
            <w:b w:val="false"/>
            <w:i w:val="false"/>
            <w:color w:val="000000"/>
            <w:sz w:val="24"/>
          </w:rPr>
          <w:t>455B.475</w:t>
        </w:r>
      </w:hyperlink>
      <w:r>
        <w:rPr>
          <w:rFonts w:ascii="Times New Roman" w:hAnsi="Times New Roman"/>
          <w:b w:val="false"/>
          <w:i w:val="false"/>
          <w:color w:val="000000"/>
          <w:sz w:val="24"/>
        </w:rPr>
        <w:t xml:space="preserve">; or (3) review of a UST system check or other documentation submitted in response to a suspected release under </w:t>
      </w:r>
      <w:hyperlink r:id="rId132">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 xml:space="preserve"> or in response to a confirmed release under </w:t>
      </w:r>
      <w:hyperlink r:id="rId133">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Delivery prohibition eligibility criteria. </w:t>
      </w:r>
      <w:r>
        <w:rPr>
          <w:rFonts w:ascii="Times New Roman" w:hAnsi="Times New Roman"/>
          <w:b w:val="false"/>
          <w:i w:val="false"/>
          <w:color w:val="000000"/>
          <w:sz w:val="24"/>
        </w:rPr>
        <w:t xml:space="preserve">A delivery prohibition response action may be initiated upon a finding that the UST system is out of compliance with department rules and meets the eligibility criteria as specified below. Reinstatement criteria define the standards and process for owners and operators to document that they have taken corrective action sufficient to authorize resumption of fuel to the USTs. Prior to initiation of the delivery prohibition, owners and operators are afforded a minimum level of procedural due process such as prior notice and the opportunity to present facts to dispute the finding. Where notice and the opportunity to take corrective action prior to initiation of a delivery prohibition response action are required, notice by the department or by a certified compliance inspector as provided in </w:t>
      </w:r>
      <w:hyperlink r:id="rId134">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shall be sufficient.</w:t>
      </w:r>
    </w:p>
    <w:p>
      <w:pPr>
        <w:spacing w:before="0" w:after="0" w:line="480"/>
        <w:ind w:left="120"/>
        <w:jc w:val="both"/>
      </w:pPr>
      <w:r>
        <w:rPr>
          <w:rFonts w:ascii="Times New Roman" w:hAnsi="Times New Roman"/>
          <w:b w:val="false"/>
          <w:i w:val="false"/>
          <w:color w:val="000000"/>
          <w:sz w:val="24"/>
        </w:rPr>
        <w:t xml:space="preserve">If the department finds that any one of the following criteria has been satisfied, the department may initiate a delivery prohibition response action following the notice procedures outlined in </w:t>
      </w:r>
      <w:hyperlink r:id="rId135">
        <w:r>
          <w:rPr>
            <w:rStyle w:val="Hyperlink"/>
            <w:rFonts w:ascii="Times New Roman" w:hAnsi="Times New Roman"/>
            <w:b w:val="false"/>
            <w:i w:val="false"/>
            <w:color w:val="000000"/>
            <w:sz w:val="24"/>
          </w:rPr>
          <w:t>135.3(7)</w:t>
        </w:r>
      </w:hyperlink>
      <w:r>
        <w:rPr>
          <w:rFonts w:ascii="Times New Roman" w:hAnsi="Times New Roman"/>
          <w:b w:val="false"/>
          <w:i/>
          <w:color w:val="000000"/>
          <w:sz w:val="24"/>
        </w:rPr>
        <w:t>“e.”</w:t>
      </w:r>
      <w:r>
        <w:rPr>
          <w:rFonts w:ascii="Times New Roman" w:hAnsi="Times New Roman"/>
          <w:b w:val="false"/>
          <w:i w:val="false"/>
          <w:color w:val="000000"/>
          <w:sz w:val="24"/>
        </w:rPr>
        <w:t xml:space="preserve"> After initiation of the delivery prohibition response action, the department will offer the owner or operator an opportunity to establish reinstatement criteria by written documentation and, if requested, an in-person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approved release detection method for USTs or UST piping is not installed, such as automatic tank gauging, groundwater monitoring wells and line leak detectors, and there is no record that an approved method such as inventory control, statistical inventory reconciliation, or interstitial space monitoring has been employed during the previous three months. If the owner or operator claims to have documentation that an approved release detection method has been conducted, the owner or operator will be given two business days to produce the documentation.</w:t>
      </w:r>
    </w:p>
    <w:p>
      <w:pPr>
        <w:spacing w:before="0" w:after="0" w:line="480"/>
        <w:ind w:left="120"/>
        <w:jc w:val="both"/>
      </w:pPr>
      <w:r>
        <w:rPr>
          <w:rFonts w:ascii="Times New Roman" w:hAnsi="Times New Roman"/>
          <w:b w:val="false"/>
          <w:i w:val="false"/>
          <w:color w:val="000000"/>
          <w:sz w:val="24"/>
        </w:rPr>
        <w:t xml:space="preserve">REINSTATEMENT CRITERIA: </w:t>
      </w:r>
      <w:r>
        <w:rPr>
          <w:rFonts w:ascii="Times New Roman" w:hAnsi="Times New Roman"/>
          <w:b w:val="false"/>
          <w:i w:val="false"/>
          <w:color w:val="000000"/>
          <w:sz w:val="24"/>
        </w:rPr>
        <w:t xml:space="preserve">The owner or operator must submit results of a passing UST system precision tightness test at the 0.1 gallon-per-hour leak rate in </w:t>
      </w:r>
      <w:hyperlink r:id="rId136">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37">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owner or operator must also document installation and operation of an approved release detection system. This may include proof that a contract has been signed with a qualified statistical inventory reconciliation provider or that a qualified inventory control method has been implemented and training has been provided to onsite supervisory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No documentation of a required annual line tightness test or line leak detector test has been provided, and the owner or operator has failed to conduct the required testing within 14 days of written notice by the department or a certified compliance inspector as provided in </w:t>
      </w:r>
      <w:hyperlink r:id="rId138">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REINSTATEMENT CRITERIA: </w:t>
      </w:r>
      <w:r>
        <w:rPr>
          <w:rFonts w:ascii="Times New Roman" w:hAnsi="Times New Roman"/>
          <w:b w:val="false"/>
          <w:i w:val="false"/>
          <w:color w:val="000000"/>
          <w:sz w:val="24"/>
        </w:rPr>
        <w:t xml:space="preserve">The owner or operator must provide documentation of a passing line precision tightness test at the 0.1 gallon-per-hour leak rate in </w:t>
      </w:r>
      <w:hyperlink r:id="rId139">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a line leak detector test as provided in </w:t>
      </w:r>
      <w:hyperlink r:id="rId140">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Overfill and spill protection is not installed.</w:t>
      </w:r>
    </w:p>
    <w:p>
      <w:pPr>
        <w:spacing w:before="0" w:after="0" w:line="480"/>
        <w:ind w:left="120"/>
        <w:jc w:val="both"/>
      </w:pPr>
      <w:r>
        <w:rPr>
          <w:rFonts w:ascii="Times New Roman" w:hAnsi="Times New Roman"/>
          <w:b w:val="false"/>
          <w:i w:val="false"/>
          <w:color w:val="000000"/>
          <w:sz w:val="24"/>
        </w:rPr>
        <w:t xml:space="preserve">REINSTATEMENT CRITERION: </w:t>
      </w:r>
      <w:r>
        <w:rPr>
          <w:rFonts w:ascii="Times New Roman" w:hAnsi="Times New Roman"/>
          <w:b w:val="false"/>
          <w:i w:val="false"/>
          <w:color w:val="000000"/>
          <w:sz w:val="24"/>
        </w:rPr>
        <w:t>The owner or operator must provide documentation that overfill and spill protection equipment has been installed.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corrosion protection system is not installed or there is no record that an impressed current corrosion protection system has been in operation for the prior six months.</w:t>
      </w:r>
    </w:p>
    <w:p>
      <w:pPr>
        <w:spacing w:before="0" w:after="0" w:line="480"/>
        <w:ind w:left="120"/>
        <w:jc w:val="both"/>
      </w:pPr>
      <w:r>
        <w:rPr>
          <w:rFonts w:ascii="Times New Roman" w:hAnsi="Times New Roman"/>
          <w:b w:val="false"/>
          <w:i w:val="false"/>
          <w:color w:val="000000"/>
          <w:sz w:val="24"/>
        </w:rPr>
        <w:t xml:space="preserve">REINSTATEMENT CRITERIA: </w:t>
      </w:r>
      <w:r>
        <w:rPr>
          <w:rFonts w:ascii="Times New Roman" w:hAnsi="Times New Roman"/>
          <w:b w:val="false"/>
          <w:i w:val="false"/>
          <w:color w:val="000000"/>
          <w:sz w:val="24"/>
        </w:rPr>
        <w:t xml:space="preserve">A manned entry tank integrity inspection must be completed prior to installation of a corrosion protection system, and the owner or operator must submit results of a passing UST system precision tightness test at the 0.1 gallon-per-hour leak rate in </w:t>
      </w:r>
      <w:hyperlink r:id="rId14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42">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A corrosion protection analysis must be completed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provide proof of financial responsibility in accordance with </w:t>
      </w:r>
      <w:hyperlink r:id="rId143">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submit acceptable proof of financial responsibility in accordance with </w:t>
      </w:r>
      <w:hyperlink r:id="rId144">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 qualified UST system release detection method is installed and is being used but the documentation or the absence of documentation is sufficient to question the reliability of the release detection over the past 12-month period. The owner or operator shall be notified of the deficiencies, shall be given at least two business days to produce documentation of compliance and, if necessary, shall be required to conduct a leak detection system analysis and a system tightness test within 14 days. If the owner or operator fails to produce documentation of compliance or to conduct the system analysis and the UST system precision tightness test at the 0.1 gallon-per-hour leak rate in </w:t>
      </w:r>
      <w:hyperlink r:id="rId145">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46">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department may initiate a delivery prohibition response action. Notice by the department or a compliance inspector as provided in </w:t>
      </w:r>
      <w:hyperlink r:id="rId147">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shall be sufficient to initiate a delivery prohibition response action.</w:t>
      </w:r>
    </w:p>
    <w:p>
      <w:pPr>
        <w:spacing w:before="0" w:after="0" w:line="480"/>
        <w:ind w:left="120"/>
        <w:jc w:val="both"/>
      </w:pPr>
      <w:r>
        <w:rPr>
          <w:rFonts w:ascii="Times New Roman" w:hAnsi="Times New Roman"/>
          <w:b w:val="false"/>
          <w:i w:val="false"/>
          <w:color w:val="000000"/>
          <w:sz w:val="24"/>
        </w:rPr>
        <w:t>REINSTATEMENT CRITERIA:</w:t>
      </w:r>
      <w:r>
        <w:rPr>
          <w:rFonts w:ascii="Times New Roman" w:hAnsi="Times New Roman"/>
          <w:b w:val="false"/>
          <w:i w:val="false"/>
          <w:color w:val="000000"/>
          <w:sz w:val="24"/>
        </w:rPr>
        <w:t xml:space="preserve"> The owner or operator must submit documentation that the leak detection method analysis sufficiently documents compliance and explains the reasons for the accuracy and reliability concerns. If necessary, the owner or operator must submit passing results of a UST system precision tightness test at the 0.1 gallon-per-hour leak rate in </w:t>
      </w:r>
      <w:hyperlink r:id="rId14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49">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document completion of a three-year corrosion protection test or to repair defective corrosion protection equipment within 30 days after notice of the violation by the department or a certified compliance inspector as provided in </w:t>
      </w:r>
      <w:hyperlink r:id="rId150">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submit documentation of a three-year corrosion protection test as provided in </w:t>
      </w:r>
      <w:hyperlink r:id="rId151">
        <w:r>
          <w:rPr>
            <w:rStyle w:val="Hyperlink"/>
            <w:rFonts w:ascii="Times New Roman" w:hAnsi="Times New Roman"/>
            <w:b w:val="false"/>
            <w:i w:val="false"/>
            <w:color w:val="000000"/>
            <w:sz w:val="24"/>
          </w:rPr>
          <w:t>567—135.3(455B)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complete a compliance inspection required by </w:t>
      </w:r>
      <w:hyperlink r:id="rId152">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within 60 days after written notice of the violation by the department.</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submit a compliance inspection report as provided in </w:t>
      </w:r>
      <w:hyperlink r:id="rId153">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take necessary abatement action in response to a confirmed release as provided in </w:t>
      </w:r>
      <w:hyperlink r:id="rId154">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xml:space="preserve"> and </w:t>
      </w:r>
      <w:hyperlink r:id="rId155">
        <w:r>
          <w:rPr>
            <w:rStyle w:val="Hyperlink"/>
            <w:rFonts w:ascii="Times New Roman" w:hAnsi="Times New Roman"/>
            <w:b w:val="false"/>
            <w:i w:val="false"/>
            <w:color w:val="000000"/>
            <w:sz w:val="24"/>
          </w:rPr>
          <w:t>135.7(3)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REINSTATEMENT CRITERION: </w:t>
      </w:r>
      <w:r>
        <w:rPr>
          <w:rFonts w:ascii="Times New Roman" w:hAnsi="Times New Roman"/>
          <w:b w:val="false"/>
          <w:i w:val="false"/>
          <w:color w:val="000000"/>
          <w:sz w:val="24"/>
        </w:rPr>
        <w:t xml:space="preserve">The owner or operator must document compliance with the abatement provisions in </w:t>
      </w:r>
      <w:hyperlink r:id="rId156">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xml:space="preserve"> and </w:t>
      </w:r>
      <w:hyperlink r:id="rId157">
        <w:r>
          <w:rPr>
            <w:rStyle w:val="Hyperlink"/>
            <w:rFonts w:ascii="Times New Roman" w:hAnsi="Times New Roman"/>
            <w:b w:val="false"/>
            <w:i w:val="false"/>
            <w:color w:val="000000"/>
            <w:sz w:val="24"/>
          </w:rPr>
          <w:t>135.7(3)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undertake and document release investigation and confirmation steps within seven days in response to a suspected release as provided in </w:t>
      </w:r>
      <w:hyperlink r:id="rId158">
        <w:r>
          <w:rPr>
            <w:rStyle w:val="Hyperlink"/>
            <w:rFonts w:ascii="Times New Roman" w:hAnsi="Times New Roman"/>
            <w:b w:val="false"/>
            <w:i w:val="false"/>
            <w:color w:val="000000"/>
            <w:sz w:val="24"/>
          </w:rPr>
          <w:t>135.6(3)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document release confirmation and system check as provided in </w:t>
      </w:r>
      <w:hyperlink r:id="rId159">
        <w:r>
          <w:rPr>
            <w:rStyle w:val="Hyperlink"/>
            <w:rFonts w:ascii="Times New Roman" w:hAnsi="Times New Roman"/>
            <w:b w:val="false"/>
            <w:i w:val="false"/>
            <w:color w:val="000000"/>
            <w:sz w:val="24"/>
          </w:rPr>
          <w:t>135.6(3)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owner or operator has failed to provide documentation of Class A or B operator training.</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The owner or operator must submit a copy of the certificates of training for Class A and B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owner or operator has failed to install required secondary containment.</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document secondary containment has been installed as provided in </w:t>
      </w:r>
      <w:hyperlink r:id="rId160">
        <w:r>
          <w:rPr>
            <w:rStyle w:val="Hyperlink"/>
            <w:rFonts w:ascii="Times New Roman" w:hAnsi="Times New Roman"/>
            <w:b w:val="false"/>
            <w:i w:val="false"/>
            <w:color w:val="000000"/>
            <w:sz w:val="24"/>
          </w:rPr>
          <w:t>135.3(8)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has failed to pay the annual tank management fee.</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pay the current and any previous unpaid tank management fees in addition to any late fees as provided in </w:t>
      </w:r>
      <w:hyperlink r:id="rId161">
        <w:r>
          <w:rPr>
            <w:rStyle w:val="Hyperlink"/>
            <w:rFonts w:ascii="Times New Roman" w:hAnsi="Times New Roman"/>
            <w:b w:val="false"/>
            <w:i w:val="false"/>
            <w:color w:val="000000"/>
            <w:sz w:val="24"/>
          </w:rPr>
          <w:t>135.3(5)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When tanks are no longer in use or in temporary closure.</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The owner or operator must provide a completed Return to Service form along with required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Provisional status. </w:t>
      </w:r>
      <w:r>
        <w:rPr>
          <w:rFonts w:ascii="Times New Roman" w:hAnsi="Times New Roman"/>
          <w:b w:val="false"/>
          <w:i w:val="false"/>
          <w:color w:val="000000"/>
          <w:sz w:val="24"/>
        </w:rPr>
        <w:t xml:space="preserve">The department may classify a UST system as operating under a provisional status when the department documents a pattern of UST operation and maintenance violations under </w:t>
      </w:r>
      <w:hyperlink r:id="rId162">
        <w:r>
          <w:rPr>
            <w:rStyle w:val="Hyperlink"/>
            <w:rFonts w:ascii="Times New Roman" w:hAnsi="Times New Roman"/>
            <w:b w:val="false"/>
            <w:i w:val="false"/>
            <w:color w:val="000000"/>
            <w:sz w:val="24"/>
          </w:rPr>
          <w:t>567—135.3(455B)</w:t>
        </w:r>
      </w:hyperlink>
      <w:r>
        <w:rPr>
          <w:rFonts w:ascii="Times New Roman" w:hAnsi="Times New Roman"/>
          <w:b w:val="false"/>
          <w:i w:val="false"/>
          <w:color w:val="000000"/>
          <w:sz w:val="24"/>
        </w:rPr>
        <w:t xml:space="preserve"> through </w:t>
      </w:r>
      <w:hyperlink r:id="rId163">
        <w:r>
          <w:rPr>
            <w:rStyle w:val="Hyperlink"/>
            <w:rFonts w:ascii="Times New Roman" w:hAnsi="Times New Roman"/>
            <w:b w:val="false"/>
            <w:i w:val="false"/>
            <w:color w:val="000000"/>
            <w:sz w:val="24"/>
          </w:rPr>
          <w:t>567—135.5(455B)</w:t>
        </w:r>
      </w:hyperlink>
      <w:r>
        <w:rPr>
          <w:rFonts w:ascii="Times New Roman" w:hAnsi="Times New Roman"/>
          <w:b w:val="false"/>
          <w:i w:val="false"/>
          <w:color w:val="000000"/>
          <w:sz w:val="24"/>
        </w:rPr>
        <w:t xml:space="preserve"> and suspected release and confirmed release response actions under </w:t>
      </w:r>
      <w:hyperlink r:id="rId164">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 xml:space="preserve"> and </w:t>
      </w:r>
      <w:hyperlink r:id="rId165">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The department shall provide the owner or operator with a notice specifying the basis for the proposed classification and a proposed remedial action plan. The objective of the remedial action plan is to provide the owner and operator an opportunity to undertake certain remedial actions sufficient to establish a reasonable likelihood that future regulatory compliance will be achieved.</w:t>
      </w:r>
    </w:p>
    <w:p>
      <w:pPr>
        <w:spacing w:before="0" w:after="0" w:line="480"/>
        <w:ind w:left="120"/>
        <w:jc w:val="both"/>
      </w:pPr>
      <w:r>
        <w:rPr>
          <w:rFonts w:ascii="Times New Roman" w:hAnsi="Times New Roman"/>
          <w:b w:val="false"/>
          <w:i w:val="false"/>
          <w:color w:val="000000"/>
          <w:sz w:val="24"/>
        </w:rPr>
        <w:t xml:space="preserve">The remedial action plan may include but is not limited to provisions for owner/operator training, development of a facility-specific compliance manual, more frequent third-party compliance inspections than otherwise required under </w:t>
      </w:r>
      <w:hyperlink r:id="rId166">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monthly reporting, and retention of a third-party compliance manager/consultant. If the owner or operator and the department cannot reach agreement on a remedial action plan, the department may initiate enforcement action by issuance of an administrative order pursuant to </w:t>
      </w:r>
      <w:hyperlink r:id="rId167">
        <w:r>
          <w:rPr>
            <w:rStyle w:val="Hyperlink"/>
            <w:rFonts w:ascii="Times New Roman" w:hAnsi="Times New Roman"/>
            <w:b w:val="false"/>
            <w:i w:val="false"/>
            <w:color w:val="000000"/>
            <w:sz w:val="24"/>
          </w:rPr>
          <w:t>567—Chapter 10</w:t>
        </w:r>
      </w:hyperlink>
      <w:r>
        <w:rPr>
          <w:rFonts w:ascii="Times New Roman" w:hAnsi="Times New Roman"/>
          <w:b w:val="false"/>
          <w:i w:val="false"/>
          <w:color w:val="000000"/>
          <w:sz w:val="24"/>
        </w:rPr>
        <w:t xml:space="preserve">. This provision does not grant the owner or operator an entitlement to this procedure, and the department reserves all discretion to undertake an enforcement action and assess penalties as provided in Iowa Code sections </w:t>
      </w:r>
      <w:hyperlink r:id="rId168">
        <w:r>
          <w:rPr>
            <w:rStyle w:val="Hyperlink"/>
            <w:rFonts w:ascii="Times New Roman" w:hAnsi="Times New Roman"/>
            <w:b w:val="false"/>
            <w:i w:val="false"/>
            <w:color w:val="000000"/>
            <w:sz w:val="24"/>
          </w:rPr>
          <w:t>455B.476</w:t>
        </w:r>
      </w:hyperlink>
      <w:r>
        <w:rPr>
          <w:rFonts w:ascii="Times New Roman" w:hAnsi="Times New Roman"/>
          <w:b w:val="false"/>
          <w:i w:val="false"/>
          <w:color w:val="000000"/>
          <w:sz w:val="24"/>
        </w:rPr>
        <w:t xml:space="preserve"> and </w:t>
      </w:r>
      <w:hyperlink r:id="rId169">
        <w:r>
          <w:rPr>
            <w:rStyle w:val="Hyperlink"/>
            <w:rFonts w:ascii="Times New Roman" w:hAnsi="Times New Roman"/>
            <w:b w:val="false"/>
            <w:i w:val="false"/>
            <w:color w:val="000000"/>
            <w:sz w:val="24"/>
          </w:rPr>
          <w:t>455B.477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Administrative orders. </w:t>
      </w:r>
      <w:r>
        <w:rPr>
          <w:rFonts w:ascii="Times New Roman" w:hAnsi="Times New Roman"/>
          <w:b w:val="false"/>
          <w:i w:val="false"/>
          <w:color w:val="000000"/>
          <w:sz w:val="24"/>
        </w:rPr>
        <w:t xml:space="preserve">The department may impose a delivery prohibition as a remedy for violations of the operation and maintenance provisions in </w:t>
      </w:r>
      <w:hyperlink r:id="rId170">
        <w:r>
          <w:rPr>
            <w:rStyle w:val="Hyperlink"/>
            <w:rFonts w:ascii="Times New Roman" w:hAnsi="Times New Roman"/>
            <w:b w:val="false"/>
            <w:i w:val="false"/>
            <w:color w:val="000000"/>
            <w:sz w:val="24"/>
          </w:rPr>
          <w:t>567—135.3(455B)</w:t>
        </w:r>
      </w:hyperlink>
      <w:r>
        <w:rPr>
          <w:rFonts w:ascii="Times New Roman" w:hAnsi="Times New Roman"/>
          <w:b w:val="false"/>
          <w:i w:val="false"/>
          <w:color w:val="000000"/>
          <w:sz w:val="24"/>
        </w:rPr>
        <w:t xml:space="preserve"> through </w:t>
      </w:r>
      <w:hyperlink r:id="rId171">
        <w:r>
          <w:rPr>
            <w:rStyle w:val="Hyperlink"/>
            <w:rFonts w:ascii="Times New Roman" w:hAnsi="Times New Roman"/>
            <w:b w:val="false"/>
            <w:i w:val="false"/>
            <w:color w:val="000000"/>
            <w:sz w:val="24"/>
          </w:rPr>
          <w:t>567—135.5(455B)</w:t>
        </w:r>
      </w:hyperlink>
      <w:r>
        <w:rPr>
          <w:rFonts w:ascii="Times New Roman" w:hAnsi="Times New Roman"/>
          <w:b w:val="false"/>
          <w:i w:val="false"/>
          <w:color w:val="000000"/>
          <w:sz w:val="24"/>
        </w:rPr>
        <w:t xml:space="preserve"> and the suspected and confirmed release response actions in </w:t>
      </w:r>
      <w:hyperlink r:id="rId172">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 xml:space="preserve"> and </w:t>
      </w:r>
      <w:hyperlink r:id="rId173">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This remedy may be in addition to the assessment of penalties as provided in Iowa Code section </w:t>
      </w:r>
      <w:hyperlink r:id="rId174">
        <w:r>
          <w:rPr>
            <w:rStyle w:val="Hyperlink"/>
            <w:rFonts w:ascii="Times New Roman" w:hAnsi="Times New Roman"/>
            <w:b w:val="false"/>
            <w:i w:val="false"/>
            <w:color w:val="000000"/>
            <w:sz w:val="24"/>
          </w:rPr>
          <w:t>455B.476</w:t>
        </w:r>
      </w:hyperlink>
      <w:r>
        <w:rPr>
          <w:rFonts w:ascii="Times New Roman" w:hAnsi="Times New Roman"/>
          <w:b w:val="false"/>
          <w:i w:val="false"/>
          <w:color w:val="000000"/>
          <w:sz w:val="24"/>
        </w:rPr>
        <w:t xml:space="preserve"> and other appropriate injunctive relief necessary to correct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Due process prior to initiation of a delivery prohibition response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imposing a delivery prohibition response action under </w:t>
      </w:r>
      <w:hyperlink r:id="rId175">
        <w:r>
          <w:rPr>
            <w:rStyle w:val="Hyperlink"/>
            <w:rFonts w:ascii="Times New Roman" w:hAnsi="Times New Roman"/>
            <w:b w:val="false"/>
            <w:i w:val="false"/>
            <w:color w:val="000000"/>
            <w:sz w:val="24"/>
          </w:rPr>
          <w:t>135.3(7)</w:t>
        </w:r>
      </w:hyperlink>
      <w:r>
        <w:rPr>
          <w:rFonts w:ascii="Times New Roman" w:hAnsi="Times New Roman"/>
          <w:b w:val="false"/>
          <w:i/>
          <w:color w:val="000000"/>
          <w:sz w:val="24"/>
        </w:rPr>
        <w:t>“b”</w:t>
      </w:r>
      <w:r>
        <w:rPr>
          <w:rFonts w:ascii="Times New Roman" w:hAnsi="Times New Roman"/>
          <w:b w:val="false"/>
          <w:i w:val="false"/>
          <w:color w:val="000000"/>
          <w:sz w:val="24"/>
        </w:rPr>
        <w:t xml:space="preserve"> above, the department will provide notice to the owner or operator or, if notice to the owner or operator cannot be confirmed, to a person in charge at the UST facility of the basis for the finding and the intent to initiate a delivery prohibition response action. Notice may be by verbal contact, by electronic mail, or by regular or certified mail to the UST facility address or the owner’s or operator’s last-known address. The owner and operator will be given a minimum of three business days to provide documentation that the finding is inaccurate or that reinstatement criteria in </w:t>
      </w:r>
      <w:hyperlink r:id="rId176">
        <w:r>
          <w:rPr>
            <w:rStyle w:val="Hyperlink"/>
            <w:rFonts w:ascii="Times New Roman" w:hAnsi="Times New Roman"/>
            <w:b w:val="false"/>
            <w:i w:val="false"/>
            <w:color w:val="000000"/>
            <w:sz w:val="24"/>
          </w:rPr>
          <w:t>135.3(7)</w:t>
        </w:r>
      </w:hyperlink>
      <w:r>
        <w:rPr>
          <w:rFonts w:ascii="Times New Roman" w:hAnsi="Times New Roman"/>
          <w:b w:val="false"/>
          <w:i/>
          <w:color w:val="000000"/>
          <w:sz w:val="24"/>
        </w:rPr>
        <w:t>“b”</w:t>
      </w:r>
      <w:r>
        <w:rPr>
          <w:rFonts w:ascii="Times New Roman" w:hAnsi="Times New Roman"/>
          <w:b w:val="false"/>
          <w:i w:val="false"/>
          <w:color w:val="000000"/>
          <w:sz w:val="24"/>
        </w:rPr>
        <w:t xml:space="preserve">(1) through </w:t>
      </w:r>
      <w:r>
        <w:rPr>
          <w:rFonts w:ascii="Times New Roman" w:hAnsi="Times New Roman"/>
          <w:b w:val="false"/>
          <w:i/>
          <w:color w:val="000000"/>
          <w:sz w:val="24"/>
        </w:rPr>
        <w:t>“b”</w:t>
      </w:r>
      <w:r>
        <w:rPr>
          <w:rFonts w:ascii="Times New Roman" w:hAnsi="Times New Roman"/>
          <w:b w:val="false"/>
          <w:i w:val="false"/>
          <w:color w:val="000000"/>
          <w:sz w:val="24"/>
        </w:rPr>
        <w:t xml:space="preserve">(5) have been satisfied. Additional days and the opportunity for a telephone or in-person conference may be provided the owner and operator to contest the factual basis for a finding under </w:t>
      </w:r>
      <w:hyperlink r:id="rId177">
        <w:r>
          <w:rPr>
            <w:rStyle w:val="Hyperlink"/>
            <w:rFonts w:ascii="Times New Roman" w:hAnsi="Times New Roman"/>
            <w:b w:val="false"/>
            <w:i w:val="false"/>
            <w:color w:val="000000"/>
            <w:sz w:val="24"/>
          </w:rPr>
          <w:t>135.3(7)</w:t>
        </w:r>
      </w:hyperlink>
      <w:r>
        <w:rPr>
          <w:rFonts w:ascii="Times New Roman" w:hAnsi="Times New Roman"/>
          <w:b w:val="false"/>
          <w:i/>
          <w:color w:val="000000"/>
          <w:sz w:val="24"/>
        </w:rPr>
        <w:t>“b”</w:t>
      </w:r>
      <w:r>
        <w:rPr>
          <w:rFonts w:ascii="Times New Roman" w:hAnsi="Times New Roman"/>
          <w:b w:val="false"/>
          <w:i w:val="false"/>
          <w:color w:val="000000"/>
          <w:sz w:val="24"/>
        </w:rPr>
        <w:t xml:space="preserve">(6) through </w:t>
      </w:r>
      <w:r>
        <w:rPr>
          <w:rFonts w:ascii="Times New Roman" w:hAnsi="Times New Roman"/>
          <w:b w:val="false"/>
          <w:i/>
          <w:color w:val="000000"/>
          <w:sz w:val="24"/>
        </w:rPr>
        <w:t>“b”</w:t>
      </w:r>
      <w:r>
        <w:rPr>
          <w:rFonts w:ascii="Times New Roman" w:hAnsi="Times New Roman"/>
          <w:b w:val="false"/>
          <w:i w:val="false"/>
          <w:color w:val="000000"/>
          <w:sz w:val="24"/>
        </w:rPr>
        <w:t>(14). Additional procedural due process may be afforded the owner and operator on a case-by-case basis sufficient to satisfy Constitutional due process standards.</w:t>
      </w:r>
    </w:p>
    <w:p>
      <w:pPr>
        <w:spacing w:before="0" w:after="0" w:line="480"/>
        <w:ind w:left="120"/>
        <w:jc w:val="both"/>
      </w:pPr>
      <w:r>
        <w:rPr>
          <w:rFonts w:ascii="Times New Roman" w:hAnsi="Times New Roman"/>
          <w:b w:val="false"/>
          <w:i w:val="false"/>
          <w:color w:val="000000"/>
          <w:sz w:val="24"/>
        </w:rPr>
        <w:t>If insufficient information is submitted to change the finding, the department will notify the owner or operator and a person in charge at the UST facility of the final decision to impose the delivery prohibition response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Provisional status. Upon a finding that an owner or operator under provisional status has failed to comply with the terms of a remedial action plan as provided above, the department may initiate a delivery prohibition response action by giving actual notice to the owner or operator of the basis for the finding of noncompliance and the department’s intent to initiate a delivery prohibition response action. The delivery prohibition response action shall not be imposed without providing the owner or operator the opportunity for an evidentiary hearing consistent with the provisions for suspension and revocation of certifications under </w:t>
      </w:r>
      <w:hyperlink r:id="rId17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179">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Delivery prohibition procedure. </w:t>
      </w:r>
      <w:r>
        <w:rPr>
          <w:rFonts w:ascii="Times New Roman" w:hAnsi="Times New Roman"/>
          <w:b w:val="false"/>
          <w:i w:val="false"/>
          <w:color w:val="000000"/>
          <w:sz w:val="24"/>
        </w:rPr>
        <w:t xml:space="preserve">Upon oral or written notice that the delivery prohibition response action has been imposed, the owner or operator and any person in charge of the UST facility shall be notified that they are not authorized to receive any further delivery of regulated substances until conditions for reinstatement of eligibility are satisfied. Owners and operators are required to provide the department with names and contact information for all persons who convey or deposit regulated substances to the USTs. The department will attempt to notify known persons who convey or deposit regulated substances to the USTs that they are not authorized to deliver to the USTs until further notice by the department as provided in Iowa Code section </w:t>
      </w:r>
      <w:hyperlink r:id="rId180">
        <w:r>
          <w:rPr>
            <w:rStyle w:val="Hyperlink"/>
            <w:rFonts w:ascii="Times New Roman" w:hAnsi="Times New Roman"/>
            <w:b w:val="false"/>
            <w:i w:val="false"/>
            <w:color w:val="000000"/>
            <w:sz w:val="24"/>
          </w:rPr>
          <w:t>455B.473(8)</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in </w:t>
      </w:r>
      <w:hyperlink r:id="rId181">
        <w:r>
          <w:rPr>
            <w:rStyle w:val="Hyperlink"/>
            <w:rFonts w:ascii="Times New Roman" w:hAnsi="Times New Roman"/>
            <w:b w:val="false"/>
            <w:i w:val="false"/>
            <w:color w:val="000000"/>
            <w:sz w:val="24"/>
          </w:rPr>
          <w:t>135.3(5)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department shall visit the site and affix a “red tag” to the fill pipes or fill pipe caps of all affected USTs. It is unlawful for any person to deposit or accept a regulated substance into a UST that has a “red tag” affixed to the fill pipe or fill pipe cap. The department may allow the owner and operator to dispense and sell the remainder of existing fuel unless the department determines there is an immediate risk of a release or other risk to human health, safety or the environment. The department shall confirm in writing the basis for the delivery prohibition response action, contacts made prior to the action, and steps the owner or operator must take to reinstate fuel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135.3(8)</w:t>
      </w:r>
      <w:r>
        <w:rPr>
          <w:rFonts w:ascii="Times New Roman" w:hAnsi="Times New Roman"/>
          <w:b w:val="false"/>
          <w:i w:val="false"/>
          <w:color w:val="000000"/>
          <w:sz w:val="24"/>
        </w:rPr>
        <w:t> </w:t>
      </w:r>
      <w:r>
        <w:rPr>
          <w:rFonts w:ascii="Times New Roman" w:hAnsi="Times New Roman"/>
          <w:b w:val="false"/>
          <w:i/>
          <w:color w:val="000000"/>
          <w:sz w:val="24"/>
        </w:rPr>
        <w:t xml:space="preserve">Secondary containment requirements for UST system installations. </w:t>
      </w:r>
      <w:r>
        <w:rPr>
          <w:rFonts w:ascii="Times New Roman" w:hAnsi="Times New Roman"/>
          <w:b w:val="false"/>
          <w:i w:val="false"/>
          <w:color w:val="000000"/>
          <w:sz w:val="24"/>
        </w:rPr>
        <w:t>All new and replacement underground storage tank systems and appurtenances used for the storage and dispensing of petroleum products shall have secondary containment in accordance with this subrule. The secondary containment provision includes the installation of containment sumps.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Tanks and piping installed or replaced after November 28, 2007, must have secondary containment that is designed, installed, and maintained according to the performance standards in </w:t>
      </w:r>
      <w:hyperlink r:id="rId182">
        <w:r>
          <w:rPr>
            <w:rStyle w:val="Hyperlink"/>
            <w:rFonts w:ascii="Times New Roman" w:hAnsi="Times New Roman"/>
            <w:b w:val="false"/>
            <w:i w:val="false"/>
            <w:color w:val="000000"/>
            <w:sz w:val="24"/>
          </w:rPr>
          <w:t>135.3(1)</w:t>
        </w:r>
      </w:hyperlink>
      <w:r>
        <w:rPr>
          <w:rFonts w:ascii="Times New Roman" w:hAnsi="Times New Roman"/>
          <w:b w:val="false"/>
          <w:i w:val="false"/>
          <w:color w:val="000000"/>
          <w:sz w:val="24"/>
        </w:rPr>
        <w:t xml:space="preserve"> and </w:t>
      </w:r>
      <w:hyperlink r:id="rId183">
        <w:r>
          <w:rPr>
            <w:rStyle w:val="Hyperlink"/>
            <w:rFonts w:ascii="Times New Roman" w:hAnsi="Times New Roman"/>
            <w:b w:val="false"/>
            <w:i w:val="false"/>
            <w:color w:val="000000"/>
            <w:sz w:val="24"/>
          </w:rPr>
          <w:t>135.5(3)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secondary containment may be manufactured as an integral part of the primary containment or constructed as a separate containment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minimum, the secondary containment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regulated substances leaked from the UST system until detected and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 the release of regulated substances into the environment at any time during the operational life of the underground storage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Be checked for evidence of a release from the tank at least every 30 days as provided in </w:t>
      </w:r>
      <w:hyperlink r:id="rId184">
        <w:r>
          <w:rPr>
            <w:rStyle w:val="Hyperlink"/>
            <w:rFonts w:ascii="Times New Roman" w:hAnsi="Times New Roman"/>
            <w:b w:val="false"/>
            <w:i w:val="false"/>
            <w:color w:val="000000"/>
            <w:sz w:val="24"/>
          </w:rPr>
          <w:t>135.5(2)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Testing and inspection. Containment sumps shall be liquid-tight and must be inspected and tested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Inspections for secondary containment sumps (spill catchment basins, turbine sumps, transition or intermediate sumps, and under-dispenser containment).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Inspections for secondary containment sumps shall consist of visual inspection every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Containment sumps must be intact (no cracks or perforations) and liquid-tight, including sides and bottom.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Containment sumps must be maintained and kept free of debris, liquid, and ice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Regulated substances leaked or spilled into any containment sumps shall be immediately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Secondary containment sumps used for interstitial monitoring of piping shall be tested upon installation and periodically in accordance with </w:t>
      </w:r>
      <w:hyperlink r:id="rId185">
        <w:r>
          <w:rPr>
            <w:rStyle w:val="Hyperlink"/>
            <w:rFonts w:ascii="Times New Roman" w:hAnsi="Times New Roman"/>
            <w:b w:val="false"/>
            <w:i w:val="false"/>
            <w:color w:val="000000"/>
            <w:sz w:val="24"/>
          </w:rPr>
          <w:t>135.4(12)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567—135.4</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operating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w:t>
      </w:r>
      <w:r>
        <w:rPr>
          <w:rFonts w:ascii="Times New Roman" w:hAnsi="Times New Roman"/>
          <w:b w:val="false"/>
          <w:i w:val="false"/>
          <w:color w:val="000000"/>
          <w:sz w:val="24"/>
        </w:rPr>
        <w:t> </w:t>
      </w:r>
      <w:r>
        <w:rPr>
          <w:rFonts w:ascii="Times New Roman" w:hAnsi="Times New Roman"/>
          <w:b w:val="false"/>
          <w:i/>
          <w:color w:val="000000"/>
          <w:sz w:val="24"/>
        </w:rPr>
        <w:t xml:space="preserve">Spill and overfill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ensure that releases due to spilling or overfilling do not occur. The owner and operator must ensure that the volume available in the tank is greater than the volume of product to be transferred to the tank before the transfer is made and that the transfer operation is monitored constantly to prevent overfilling and spilling.</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transfer procedures referenced in 40 CFR 280.30 may be used to comply with </w:t>
      </w:r>
      <w:hyperlink r:id="rId186">
        <w:r>
          <w:rPr>
            <w:rStyle w:val="Hyperlink"/>
            <w:rFonts w:ascii="Times New Roman" w:hAnsi="Times New Roman"/>
            <w:b w:val="false"/>
            <w:i w:val="false"/>
            <w:color w:val="000000"/>
            <w:sz w:val="24"/>
          </w:rPr>
          <w:t>135.4(1)</w:t>
        </w:r>
        <w:r>
          <w:rPr>
            <w:rFonts w:ascii="Times New Roman" w:hAnsi="Times New Roman"/>
            <w:b w:val="false"/>
            <w:i/>
            <w:color w:val="000000"/>
            <w:sz w:val="24"/>
          </w:rPr>
          <w:t>“a.”</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and operator must report, investigate, and clean up any spills and overfills in accordance with </w:t>
      </w:r>
      <w:hyperlink r:id="rId187">
        <w:r>
          <w:rPr>
            <w:rStyle w:val="Hyperlink"/>
            <w:rFonts w:ascii="Times New Roman" w:hAnsi="Times New Roman"/>
            <w:b w:val="false"/>
            <w:i w:val="false"/>
            <w:color w:val="000000"/>
            <w:sz w:val="24"/>
          </w:rPr>
          <w:t>135.6(4)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135.4(2)</w:t>
      </w:r>
      <w:r>
        <w:rPr>
          <w:rFonts w:ascii="Times New Roman" w:hAnsi="Times New Roman"/>
          <w:b w:val="false"/>
          <w:i w:val="false"/>
          <w:color w:val="000000"/>
          <w:sz w:val="24"/>
        </w:rPr>
        <w:t> </w:t>
      </w:r>
      <w:r>
        <w:rPr>
          <w:rFonts w:ascii="Times New Roman" w:hAnsi="Times New Roman"/>
          <w:b w:val="false"/>
          <w:i/>
          <w:color w:val="000000"/>
          <w:sz w:val="24"/>
        </w:rPr>
        <w:t xml:space="preserve">Operation and maintenance of corrosion protection. </w:t>
      </w:r>
      <w:r>
        <w:rPr>
          <w:rFonts w:ascii="Times New Roman" w:hAnsi="Times New Roman"/>
          <w:b w:val="false"/>
          <w:i w:val="false"/>
          <w:color w:val="000000"/>
          <w:sz w:val="24"/>
        </w:rPr>
        <w:t xml:space="preserve">All owners and operators of metal UST systems with corrosion protection must comply with the following requirements to ensure that releases due to corrosion are prevented until the UST system is permanently closed or undergoes a change in service in accordance with </w:t>
      </w:r>
      <w:hyperlink r:id="rId188">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corrosion protection systems must be operated and maintained to continuously provide corrosion protection to the metal components of that portion of the tank and piping that routinely contain regulated substances and are in contact with the 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UST systems equipped with cathodic protection systems must be inspected for proper operation by a qualified cathodic protection tester in accordance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Frequency. All cathodic protection systems must be tested within six months of installation and at least every three years thereafter or according to another reasonable time frame established by 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Inspection criteria. The criteria that are used to determine that cathodic protection is adequate as required by this subrule must be in accordance with a code of practice developed by a nationally recognized association.</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in 40 CFR 280.31(b)(2) may be used to comply with </w:t>
      </w:r>
      <w:hyperlink r:id="rId189">
        <w:r>
          <w:rPr>
            <w:rStyle w:val="Hyperlink"/>
            <w:rFonts w:ascii="Times New Roman" w:hAnsi="Times New Roman"/>
            <w:b w:val="false"/>
            <w:i w:val="false"/>
            <w:color w:val="000000"/>
            <w:sz w:val="24"/>
          </w:rPr>
          <w:t>135.4(2)</w:t>
        </w:r>
      </w:hyperlink>
      <w:r>
        <w:rPr>
          <w:rFonts w:ascii="Times New Roman" w:hAnsi="Times New Roman"/>
          <w:b w:val="false"/>
          <w:i/>
          <w:color w:val="000000"/>
          <w:sz w:val="24"/>
        </w:rPr>
        <w:t>“b”</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UST systems with impressed current cathodic protection systems must also be inspected every 60 days to ensure the equipment is running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UST systems using cathodic protection, records of the operation of the cathodic protection must be maintained (in accordance with </w:t>
      </w:r>
      <w:hyperlink r:id="rId190">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to demonstrate compliance with the performance standards in this subrule. These records must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the last three inspections required in </w:t>
      </w:r>
      <w:hyperlink r:id="rId191">
        <w:r>
          <w:rPr>
            <w:rStyle w:val="Hyperlink"/>
            <w:rFonts w:ascii="Times New Roman" w:hAnsi="Times New Roman"/>
            <w:b w:val="false"/>
            <w:i w:val="false"/>
            <w:color w:val="000000"/>
            <w:sz w:val="24"/>
          </w:rPr>
          <w:t>135.4(2)</w:t>
        </w:r>
      </w:hyperlink>
      <w:r>
        <w:rPr>
          <w:rFonts w:ascii="Times New Roman" w:hAnsi="Times New Roman"/>
          <w:b w:val="false"/>
          <w:i/>
          <w:color w:val="000000"/>
          <w:sz w:val="24"/>
        </w:rPr>
        <w:t>“c”</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testing from the last two inspections required in </w:t>
      </w:r>
      <w:hyperlink r:id="rId192">
        <w:r>
          <w:rPr>
            <w:rStyle w:val="Hyperlink"/>
            <w:rFonts w:ascii="Times New Roman" w:hAnsi="Times New Roman"/>
            <w:b w:val="false"/>
            <w:i w:val="false"/>
            <w:color w:val="000000"/>
            <w:sz w:val="24"/>
          </w:rPr>
          <w:t>135.4(2)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an impressed current cathodic protection system is failing cathodic protection for the time periods given below, owners and operators must take the following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impressed current cathodic protection systems that have been inoperative for 0 to 90 days after failing a corrosion protection test or after discovering the system is not operating, all of the following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Power must be restored to an inoperative corrosion protection system. A damaged or failed corrosion protection system must be repaired by a qualified service technician. A corrosion expert must approve any modifications to the system that are outside of the original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corrosion protection system must be retested within six months of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copy of the test and any repairs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copy of the new design standards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impressed current corrosion protection systems that have been inoperative for 90 to 365 days or repaired 90 to 365 days after failing a corrosion protection test, all of the following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Power must be restored to an inoperative corrosion protection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corrosion protection system must be repaired, tested and returned to service under the supervision of a corrosion expert.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precision tightness test must be conducted in accordance with </w:t>
      </w:r>
      <w:hyperlink r:id="rId193">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94">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corrosion protection system must be retested within six months of the repair or power being restored.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copy of the test and any repairs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copy of the new design standards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If determined the tank is not suitable for corrosion protection, the tank must be permanently closed in accordance with </w:t>
      </w:r>
      <w:hyperlink r:id="rId195">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impressed current corrosion protection system has been inoperative for more than 365 days or was not repaired for more than 365 days after failing a corrosion protection test, all of the following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Immediately empty and stop using the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internal inspection of the steel tank must be conducted according to a national standard (e.g., API 1631). If the UST fails the internal inspection, the UST owner must permanently close the tank in accordance with </w:t>
      </w:r>
      <w:hyperlink r:id="rId196">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piping and metallic components do not pass a line tightness test or a cathodic protection test and cannot be repaired in accordance with this chapter, the line must be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precision test must be conducted in accordance with </w:t>
      </w:r>
      <w:hyperlink r:id="rId197">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98">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corrosion protection system must be retested within six months of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copy of the tests and any repairs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impressed current cathodic protection system has been inoperable for more than 365 days and cannot be brought back into immediate use, the tank system must be permanently closed in accordance with </w:t>
      </w:r>
      <w:hyperlink r:id="rId199">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135.4(3)</w:t>
      </w:r>
      <w:r>
        <w:rPr>
          <w:rFonts w:ascii="Times New Roman" w:hAnsi="Times New Roman"/>
          <w:b w:val="false"/>
          <w:i w:val="false"/>
          <w:color w:val="000000"/>
          <w:sz w:val="24"/>
        </w:rPr>
        <w:t> </w:t>
      </w:r>
      <w:r>
        <w:rPr>
          <w:rFonts w:ascii="Times New Roman" w:hAnsi="Times New Roman"/>
          <w:b w:val="false"/>
          <w:i/>
          <w:color w:val="000000"/>
          <w:sz w:val="24"/>
        </w:rPr>
        <w:t xml:space="preserve">Compatibility. </w:t>
      </w:r>
      <w:r>
        <w:rPr>
          <w:rFonts w:ascii="Times New Roman" w:hAnsi="Times New Roman"/>
          <w:b w:val="false"/>
          <w:i w:val="false"/>
          <w:color w:val="000000"/>
          <w:sz w:val="24"/>
        </w:rPr>
        <w:t>Owners and operators must use a UST system made of or lined with materials that are compatible with the substance stored in the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notify the department at least 30 days prior to switching to a regulated substance containing greater than 10 percent ethanol, greater than 20 percent biodiesel, or any other regulated substance identified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have a UST installer certified under </w:t>
      </w:r>
      <w:hyperlink r:id="rId200">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submit the department’s checklist for equipment compatibility for the UST system to the department at least 30 days prior to switching to a regulated substance containing greater than 10 percent ethanol or greater than 20 percent biodiesel, or any other regulated substance identified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retail dealer, as defined in Iowa Code section </w:t>
      </w:r>
      <w:hyperlink r:id="rId201">
        <w:r>
          <w:rPr>
            <w:rStyle w:val="Hyperlink"/>
            <w:rFonts w:ascii="Times New Roman" w:hAnsi="Times New Roman"/>
            <w:b w:val="false"/>
            <w:i w:val="false"/>
            <w:color w:val="000000"/>
            <w:sz w:val="24"/>
          </w:rPr>
          <w:t>214A.1</w:t>
        </w:r>
      </w:hyperlink>
      <w:r>
        <w:rPr>
          <w:rFonts w:ascii="Times New Roman" w:hAnsi="Times New Roman"/>
          <w:b w:val="false"/>
          <w:i w:val="false"/>
          <w:color w:val="000000"/>
          <w:sz w:val="24"/>
        </w:rPr>
        <w:t xml:space="preserve">, must show compliance with the requirements of Iowa Code sections </w:t>
      </w:r>
      <w:hyperlink r:id="rId202">
        <w:r>
          <w:rPr>
            <w:rStyle w:val="Hyperlink"/>
            <w:rFonts w:ascii="Times New Roman" w:hAnsi="Times New Roman"/>
            <w:b w:val="false"/>
            <w:i w:val="false"/>
            <w:color w:val="000000"/>
            <w:sz w:val="24"/>
          </w:rPr>
          <w:t>455G.32</w:t>
        </w:r>
      </w:hyperlink>
      <w:r>
        <w:rPr>
          <w:rFonts w:ascii="Times New Roman" w:hAnsi="Times New Roman"/>
          <w:b w:val="false"/>
          <w:i w:val="false"/>
          <w:color w:val="000000"/>
          <w:sz w:val="24"/>
        </w:rPr>
        <w:t xml:space="preserve"> and </w:t>
      </w:r>
      <w:hyperlink r:id="rId203">
        <w:r>
          <w:rPr>
            <w:rStyle w:val="Hyperlink"/>
            <w:rFonts w:ascii="Times New Roman" w:hAnsi="Times New Roman"/>
            <w:b w:val="false"/>
            <w:i w:val="false"/>
            <w:color w:val="000000"/>
            <w:sz w:val="24"/>
          </w:rPr>
          <w:t>455G.33</w:t>
        </w:r>
      </w:hyperlink>
      <w:r>
        <w:rPr>
          <w:rFonts w:ascii="Times New Roman" w:hAnsi="Times New Roman"/>
          <w:b w:val="false"/>
          <w:i w:val="false"/>
          <w:color w:val="000000"/>
          <w:sz w:val="24"/>
        </w:rPr>
        <w:t xml:space="preserve">, if applicable, by submitting and maintaining the applicable reporting and recordkeeping documentation listed in </w:t>
      </w:r>
      <w:hyperlink r:id="rId204">
        <w:r>
          <w:rPr>
            <w:rStyle w:val="Hyperlink"/>
            <w:rFonts w:ascii="Times New Roman" w:hAnsi="Times New Roman"/>
            <w:b w:val="false"/>
            <w:i w:val="false"/>
            <w:color w:val="000000"/>
            <w:sz w:val="24"/>
          </w:rPr>
          <w:t>135.4(5)</w:t>
        </w:r>
      </w:hyperlink>
      <w:r>
        <w:rPr>
          <w:rFonts w:ascii="Times New Roman" w:hAnsi="Times New Roman"/>
          <w:b w:val="false"/>
          <w:i/>
          <w:color w:val="000000"/>
          <w:sz w:val="24"/>
        </w:rPr>
        <w:t>“a”</w:t>
      </w:r>
      <w:r>
        <w:rPr>
          <w:rFonts w:ascii="Times New Roman" w:hAnsi="Times New Roman"/>
          <w:b w:val="false"/>
          <w:i w:val="false"/>
          <w:color w:val="000000"/>
          <w:sz w:val="24"/>
        </w:rPr>
        <w:t xml:space="preserve">(10), </w:t>
      </w:r>
      <w:r>
        <w:rPr>
          <w:rFonts w:ascii="Times New Roman" w:hAnsi="Times New Roman"/>
          <w:b w:val="false"/>
          <w:i/>
          <w:color w:val="000000"/>
          <w:sz w:val="24"/>
        </w:rPr>
        <w:t>“a”</w:t>
      </w:r>
      <w:r>
        <w:rPr>
          <w:rFonts w:ascii="Times New Roman" w:hAnsi="Times New Roman"/>
          <w:b w:val="false"/>
          <w:i w:val="false"/>
          <w:color w:val="000000"/>
          <w:sz w:val="24"/>
        </w:rPr>
        <w:t xml:space="preserve">(11), </w:t>
      </w:r>
      <w:r>
        <w:rPr>
          <w:rFonts w:ascii="Times New Roman" w:hAnsi="Times New Roman"/>
          <w:b w:val="false"/>
          <w:i/>
          <w:color w:val="000000"/>
          <w:sz w:val="24"/>
        </w:rPr>
        <w:t>“b”</w:t>
      </w:r>
      <w:r>
        <w:rPr>
          <w:rFonts w:ascii="Times New Roman" w:hAnsi="Times New Roman"/>
          <w:b w:val="false"/>
          <w:i w:val="false"/>
          <w:color w:val="000000"/>
          <w:sz w:val="24"/>
        </w:rPr>
        <w:t xml:space="preserve">(12), and </w:t>
      </w:r>
      <w:r>
        <w:rPr>
          <w:rFonts w:ascii="Times New Roman" w:hAnsi="Times New Roman"/>
          <w:b w:val="false"/>
          <w:i/>
          <w:color w:val="000000"/>
          <w:sz w:val="24"/>
        </w:rPr>
        <w:t>“b”</w:t>
      </w:r>
      <w:r>
        <w:rPr>
          <w:rFonts w:ascii="Times New Roman" w:hAnsi="Times New Roman"/>
          <w:b w:val="false"/>
          <w:i w:val="false"/>
          <w:color w:val="000000"/>
          <w:sz w:val="24"/>
        </w:rPr>
        <w:t>(13).</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 xml:space="preserve">Owners and operators storing alcohol blends may use the code in 40 CFR 280.32(b)(2) to comply with the requirements of </w:t>
      </w:r>
      <w:hyperlink r:id="rId205">
        <w:r>
          <w:rPr>
            <w:rStyle w:val="Hyperlink"/>
            <w:rFonts w:ascii="Times New Roman" w:hAnsi="Times New Roman"/>
            <w:b w:val="false"/>
            <w:i w:val="false"/>
            <w:color w:val="000000"/>
            <w:sz w:val="24"/>
          </w:rPr>
          <w:t>135.4(3)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135.4(4)</w:t>
      </w:r>
      <w:r>
        <w:rPr>
          <w:rFonts w:ascii="Times New Roman" w:hAnsi="Times New Roman"/>
          <w:b w:val="false"/>
          <w:i w:val="false"/>
          <w:color w:val="000000"/>
          <w:sz w:val="24"/>
        </w:rPr>
        <w:t> </w:t>
      </w:r>
      <w:r>
        <w:rPr>
          <w:rFonts w:ascii="Times New Roman" w:hAnsi="Times New Roman"/>
          <w:b w:val="false"/>
          <w:i/>
          <w:color w:val="000000"/>
          <w:sz w:val="24"/>
        </w:rPr>
        <w:t xml:space="preserve">Repairs and replacement. </w:t>
      </w:r>
      <w:r>
        <w:rPr>
          <w:rFonts w:ascii="Times New Roman" w:hAnsi="Times New Roman"/>
          <w:b w:val="false"/>
          <w:i w:val="false"/>
          <w:color w:val="000000"/>
          <w:sz w:val="24"/>
        </w:rPr>
        <w:t>Owners and operators of UST systems must ensure that repairs will prevent releases due to structural failure or corrosion as long as the UST system is used to store regulated substances. The repairs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Repairs to UST systems must be properly conducted in accordance with a code of practice developed by a nationally recognized association or an independent testing laboratory.</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 xml:space="preserve">The codes and standards referenced in 40 CFR 280.33(a) may be used to comply with </w:t>
      </w:r>
      <w:hyperlink r:id="rId206">
        <w:r>
          <w:rPr>
            <w:rStyle w:val="Hyperlink"/>
            <w:rFonts w:ascii="Times New Roman" w:hAnsi="Times New Roman"/>
            <w:b w:val="false"/>
            <w:i w:val="false"/>
            <w:color w:val="000000"/>
            <w:sz w:val="24"/>
          </w:rPr>
          <w:t>135.4(4)</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Repairs to fiberglass-reinforced plastic tanks may be made by the manufacturer’s authorized representatives or in accordance with a code of practice developed by a nationally recognized association or an independent testing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Piping and fitting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Metal pipe sections and fittings that have released product as a result of corrosion or other damage must be replaced. Noncorrodible pipes and fittings may be repaired in accordance with the manufacturer’s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50 percent or more of any piping run is removed, the entire piping run must be removed and replaced with secondarily contained piping and interstitial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piping replacements requiring secondary containment shall be constructed with transition or intermediate containment sumps.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Repairs to secondary containment areas of tanks and piping used for interstitial monitoring and to containment sumps used for interstitial monitoring of piping must have the secondary containment tested for tightness according to the manufacturer’s instructions, a code of practice developed by a nationally recognized association or independent testing laboratory, or according to requirements established by the department within 30 days following the date of completion of the repair. All other repairs to tanks and piping must be tightness tested in accordance with </w:t>
      </w:r>
      <w:hyperlink r:id="rId207">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208">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within 30 days following the date of the completion of the repair except as provided in </w:t>
      </w:r>
      <w:hyperlink r:id="rId209">
        <w:r>
          <w:rPr>
            <w:rStyle w:val="Hyperlink"/>
            <w:rFonts w:ascii="Times New Roman" w:hAnsi="Times New Roman"/>
            <w:b w:val="false"/>
            <w:i w:val="false"/>
            <w:color w:val="000000"/>
            <w:sz w:val="24"/>
          </w:rPr>
          <w:t>135.4(4)</w:t>
        </w:r>
      </w:hyperlink>
      <w:r>
        <w:rPr>
          <w:rFonts w:ascii="Times New Roman" w:hAnsi="Times New Roman"/>
          <w:b w:val="false"/>
          <w:i/>
          <w:color w:val="000000"/>
          <w:sz w:val="24"/>
        </w:rPr>
        <w:t>“d”</w:t>
      </w:r>
      <w:r>
        <w:rPr>
          <w:rFonts w:ascii="Times New Roman" w:hAnsi="Times New Roman"/>
          <w:b w:val="false"/>
          <w:i w:val="false"/>
          <w:color w:val="000000"/>
          <w:sz w:val="24"/>
        </w:rPr>
        <w:t xml:space="preserve">(1) through </w:t>
      </w:r>
      <w:r>
        <w:rPr>
          <w:rFonts w:ascii="Times New Roman" w:hAnsi="Times New Roman"/>
          <w:b w:val="false"/>
          <w:i/>
          <w:color w:val="000000"/>
          <w:sz w:val="24"/>
        </w:rPr>
        <w:t>“d”</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repaired tank is internally inspected in accordance with a code of practice developed by a nationally recognized association or an independent testing laboratory;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repaired portion of the UST system is monitored monthly for releases in accordance with a method specified in </w:t>
      </w:r>
      <w:hyperlink r:id="rId210">
        <w:r>
          <w:rPr>
            <w:rStyle w:val="Hyperlink"/>
            <w:rFonts w:ascii="Times New Roman" w:hAnsi="Times New Roman"/>
            <w:b w:val="false"/>
            <w:i w:val="false"/>
            <w:color w:val="000000"/>
            <w:sz w:val="24"/>
          </w:rPr>
          <w:t>135.5(4)</w:t>
        </w:r>
      </w:hyperlink>
      <w:r>
        <w:rPr>
          <w:rFonts w:ascii="Times New Roman" w:hAnsi="Times New Roman"/>
          <w:b w:val="false"/>
          <w:i/>
          <w:color w:val="000000"/>
          <w:sz w:val="24"/>
        </w:rPr>
        <w:t>“d”</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Another test method is used that is determined by the department to be no less protective of human health and the environment than those listed above.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regarding </w:t>
      </w:r>
      <w:hyperlink r:id="rId211">
        <w:r>
          <w:rPr>
            <w:rStyle w:val="Hyperlink"/>
            <w:rFonts w:ascii="Times New Roman" w:hAnsi="Times New Roman"/>
            <w:b w:val="false"/>
            <w:i w:val="false"/>
            <w:color w:val="000000"/>
            <w:sz w:val="24"/>
          </w:rPr>
          <w:t>135.4(4)</w:t>
        </w:r>
      </w:hyperlink>
      <w:r>
        <w:rPr>
          <w:rFonts w:ascii="Times New Roman" w:hAnsi="Times New Roman"/>
          <w:b w:val="false"/>
          <w:i/>
          <w:color w:val="000000"/>
          <w:sz w:val="24"/>
        </w:rPr>
        <w:t>“d”</w:t>
      </w:r>
      <w:r>
        <w:rPr>
          <w:rFonts w:ascii="Times New Roman" w:hAnsi="Times New Roman"/>
          <w:b w:val="false"/>
          <w:i w:val="false"/>
          <w:color w:val="000000"/>
          <w:sz w:val="24"/>
        </w:rPr>
        <w:t xml:space="preserve">: The codes of practice referenced in 40 CFR 280.33(d)(3) may be used to comply with </w:t>
      </w:r>
      <w:hyperlink r:id="rId212">
        <w:r>
          <w:rPr>
            <w:rStyle w:val="Hyperlink"/>
            <w:rFonts w:ascii="Times New Roman" w:hAnsi="Times New Roman"/>
            <w:b w:val="false"/>
            <w:i w:val="false"/>
            <w:color w:val="000000"/>
            <w:sz w:val="24"/>
          </w:rPr>
          <w:t>135.4(4)</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six months following the repair of any cathodically protected UST system, the cathodic protection system must be tested in accordance with </w:t>
      </w:r>
      <w:hyperlink r:id="rId213">
        <w:r>
          <w:rPr>
            <w:rStyle w:val="Hyperlink"/>
            <w:rFonts w:ascii="Times New Roman" w:hAnsi="Times New Roman"/>
            <w:b w:val="false"/>
            <w:i w:val="false"/>
            <w:color w:val="000000"/>
            <w:sz w:val="24"/>
          </w:rPr>
          <w:t>135.4(2)</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to ensure that it is operating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30 days following any repair to spill or overfill prevention equipment, the repaired spill or overfill prevention equipment must be tested or inspected, as appropriate, in accordance with </w:t>
      </w:r>
      <w:hyperlink r:id="rId214">
        <w:r>
          <w:rPr>
            <w:rStyle w:val="Hyperlink"/>
            <w:rFonts w:ascii="Times New Roman" w:hAnsi="Times New Roman"/>
            <w:b w:val="false"/>
            <w:i w:val="false"/>
            <w:color w:val="000000"/>
            <w:sz w:val="24"/>
          </w:rPr>
          <w:t>135.4(1)</w:t>
        </w:r>
      </w:hyperlink>
      <w:r>
        <w:rPr>
          <w:rFonts w:ascii="Times New Roman" w:hAnsi="Times New Roman"/>
          <w:b w:val="false"/>
          <w:i w:val="false"/>
          <w:color w:val="000000"/>
          <w:sz w:val="24"/>
        </w:rPr>
        <w:t xml:space="preserve"> to ensure it is operating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UST system owners and operators must maintain records of each repair until the UST system is permanently closed or undergoes a change-in-service pursuant to </w:t>
      </w:r>
      <w:hyperlink r:id="rId215">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135.4(5)</w:t>
      </w:r>
      <w:r>
        <w:rPr>
          <w:rFonts w:ascii="Times New Roman" w:hAnsi="Times New Roman"/>
          <w:b w:val="false"/>
          <w:i w:val="false"/>
          <w:color w:val="000000"/>
          <w:sz w:val="24"/>
        </w:rPr>
        <w:t> </w:t>
      </w:r>
      <w:r>
        <w:rPr>
          <w:rFonts w:ascii="Times New Roman" w:hAnsi="Times New Roman"/>
          <w:b w:val="false"/>
          <w:i/>
          <w:color w:val="000000"/>
          <w:sz w:val="24"/>
        </w:rPr>
        <w:t xml:space="preserve">Reporting and recordkeeping. </w:t>
      </w:r>
      <w:r>
        <w:rPr>
          <w:rFonts w:ascii="Times New Roman" w:hAnsi="Times New Roman"/>
          <w:b w:val="false"/>
          <w:i w:val="false"/>
          <w:color w:val="000000"/>
          <w:sz w:val="24"/>
        </w:rPr>
        <w:t>Owners and operators of UST systems must cooperate fully with inspections, monitoring and testing conducted by the department, as well as requests for document submission, testing, and monitoring by the owner or operator pursuant to Section 9005 of Subtitle I of the Solid Waste Disposal Act 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Owners and operators must submit the following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Notification for all UST systems (</w:t>
      </w:r>
      <w:hyperlink r:id="rId216">
        <w:r>
          <w:rPr>
            <w:rStyle w:val="Hyperlink"/>
            <w:rFonts w:ascii="Times New Roman" w:hAnsi="Times New Roman"/>
            <w:b w:val="false"/>
            <w:i w:val="false"/>
            <w:color w:val="000000"/>
            <w:sz w:val="24"/>
          </w:rPr>
          <w:t>135.3(3)</w:t>
        </w:r>
      </w:hyperlink>
      <w:r>
        <w:rPr>
          <w:rFonts w:ascii="Times New Roman" w:hAnsi="Times New Roman"/>
          <w:b w:val="false"/>
          <w:i w:val="false"/>
          <w:color w:val="000000"/>
          <w:sz w:val="24"/>
        </w:rPr>
        <w:t>), which includes certification of installation for new UST systems (</w:t>
      </w:r>
      <w:hyperlink r:id="rId217">
        <w:r>
          <w:rPr>
            <w:rStyle w:val="Hyperlink"/>
            <w:rFonts w:ascii="Times New Roman" w:hAnsi="Times New Roman"/>
            <w:b w:val="false"/>
            <w:i w:val="false"/>
            <w:color w:val="000000"/>
            <w:sz w:val="24"/>
          </w:rPr>
          <w:t>135.3(1)</w:t>
        </w:r>
      </w:hyperlink>
      <w:r>
        <w:rPr>
          <w:rFonts w:ascii="Times New Roman" w:hAnsi="Times New Roman"/>
          <w:b w:val="false"/>
          <w:i/>
          <w:color w:val="000000"/>
          <w:sz w:val="24"/>
        </w:rPr>
        <w:t>“e”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Notification of equipment replacement or addition of new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Reports of all releases including suspected releases (</w:t>
      </w:r>
      <w:hyperlink r:id="rId218">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 spills and overfills (</w:t>
      </w:r>
      <w:hyperlink r:id="rId219">
        <w:r>
          <w:rPr>
            <w:rStyle w:val="Hyperlink"/>
            <w:rFonts w:ascii="Times New Roman" w:hAnsi="Times New Roman"/>
            <w:b w:val="false"/>
            <w:i w:val="false"/>
            <w:color w:val="000000"/>
            <w:sz w:val="24"/>
          </w:rPr>
          <w:t>135.6(4)</w:t>
        </w:r>
      </w:hyperlink>
      <w:r>
        <w:rPr>
          <w:rFonts w:ascii="Times New Roman" w:hAnsi="Times New Roman"/>
          <w:b w:val="false"/>
          <w:i w:val="false"/>
          <w:color w:val="000000"/>
          <w:sz w:val="24"/>
        </w:rPr>
        <w:t>), and confirmed releases (</w:t>
      </w:r>
      <w:hyperlink r:id="rId220">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Corrective actions planned or taken including initial abatement measures (</w:t>
      </w:r>
      <w:hyperlink r:id="rId221">
        <w:r>
          <w:rPr>
            <w:rStyle w:val="Hyperlink"/>
            <w:rFonts w:ascii="Times New Roman" w:hAnsi="Times New Roman"/>
            <w:b w:val="false"/>
            <w:i w:val="false"/>
            <w:color w:val="000000"/>
            <w:sz w:val="24"/>
          </w:rPr>
          <w:t>135.7(3)</w:t>
        </w:r>
      </w:hyperlink>
      <w:r>
        <w:rPr>
          <w:rFonts w:ascii="Times New Roman" w:hAnsi="Times New Roman"/>
          <w:b w:val="false"/>
          <w:i w:val="false"/>
          <w:color w:val="000000"/>
          <w:sz w:val="24"/>
        </w:rPr>
        <w:t>), initial site characterization (</w:t>
      </w:r>
      <w:hyperlink r:id="rId222">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(455B)), free product removal (</w:t>
      </w:r>
      <w:hyperlink r:id="rId223">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 investigation of soil and groundwater cleanup and corrective action plan (</w:t>
      </w:r>
      <w:hyperlink r:id="rId224">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225">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notification before permanent closure or change-in-service (</w:t>
      </w:r>
      <w:hyperlink r:id="rId226">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Notification of any change in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Notification of any change in Class A or Class B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Notification of any loss of financial responsibility (i.e.,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Notification prior to UST systems switching to certain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establishing compatibility as required in Iowa Code section </w:t>
      </w:r>
      <w:hyperlink r:id="rId227">
        <w:r>
          <w:rPr>
            <w:rStyle w:val="Hyperlink"/>
            <w:rFonts w:ascii="Times New Roman" w:hAnsi="Times New Roman"/>
            <w:b w:val="false"/>
            <w:i w:val="false"/>
            <w:color w:val="000000"/>
            <w:sz w:val="24"/>
          </w:rPr>
          <w:t>455G.32</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establishing compatibility as required in Iowa Code section </w:t>
      </w:r>
      <w:hyperlink r:id="rId228">
        <w:r>
          <w:rPr>
            <w:rStyle w:val="Hyperlink"/>
            <w:rFonts w:ascii="Times New Roman" w:hAnsi="Times New Roman"/>
            <w:b w:val="false"/>
            <w:i w:val="false"/>
            <w:color w:val="000000"/>
            <w:sz w:val="24"/>
          </w:rPr>
          <w:t>455G.33</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Owners and operators must maintain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corrosion expert’s analysis of site corrosion potential if corrosion protection equipment is not used (</w:t>
      </w:r>
      <w:hyperlink r:id="rId229">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(4); </w:t>
      </w:r>
      <w:hyperlink r:id="rId230">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Documentation of operation of corrosion protection equipment (</w:t>
      </w:r>
      <w:hyperlink r:id="rId231">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UST system repairs (</w:t>
      </w:r>
      <w:hyperlink r:id="rId232">
        <w:r>
          <w:rPr>
            <w:rStyle w:val="Hyperlink"/>
            <w:rFonts w:ascii="Times New Roman" w:hAnsi="Times New Roman"/>
            <w:b w:val="false"/>
            <w:i w:val="false"/>
            <w:color w:val="000000"/>
            <w:sz w:val="24"/>
          </w:rPr>
          <w:t>135.4(4)</w:t>
        </w:r>
      </w:hyperlink>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Documentation of compliance with release detection requirements (</w:t>
      </w:r>
      <w:hyperlink r:id="rId233">
        <w:r>
          <w:rPr>
            <w:rStyle w:val="Hyperlink"/>
            <w:rFonts w:ascii="Times New Roman" w:hAnsi="Times New Roman"/>
            <w:b w:val="false"/>
            <w:i w:val="false"/>
            <w:color w:val="000000"/>
            <w:sz w:val="24"/>
          </w:rPr>
          <w:t>135.5(6)</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Results of the site investigation conducted at permanent closure (</w:t>
      </w:r>
      <w:hyperlink r:id="rId234">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Cathodic protection system testing results (</w:t>
      </w:r>
      <w:hyperlink r:id="rId235">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Class A, B and C operator training certificates (</w:t>
      </w:r>
      <w:hyperlink r:id="rId236">
        <w:r>
          <w:rPr>
            <w:rStyle w:val="Hyperlink"/>
            <w:rFonts w:ascii="Times New Roman" w:hAnsi="Times New Roman"/>
            <w:b w:val="false"/>
            <w:i w:val="false"/>
            <w:color w:val="000000"/>
            <w:sz w:val="24"/>
          </w:rPr>
          <w:t>135.4(6)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Secondary containment test results (</w:t>
      </w:r>
      <w:hyperlink r:id="rId237">
        <w:r>
          <w:rPr>
            <w:rStyle w:val="Hyperlink"/>
            <w:rFonts w:ascii="Times New Roman" w:hAnsi="Times New Roman"/>
            <w:b w:val="false"/>
            <w:i w:val="false"/>
            <w:color w:val="000000"/>
            <w:sz w:val="24"/>
          </w:rPr>
          <w:t>135.3(8)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Documentation of periodic walkthrough inspections (</w:t>
      </w:r>
      <w:hyperlink r:id="rId238">
        <w:r>
          <w:rPr>
            <w:rStyle w:val="Hyperlink"/>
            <w:rFonts w:ascii="Times New Roman" w:hAnsi="Times New Roman"/>
            <w:b w:val="false"/>
            <w:i w:val="false"/>
            <w:color w:val="000000"/>
            <w:sz w:val="24"/>
          </w:rPr>
          <w:t>135.4(13)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Documentation of compatibility for UST systems (</w:t>
      </w:r>
      <w:hyperlink r:id="rId239">
        <w:r>
          <w:rPr>
            <w:rStyle w:val="Hyperlink"/>
            <w:rFonts w:ascii="Times New Roman" w:hAnsi="Times New Roman"/>
            <w:b w:val="false"/>
            <w:i w:val="false"/>
            <w:color w:val="000000"/>
            <w:sz w:val="24"/>
          </w:rPr>
          <w:t>135.4(3)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Documentation of compliance for spill and overfill prevention equipment and containment sumps used for interstitial monitoring of piping (</w:t>
      </w:r>
      <w:hyperlink r:id="rId240">
        <w:r>
          <w:rPr>
            <w:rStyle w:val="Hyperlink"/>
            <w:rFonts w:ascii="Times New Roman" w:hAnsi="Times New Roman"/>
            <w:b w:val="false"/>
            <w:i w:val="false"/>
            <w:color w:val="000000"/>
            <w:sz w:val="24"/>
          </w:rPr>
          <w:t>135.4(12)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establishing compatibility as required in Iowa Code section </w:t>
      </w:r>
      <w:hyperlink r:id="rId241">
        <w:r>
          <w:rPr>
            <w:rStyle w:val="Hyperlink"/>
            <w:rFonts w:ascii="Times New Roman" w:hAnsi="Times New Roman"/>
            <w:b w:val="false"/>
            <w:i w:val="false"/>
            <w:color w:val="000000"/>
            <w:sz w:val="24"/>
          </w:rPr>
          <w:t>455G.32</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establishing compatibility as required in Iowa Code section </w:t>
      </w:r>
      <w:hyperlink r:id="rId242">
        <w:r>
          <w:rPr>
            <w:rStyle w:val="Hyperlink"/>
            <w:rFonts w:ascii="Times New Roman" w:hAnsi="Times New Roman"/>
            <w:b w:val="false"/>
            <w:i w:val="false"/>
            <w:color w:val="000000"/>
            <w:sz w:val="24"/>
          </w:rPr>
          <w:t>455G.33</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Availability and maintenance of records. </w:t>
      </w:r>
      <w:r>
        <w:rPr>
          <w:rFonts w:ascii="Times New Roman" w:hAnsi="Times New Roman"/>
          <w:b w:val="false"/>
          <w:i w:val="false"/>
          <w:color w:val="000000"/>
          <w:sz w:val="24"/>
        </w:rPr>
        <w:t>Owners and operators must keep the records required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the UST site and immediately available for inspection by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readily available alternative site and be provided for inspection to the department within two business days of department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case of permanent closure records required under </w:t>
      </w:r>
      <w:hyperlink r:id="rId243">
        <w:r>
          <w:rPr>
            <w:rStyle w:val="Hyperlink"/>
            <w:rFonts w:ascii="Times New Roman" w:hAnsi="Times New Roman"/>
            <w:b w:val="false"/>
            <w:i w:val="false"/>
            <w:color w:val="000000"/>
            <w:sz w:val="24"/>
          </w:rPr>
          <w:t>135.15(5)</w:t>
        </w:r>
      </w:hyperlink>
      <w:r>
        <w:rPr>
          <w:rFonts w:ascii="Times New Roman" w:hAnsi="Times New Roman"/>
          <w:b w:val="false"/>
          <w:i w:val="false"/>
          <w:color w:val="000000"/>
          <w:sz w:val="24"/>
        </w:rPr>
        <w:t>, owners and operators are also provided with the additional alternative of mailing closure records to the department if they cannot be kept at the site or an alternative site as indicated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135.4(6)</w:t>
      </w:r>
      <w:r>
        <w:rPr>
          <w:rFonts w:ascii="Times New Roman" w:hAnsi="Times New Roman"/>
          <w:b w:val="false"/>
          <w:i w:val="false"/>
          <w:color w:val="000000"/>
          <w:sz w:val="24"/>
        </w:rPr>
        <w:t> </w:t>
      </w:r>
      <w:r>
        <w:rPr>
          <w:rFonts w:ascii="Times New Roman" w:hAnsi="Times New Roman"/>
          <w:b w:val="false"/>
          <w:i/>
          <w:color w:val="000000"/>
          <w:sz w:val="24"/>
        </w:rPr>
        <w:t xml:space="preserve">Training required for UST operators.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owner or operator shall designate Class A, Class B, and Class C operators for each underground storage tank system or facility that has underground storage tanks regulated by the department, except for unstaffed facilities, which may designate only Class A and Class B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facility may not operate unless operators have been designated and trained as required in this rule or unless otherwise agreed upon by the department based on a finding of good cause for failure to meet this requirement and a plan for designation and training at the earliest practicable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Trained operators must be readily available to respond to suspected or confirmed releases, equipment shut-offs or failures, and other unusual operating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Class A or Class B operator should be immediately available for telephone consultation with the Class C operator when a facility is in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staffed facilities, a Class C operator must be on site whenever the UST facility is in operation.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For unstaffed facilities, a Class B operator must be geographically located such that the person can be on site within two hours of being contacted by the public, the owner or operator of the facility, or the department. An unstaffed facility shall have an emergency shutoff device as provided in </w:t>
      </w:r>
      <w:hyperlink r:id="rId244">
        <w:r>
          <w:rPr>
            <w:rStyle w:val="Hyperlink"/>
            <w:rFonts w:ascii="Times New Roman" w:hAnsi="Times New Roman"/>
            <w:b w:val="false"/>
            <w:i w:val="false"/>
            <w:color w:val="000000"/>
            <w:sz w:val="24"/>
          </w:rPr>
          <w:t>135.5(1)</w:t>
        </w:r>
      </w:hyperlink>
      <w:r>
        <w:rPr>
          <w:rFonts w:ascii="Times New Roman" w:hAnsi="Times New Roman"/>
          <w:b w:val="false"/>
          <w:i w:val="false"/>
          <w:color w:val="000000"/>
          <w:sz w:val="24"/>
        </w:rPr>
        <w:t>. An approved emergency procedures sign shall be posted in a conspicuous location and shall read:</w:t>
      </w:r>
    </w:p>
    <w:p>
      <w:pPr>
        <w:spacing w:before="0" w:after="0" w:line="480"/>
        <w:ind w:left="120"/>
        <w:jc w:val="both"/>
      </w:pPr>
      <w:r>
        <w:rPr>
          <w:rFonts w:ascii="Times New Roman" w:hAnsi="Times New Roman"/>
          <w:b w:val="false"/>
          <w:i w:val="false"/>
          <w:color w:val="000000"/>
          <w:sz w:val="24"/>
        </w:rPr>
        <w:t>IN CASE OF FIRE, SPILL OR RELEASE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USE EMERGENCY PUMP SHUTOFF</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REPORT THE ACCIDENT!</w:t>
      </w:r>
    </w:p>
    <w:p>
      <w:pPr>
        <w:spacing w:before="0" w:after="0" w:line="480"/>
        <w:ind w:left="120"/>
        <w:jc w:val="both"/>
      </w:pPr>
      <w:r>
        <w:rPr>
          <w:rFonts w:ascii="Times New Roman" w:hAnsi="Times New Roman"/>
          <w:b w:val="false"/>
          <w:i w:val="false"/>
          <w:color w:val="000000"/>
          <w:sz w:val="24"/>
        </w:rPr>
        <w:t>FIRE DEPARTMENT TELEPHONE NO.___________</w:t>
      </w:r>
    </w:p>
    <w:p>
      <w:pPr>
        <w:spacing w:before="0" w:after="0" w:line="480"/>
        <w:ind w:left="120"/>
        <w:jc w:val="both"/>
      </w:pPr>
      <w:r>
        <w:rPr>
          <w:rFonts w:ascii="Times New Roman" w:hAnsi="Times New Roman"/>
          <w:b w:val="false"/>
          <w:i w:val="false"/>
          <w:color w:val="000000"/>
          <w:sz w:val="24"/>
        </w:rPr>
        <w:t>FACILITY ADDRESS &amp; PHONE NUMBER___________</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Designated operators must successfully complete required training under </w:t>
      </w:r>
      <w:hyperlink r:id="rId245">
        <w:r>
          <w:rPr>
            <w:rStyle w:val="Hyperlink"/>
            <w:rFonts w:ascii="Times New Roman" w:hAnsi="Times New Roman"/>
            <w:b w:val="false"/>
            <w:i w:val="false"/>
            <w:color w:val="000000"/>
            <w:sz w:val="24"/>
          </w:rPr>
          <w:t>135.4(9)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person may be designated for more than one class of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When a facility is found to be out of compliance, the department may require that the designated UST system Class A, B, or C operator be retrained under a plan approved by the department. The retraining must occur within 30 days from departmental notice for Class A and Class B operators and within 15 days for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135.4(7)</w:t>
      </w:r>
      <w:r>
        <w:rPr>
          <w:rFonts w:ascii="Times New Roman" w:hAnsi="Times New Roman"/>
          <w:b w:val="false"/>
          <w:i w:val="false"/>
          <w:color w:val="000000"/>
          <w:sz w:val="24"/>
        </w:rPr>
        <w:t> </w:t>
      </w:r>
      <w:r>
        <w:rPr>
          <w:rFonts w:ascii="Times New Roman" w:hAnsi="Times New Roman"/>
          <w:b w:val="false"/>
          <w:i/>
          <w:color w:val="000000"/>
          <w:sz w:val="24"/>
        </w:rPr>
        <w:t xml:space="preserve">UST operator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Class A operator.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Class A operators have the primary responsibility to operate, maintain, and have knowledge of the regulatory requirements for the underground storage tank system and facility. The Class A operator’s responsibilities include managing resources and personnel to achieve and maintain compliance with regulatory requirements under this chapter in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Class A operators assist the owner by ensuring that underground storage tank systems are properly installed and expeditiously repaired and inspected; financial responsibility is maintained; and records of system installation, modification, inspection and repair are retained and made available to the department and certified compliance inspectors. The Class A operator shall properly respond to and report emergencies caused by releases or spills from UST systems, ensure that the annual tank management fees are paid, and ensure that Class B and Class C operators are properly trained.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Class A operators shall be familiar with training requirements for each class of operator and may provide required training for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Class A operators shall provide site drawings that indicate equipment locations for Class B and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Department-certified installers, installation inspectors, and department-certified compliance inspectors may perform Class A operator duties when employed or contracted by the tank owner to perform these functions so long as they are properly trained and designated as Class A operators pursuant to </w:t>
      </w:r>
      <w:hyperlink r:id="rId246">
        <w:r>
          <w:rPr>
            <w:rStyle w:val="Hyperlink"/>
            <w:rFonts w:ascii="Times New Roman" w:hAnsi="Times New Roman"/>
            <w:b w:val="false"/>
            <w:i w:val="false"/>
            <w:color w:val="000000"/>
            <w:sz w:val="24"/>
          </w:rPr>
          <w:t>135.4(9)</w:t>
        </w:r>
      </w:hyperlink>
      <w:r>
        <w:rPr>
          <w:rFonts w:ascii="Times New Roman" w:hAnsi="Times New Roman"/>
          <w:b w:val="false"/>
          <w:i w:val="false"/>
          <w:color w:val="000000"/>
          <w:sz w:val="24"/>
        </w:rPr>
        <w:t xml:space="preserve"> through </w:t>
      </w:r>
      <w:hyperlink r:id="rId247">
        <w:r>
          <w:rPr>
            <w:rStyle w:val="Hyperlink"/>
            <w:rFonts w:ascii="Times New Roman" w:hAnsi="Times New Roman"/>
            <w:b w:val="false"/>
            <w:i w:val="false"/>
            <w:color w:val="000000"/>
            <w:sz w:val="24"/>
          </w:rPr>
          <w:t>135.4(11)</w:t>
        </w:r>
      </w:hyperlink>
      <w:r>
        <w:rPr>
          <w:rFonts w:ascii="Times New Roman" w:hAnsi="Times New Roman"/>
          <w:b w:val="false"/>
          <w:i w:val="false"/>
          <w:color w:val="000000"/>
          <w:sz w:val="24"/>
        </w:rPr>
        <w:t xml:space="preserve">. Class A operators who are also certified compliance inspectors under </w:t>
      </w:r>
      <w:hyperlink r:id="rId248">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may perform in-house facility inspections of the UST system, but shall not perform department-mandated compliance inspections pursuant to </w:t>
      </w:r>
      <w:hyperlink r:id="rId249">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Compliance inspections of a UST facility required by </w:t>
      </w:r>
      <w:hyperlink r:id="rId250">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must be completed by a third-party compliance inspector certified under </w:t>
      </w:r>
      <w:hyperlink r:id="rId251">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there is a change in ownership or operator status, the new owner or operator is responsible for designating a Class A operator prior to bringing the UST system into operation. The Class A operator is responsible for ensuring that all necessary documentation for change of ownership is completed and submitted to the department and that all compliance requirements of this chapter are satisfied prior to bringing the UST system into operation. The compliance requirements may be provided to the owner or operator using the department’s checklist.</w:t>
      </w:r>
    </w:p>
    <w:p>
      <w:pPr>
        <w:spacing w:before="0" w:after="0" w:line="480"/>
        <w:ind w:left="120"/>
        <w:jc w:val="both"/>
      </w:pPr>
      <w:r>
        <w:rPr>
          <w:rFonts w:ascii="Times New Roman" w:hAnsi="Times New Roman"/>
          <w:b w:val="false"/>
          <w:i w:val="false"/>
          <w:color w:val="000000"/>
          <w:sz w:val="24"/>
        </w:rPr>
        <w:t>If the UST system was temporarily closed, the designated Class A operator must ensure the department’s checklist for returning a UST into service is followed, all compliance requirements of this chapter have been met, and the necessary documentation is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there is a change in UST ownership, property ownership or operator status, the designated Class A operator for the current owner and operator is responsible for notifying the department when the change is final and, if possible, prior to the new owner or operator taking possession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Class B operator.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Class B operator is knowledgeable of the applicable underground storage tank regulatory requirements and standards and implements them in the field or at the tank facility. A Class B operator oversees and implements the day-to-day aspects of operation, maintenance, and recordkeeping for the underground storage tanks at facilities within four hours of travel time from the Class B operator’s principal place of business. A Class B operator’s responsibilities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Performing mandated system tests at required intervals and making sure spill prevention, overfill control equipment, and corrosion protection equipment are properly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Assisting the owner by ensuring that release detection equipment is operational, release detection monitoring and tests are performed at the proper intervals, and release detection records are retained and made available to the department and compliance inspectors.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Making sure recordkeeping and reporting requirements are met and that relevant equipment manufacturers’ or third-party performance standards are available and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Properly responding to, investigating, and reporting emergencies caused by releases or spills from USTs.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Performing UST release detection in accordance with </w:t>
      </w:r>
      <w:hyperlink r:id="rId252">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Monitoring the status of UST release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Meeting spill prevention, overfill prevention, and corrosion protection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Reporting suspected and confirmed releases and taking release prevention and response actions according to the requirements of </w:t>
      </w:r>
      <w:hyperlink r:id="rId253">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documenting Class C operators to make sure at least one Class C operator is on site during operating hours. Class B operators shall be familiar with Class C operator responsibilities and may provide training for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Department-certified installers, installation inspectors, and department-certified compliance inspectors may perform Class B operator duties when employed or contracted by the tank owner to perform these functions so long as they are properly trained and designated as Class B operators under </w:t>
      </w:r>
      <w:hyperlink r:id="rId254">
        <w:r>
          <w:rPr>
            <w:rStyle w:val="Hyperlink"/>
            <w:rFonts w:ascii="Times New Roman" w:hAnsi="Times New Roman"/>
            <w:b w:val="false"/>
            <w:i w:val="false"/>
            <w:color w:val="000000"/>
            <w:sz w:val="24"/>
          </w:rPr>
          <w:t>135.4(9)</w:t>
        </w:r>
      </w:hyperlink>
      <w:r>
        <w:rPr>
          <w:rFonts w:ascii="Times New Roman" w:hAnsi="Times New Roman"/>
          <w:b w:val="false"/>
          <w:i w:val="false"/>
          <w:color w:val="000000"/>
          <w:sz w:val="24"/>
        </w:rPr>
        <w:t xml:space="preserve"> through </w:t>
      </w:r>
      <w:hyperlink r:id="rId255">
        <w:r>
          <w:rPr>
            <w:rStyle w:val="Hyperlink"/>
            <w:rFonts w:ascii="Times New Roman" w:hAnsi="Times New Roman"/>
            <w:b w:val="false"/>
            <w:i w:val="false"/>
            <w:color w:val="000000"/>
            <w:sz w:val="24"/>
          </w:rPr>
          <w:t>135.4(11)</w:t>
        </w:r>
      </w:hyperlink>
      <w:r>
        <w:rPr>
          <w:rFonts w:ascii="Times New Roman" w:hAnsi="Times New Roman"/>
          <w:b w:val="false"/>
          <w:i w:val="false"/>
          <w:color w:val="000000"/>
          <w:sz w:val="24"/>
        </w:rPr>
        <w:t xml:space="preserve">. Class B operators who are also certified compliance inspectors under </w:t>
      </w:r>
      <w:hyperlink r:id="rId256">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may perform in-house facility inspections of the UST system, but cannot perform department-mandated compliance inspections pursuant to </w:t>
      </w:r>
      <w:hyperlink r:id="rId257">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Compliance inspections of a UST facility pursuant to </w:t>
      </w:r>
      <w:hyperlink r:id="rId258">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must be completed by a third-party compliance inspector certified under </w:t>
      </w:r>
      <w:hyperlink r:id="rId259">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 site undergoing a change in ownership shall designate a Class B operator prior to bringing the UST system into operation. The Class B operator must conduct an inspection using the department’s inspection checklist and submit the completed checklist along with the change of ownership form prior to operation. If a UST system was temporarily closed, the Class B operator shall ensure that the department’s checklist for returning a UST to service is followed and that the necessary documentation is submitted to the department prior to operation of the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Class C operator. </w:t>
      </w:r>
      <w:r>
        <w:rPr>
          <w:rFonts w:ascii="Times New Roman" w:hAnsi="Times New Roman"/>
          <w:b w:val="false"/>
          <w:i w:val="false"/>
          <w:color w:val="000000"/>
          <w:sz w:val="24"/>
        </w:rPr>
        <w:t>A Class C operator is an on-site employee who typically controls or monitors the dispensing or sale of regulated substances and is the first to respond to events indicating emergency conditions. A Class C operator must be present at the facility at all times during normal operating hours. A Class C operator monitors product transfer operations to ensure that spills and overfills do not occur. The Class C operator must know how to properly respond to spills, overfills and alarms when they do occur. In the event of a spill, overfill or alarm, a Class C operator shall notify the Class A and Class B operators, as well as the department and appropriate local emergency authorities as required by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Written basic operating instructions, emergency contact names and telephone numbers, and basic procedures specific to the facility shall be provided to all Class C operators and readily available on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may be more than one Class C operator at a storage tank facility, but not all employees of a facility need be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135.4(8)</w:t>
      </w:r>
      <w:r>
        <w:rPr>
          <w:rFonts w:ascii="Times New Roman" w:hAnsi="Times New Roman"/>
          <w:b w:val="false"/>
          <w:i w:val="false"/>
          <w:color w:val="000000"/>
          <w:sz w:val="24"/>
        </w:rPr>
        <w:t> </w:t>
      </w:r>
      <w:r>
        <w:rPr>
          <w:rFonts w:ascii="Times New Roman" w:hAnsi="Times New Roman"/>
          <w:b w:val="false"/>
          <w:i/>
          <w:color w:val="000000"/>
          <w:sz w:val="24"/>
        </w:rPr>
        <w:t xml:space="preserve">UST operator training course requirements. </w:t>
      </w:r>
      <w:r>
        <w:rPr>
          <w:rFonts w:ascii="Times New Roman" w:hAnsi="Times New Roman"/>
          <w:b w:val="false"/>
          <w:i w:val="false"/>
          <w:color w:val="000000"/>
          <w:sz w:val="24"/>
        </w:rPr>
        <w:t>Individuals must attend a department-approved training course covering material designated for each operator class. Individuals must attend every session of the training, take the examination, and attend examination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Class A operators. </w:t>
      </w:r>
      <w:r>
        <w:rPr>
          <w:rFonts w:ascii="Times New Roman" w:hAnsi="Times New Roman"/>
          <w:b w:val="false"/>
          <w:i w:val="false"/>
          <w:color w:val="000000"/>
          <w:sz w:val="24"/>
        </w:rPr>
        <w:t xml:space="preserve">To be certified as a Class A operator, the applicant must successfully complete a department-approved training course that covers underground storage tank system requirements as outlined in </w:t>
      </w:r>
      <w:hyperlink r:id="rId260">
        <w:r>
          <w:rPr>
            <w:rStyle w:val="Hyperlink"/>
            <w:rFonts w:ascii="Times New Roman" w:hAnsi="Times New Roman"/>
            <w:b w:val="false"/>
            <w:i w:val="false"/>
            <w:color w:val="000000"/>
            <w:sz w:val="24"/>
          </w:rPr>
          <w:t>567—Chapters 134</w:t>
        </w:r>
      </w:hyperlink>
      <w:r>
        <w:rPr>
          <w:rFonts w:ascii="Times New Roman" w:hAnsi="Times New Roman"/>
          <w:b w:val="false"/>
          <w:i w:val="false"/>
          <w:color w:val="000000"/>
          <w:sz w:val="24"/>
        </w:rPr>
        <w:t xml:space="preserve"> through </w:t>
      </w:r>
      <w:hyperlink r:id="rId261">
        <w:r>
          <w:rPr>
            <w:rStyle w:val="Hyperlink"/>
            <w:rFonts w:ascii="Times New Roman" w:hAnsi="Times New Roman"/>
            <w:b w:val="false"/>
            <w:i w:val="false"/>
            <w:color w:val="000000"/>
            <w:sz w:val="24"/>
          </w:rPr>
          <w:t>136</w:t>
        </w:r>
      </w:hyperlink>
      <w:r>
        <w:rPr>
          <w:rFonts w:ascii="Times New Roman" w:hAnsi="Times New Roman"/>
          <w:b w:val="false"/>
          <w:i w:val="false"/>
          <w:color w:val="000000"/>
          <w:sz w:val="24"/>
        </w:rPr>
        <w:t>. The course must also provide a general overview of the department’s UST program, purpose, groundwater protection goals, public safety and administrative requirements. The training must include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Components and materials of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general discussion of the content of PEI/RP900, Recommended Practices for the Inspection and Maintenance of UST Systems, and PEI/RP500, Recommended Practices for Inspection and Maintenance of Motor Fuel Dispensing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Spill and overfill prevention, to include the American Petroleum Institute (API) Publication RP1621, “Recommended Practice for Bulk Liquid Stock Control at Retail Outlets,” and National Fire Protection Association Standard 30, “Flammable and Combustible Liquids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Ensuring product delivery to the correct tank by using color-symbol codes in the API Standard RP1637, “Using the API Color-Symbol System to Mark Equipment and Vehicles for Product Identification at Service Stations and Distribution Terminals.”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Proper fuel ordering and delivery, including procedures in API RP1007, “Loading and Unloading of MC/DOT 406 Cargo Tank Motor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Release detection methods and related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Corrosion protection and inspection requirements, including the requirement to have a department-certified cathodic protection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Discussion of the benefits of monthly or frequent inspections and content and use of inspection checklists. Training materials for operators shall include the department’s “Iowa UST Operator Inspection Checklist” or a checklist template similar to the department’s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Requirement and content of third-party compliance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How to properly respond to an emergency, including hazardous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Product and equipment compatibility, including the department’s ethanol compatibility guidance and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Notification of installation and storage tank registration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Requirement to use department-certified companies and individuals for UST installation, testing, lining, and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Temporary and permanent closure procedures and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NESHAP vapor recovery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Conditions under which the department may stop fuel delivery and take enforcement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Ensuring that annual tank management fees are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 xml:space="preserve">Ensuring that suspected and confirmed releases are investigated and reported according to </w:t>
      </w:r>
      <w:hyperlink r:id="rId262">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Class B operators. </w:t>
      </w:r>
      <w:r>
        <w:rPr>
          <w:rFonts w:ascii="Times New Roman" w:hAnsi="Times New Roman"/>
          <w:b w:val="false"/>
          <w:i w:val="false"/>
          <w:color w:val="000000"/>
          <w:sz w:val="24"/>
        </w:rPr>
        <w:t>To be certified as a Class B operator, the individual must successfully complete a department-approved training course that provides in-depth understanding of UST system regulations applicable to this class. Training must also provide a general overview of the department’s UST program, purpose, groundwater protection goals, public safety and administrative requirements. Training shall cover the operation and maintenance requirements set forth in this chapter,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general discussion of the content of PEI/RP900, Recommended Practices for the Inspection and Maintenance of UST Systems, and PEI/RP500, Recommended Practices for Inspection and Maintenance of Motor Fuel Dispensing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Components and materials of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Spill and overfill prevention.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Ensuring product delivery to the correct tank by using color-symbol codes in the API Standard RP1637.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Proper fuel ordering and delivery, including procedures from API RP1007.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Methods of release detection and related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Corrosion protection and related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Requirements of 30-day and annual walkthrough inspections. Training materials for operators shall include the department’s “Iowa UST Operator Inspection Checklist” or a checklist template similar to the department’s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Requirement and content of third-party compliance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Emergency response, reporting and investigating releases.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Product and equipment compatibility, including the department’s ethanol compatibility guidance and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Notification of installation and storage tank registration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Requirement to use department-certified companies and individuals for UST installation, testing, lining, and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Reporting and 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Overview of Class C operator training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NESHAP vapor recovery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Conditions under which the department may stop fuel delivery and take enforcement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Requirements for facilities that operate unstaffed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Class C operators. </w:t>
      </w:r>
      <w:r>
        <w:rPr>
          <w:rFonts w:ascii="Times New Roman" w:hAnsi="Times New Roman"/>
          <w:b w:val="false"/>
          <w:i w:val="false"/>
          <w:color w:val="000000"/>
          <w:sz w:val="24"/>
        </w:rPr>
        <w:t>To be certified as a Class C operator, an individual must complete a department-approved training course. A Class A or Class B operator who has completed a department-approved training course may provide the Class C training. Class C operator training must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general overview of the department’s UST program and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protection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UST system overview;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Administrative requirements;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Action to be taken in response to an emergency condition due to a spill or release from a UST system.</w:t>
      </w:r>
    </w:p>
    <w:p>
      <w:pPr>
        <w:spacing w:before="0" w:after="0" w:line="480"/>
        <w:ind w:left="120"/>
        <w:jc w:val="both"/>
      </w:pPr>
      <w:r>
        <w:rPr>
          <w:rFonts w:ascii="Times New Roman" w:hAnsi="Times New Roman"/>
          <w:b w:val="false"/>
          <w:i w:val="false"/>
          <w:color w:val="000000"/>
          <w:sz w:val="24"/>
        </w:rPr>
        <w:t>Training must include written procedures for the Class C operator, including notification instructions necessary in the event of emergency conditions. The written instructions and procedures must be readily available on site. A Class A or Class B operator may provide additional on-site Class C training specific to the operator’s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135.4(9)</w:t>
      </w:r>
      <w:r>
        <w:rPr>
          <w:rFonts w:ascii="Times New Roman" w:hAnsi="Times New Roman"/>
          <w:b w:val="false"/>
          <w:i w:val="false"/>
          <w:color w:val="000000"/>
          <w:sz w:val="24"/>
        </w:rPr>
        <w:t> </w:t>
      </w:r>
      <w:r>
        <w:rPr>
          <w:rFonts w:ascii="Times New Roman" w:hAnsi="Times New Roman"/>
          <w:b w:val="false"/>
          <w:i/>
          <w:color w:val="000000"/>
          <w:sz w:val="24"/>
        </w:rPr>
        <w:t xml:space="preserve">Examination and review requirement. </w:t>
      </w:r>
      <w:r>
        <w:rPr>
          <w:rFonts w:ascii="Times New Roman" w:hAnsi="Times New Roman"/>
          <w:b w:val="false"/>
          <w:i w:val="false"/>
          <w:color w:val="000000"/>
          <w:sz w:val="24"/>
        </w:rPr>
        <w:t>Class A and Class B operators must complete the department-approved training course and take an examination to verify their understanding and knowledge. The examination may include both written and practical (hands-on) testing activities. The trainer must follow up the examination with a review of missed test questions with the class or individual to ensure understanding of problem areas. Upon successful completion of the training course, the applicant will receive a certificate verifying the applicant’s status as a Class A, Class B, or Class C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Reciprocity. </w:t>
      </w:r>
      <w:r>
        <w:rPr>
          <w:rFonts w:ascii="Times New Roman" w:hAnsi="Times New Roman"/>
          <w:b w:val="false"/>
          <w:i w:val="false"/>
          <w:color w:val="000000"/>
          <w:sz w:val="24"/>
        </w:rPr>
        <w:t>The department may waive the training course for operators upon a showing of successful completion of a training course and examination approved by another state or regulatory agency that the department determines are substantially equivalent to the UST requirements contained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to another UST site. </w:t>
      </w:r>
      <w:r>
        <w:rPr>
          <w:rFonts w:ascii="Times New Roman" w:hAnsi="Times New Roman"/>
          <w:b w:val="false"/>
          <w:i w:val="false"/>
          <w:color w:val="000000"/>
          <w:sz w:val="24"/>
        </w:rPr>
        <w:t xml:space="preserve">Class A and Class B operators may transfer to other UST facilities in Iowa provided the operator is properly designated by the facility owner as a Class A or Class B operator according to </w:t>
      </w:r>
      <w:hyperlink r:id="rId263">
        <w:r>
          <w:rPr>
            <w:rStyle w:val="Hyperlink"/>
            <w:rFonts w:ascii="Times New Roman" w:hAnsi="Times New Roman"/>
            <w:b w:val="false"/>
            <w:i w:val="false"/>
            <w:color w:val="000000"/>
            <w:sz w:val="24"/>
          </w:rPr>
          <w:t>567—subrule 135.4(11)</w:t>
        </w:r>
      </w:hyperlink>
      <w:r>
        <w:rPr>
          <w:rFonts w:ascii="Times New Roman" w:hAnsi="Times New Roman"/>
          <w:b w:val="false"/>
          <w:i w:val="false"/>
          <w:color w:val="000000"/>
          <w:sz w:val="24"/>
        </w:rPr>
        <w:t>. Class A and Class B operators transferring from other states shall seek prior approval of training qualifications, unless the department has preapproved the out-of-state program as substantially equivalent to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135.4(10)</w:t>
      </w:r>
      <w:r>
        <w:rPr>
          <w:rFonts w:ascii="Times New Roman" w:hAnsi="Times New Roman"/>
          <w:b w:val="false"/>
          <w:i w:val="false"/>
          <w:color w:val="000000"/>
          <w:sz w:val="24"/>
        </w:rPr>
        <w:t> </w:t>
      </w:r>
      <w:r>
        <w:rPr>
          <w:rFonts w:ascii="Times New Roman" w:hAnsi="Times New Roman"/>
          <w:b w:val="false"/>
          <w:i/>
          <w:color w:val="000000"/>
          <w:sz w:val="24"/>
        </w:rPr>
        <w:t xml:space="preserve">Timing of UST operator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owner shall ensure that Class A, Class B, and Class C operators are trained by approved training providers before an operator assumes duties of that class of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Class A or Class B operator is replaced, a new operator must be trained prior to assuming duties for that class of operator. A copy of the certificate of training must be submitted to the department within 30 days of assuming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Class C operators must be trained before assuming the duties of a Class C operator. Written basic operating instructions, emergency contact names and telephone numbers, and basic procedures specific to the facility shall be provided to all Class C operators and readily available on site. A Class C operator may be briefed on these procedures concurrent with annual safety training required under Occupational Safety and Health Administration regulations, </w:t>
      </w:r>
      <w:r>
        <w:rPr>
          <w:rFonts w:ascii="Times New Roman" w:hAnsi="Times New Roman"/>
          <w:b w:val="false"/>
          <w:i w:val="false"/>
          <w:color w:val="000000"/>
          <w:sz w:val="24"/>
        </w:rPr>
        <w:t>29 CFR, Part 1910</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135.4(11)</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operator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of an underground storage tank facility shall maintain a list of designated operators. The list shall be made available to the department in accordance with </w:t>
      </w:r>
      <w:hyperlink r:id="rId264">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The list shall represent the current Class A, Class B and Class C operators for the UST facility and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each operator and the operator’s class(es); contact information for Class A and Class B operators; the date each operator successfully completed initial training and refresher training, if any; the name of the company providing the training; and the name of the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all classes of operators, the site(s) for which an operator is responsible if more than one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certificates of training for Class A and Class B operators shall be on file and readily available for inspection in accordance with </w:t>
      </w:r>
      <w:hyperlink r:id="rId265">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Records verifying completion of training or retraining of Class A, Class B, and Class C operators must identify name of trainee, date trained, operator training class completed, and list the name of the trainer or examiner and the training company name, address, and telephone number. Owners and operators must maintain these records for as long as Class A, Class B, and Class C operators are designated.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certificates of training for Class B and Class C operators shall be available at each facility for which the operator is responsible.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135.4(12)</w:t>
      </w:r>
      <w:r>
        <w:rPr>
          <w:rFonts w:ascii="Times New Roman" w:hAnsi="Times New Roman"/>
          <w:b w:val="false"/>
          <w:i w:val="false"/>
          <w:color w:val="000000"/>
          <w:sz w:val="24"/>
        </w:rPr>
        <w:t> </w:t>
      </w:r>
      <w:r>
        <w:rPr>
          <w:rFonts w:ascii="Times New Roman" w:hAnsi="Times New Roman"/>
          <w:b w:val="false"/>
          <w:i/>
          <w:color w:val="000000"/>
          <w:sz w:val="24"/>
        </w:rPr>
        <w:t xml:space="preserve">Periodic testing of spill prevention equipment and containment sumps used for interstitial monitoring of piping and periodic inspection of overfill prevention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and operators of UST systems with spill and overfill prevention equipment and containment sumps used for interstitial monitoring of piping must meet these requirements to ensure the equipment is operating properly and will prevent releases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Spill prevention equipment (such as a catchment basin, spill bucket, or other spill containment device) and containment sumps used for interstitial monitoring of piping must prevent releases to the environment by meeting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equipment is double walled and the integrity of both walls is periodically monitored at a frequency of not less than the frequency of the walkthrough inspections described in </w:t>
      </w:r>
      <w:hyperlink r:id="rId266">
        <w:r>
          <w:rPr>
            <w:rStyle w:val="Hyperlink"/>
            <w:rFonts w:ascii="Times New Roman" w:hAnsi="Times New Roman"/>
            <w:b w:val="false"/>
            <w:i w:val="false"/>
            <w:color w:val="000000"/>
            <w:sz w:val="24"/>
          </w:rPr>
          <w:t>135.4(13)</w:t>
        </w:r>
      </w:hyperlink>
      <w:r>
        <w:rPr>
          <w:rFonts w:ascii="Times New Roman" w:hAnsi="Times New Roman"/>
          <w:b w:val="false"/>
          <w:i w:val="false"/>
          <w:color w:val="000000"/>
          <w:sz w:val="24"/>
        </w:rPr>
        <w:t xml:space="preserve">. If owners and operators discontinue periodic monitoring of this equipment, they must begin meeting </w:t>
      </w:r>
      <w:hyperlink r:id="rId267">
        <w:r>
          <w:rPr>
            <w:rStyle w:val="Hyperlink"/>
            <w:rFonts w:ascii="Times New Roman" w:hAnsi="Times New Roman"/>
            <w:b w:val="false"/>
            <w:i w:val="false"/>
            <w:color w:val="000000"/>
            <w:sz w:val="24"/>
          </w:rPr>
          <w:t>135.4(12)</w:t>
        </w:r>
      </w:hyperlink>
      <w:r>
        <w:rPr>
          <w:rFonts w:ascii="Times New Roman" w:hAnsi="Times New Roman"/>
          <w:b w:val="false"/>
          <w:i/>
          <w:color w:val="000000"/>
          <w:sz w:val="24"/>
        </w:rPr>
        <w:t>“a”</w:t>
      </w:r>
      <w:r>
        <w:rPr>
          <w:rFonts w:ascii="Times New Roman" w:hAnsi="Times New Roman"/>
          <w:b w:val="false"/>
          <w:i w:val="false"/>
          <w:color w:val="000000"/>
          <w:sz w:val="24"/>
        </w:rPr>
        <w:t>(1)“2” and conduct a test within 30 days of discontinuing periodic monitoring of this equipment;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spill prevention equipment and containment sumps used for interstitial monitoring of piping are tested at least once every three years to ensure the equipment is liquid tight by using vacuum, pressure, or liquid testing in accordance with one of the following criteria: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Requirements developed by the manufacturer (Note: Owners and operators may use this option only if the manufacturer has developed requirements);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code of practice developed by a nationally recognized association or independent testing laboratory;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Requirements determined by the department to be no less protective of human health and the environment than the requirements listed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Overfill prevention equipment must be inspected at least once every three years. At a minimum, the inspection must ensure that overfill prevention equipment is set to activate at the correct level specified in </w:t>
      </w:r>
      <w:hyperlink r:id="rId268">
        <w:r>
          <w:rPr>
            <w:rStyle w:val="Hyperlink"/>
            <w:rFonts w:ascii="Times New Roman" w:hAnsi="Times New Roman"/>
            <w:b w:val="false"/>
            <w:i w:val="false"/>
            <w:color w:val="000000"/>
            <w:sz w:val="24"/>
          </w:rPr>
          <w:t>135.3(1)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will activate when regulated substance reaches that level. Inspections must be conducted in accordance with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Requirements developed by the manufacturer (Note: Owners and operators may use this option only if the manufacturer has developed requirements);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code of practice developed by a nationally recognized association or independent testing laboratory;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Requirements determined by the department to be no less protective of human health and the environment than the requirements listed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begin meeting these requirements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UST systems in use on or before June 23, 2021, the initial spill prevention equipment test and overfill prevention equipment inspection must be conducted not later than October 13,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UST systems brought into use after June 23, 2021, these requirements apply at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maintain records as follows for spill prevention equipment and overfill prevention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records of testing or inspection must be maintained for three years;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spill prevention equipment and containment sumps used for interstitial monitoring of piping not tested every three years, documentation showing that the prevention equipment is double-walled and the integrity of both walls is periodically monitored must be maintained for as long as the equipment is periodically monitored.</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 of practice referenced in 40 CFR 280.35(a)(2) may be used to comply with this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135.4(13)</w:t>
      </w:r>
      <w:r>
        <w:rPr>
          <w:rFonts w:ascii="Times New Roman" w:hAnsi="Times New Roman"/>
          <w:b w:val="false"/>
          <w:i w:val="false"/>
          <w:color w:val="000000"/>
          <w:sz w:val="24"/>
        </w:rPr>
        <w:t> </w:t>
      </w:r>
      <w:r>
        <w:rPr>
          <w:rFonts w:ascii="Times New Roman" w:hAnsi="Times New Roman"/>
          <w:b w:val="false"/>
          <w:i/>
          <w:color w:val="000000"/>
          <w:sz w:val="24"/>
        </w:rPr>
        <w:t xml:space="preserve">Periodic operation and maintenance walkthrough inspections. </w:t>
      </w:r>
      <w:r>
        <w:rPr>
          <w:rFonts w:ascii="Times New Roman" w:hAnsi="Times New Roman"/>
          <w:b w:val="false"/>
          <w:i w:val="false"/>
          <w:color w:val="000000"/>
          <w:sz w:val="24"/>
        </w:rPr>
        <w:t>Conduct inspections to properly operate and maintain UST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Conduct a walkthrough inspection every 30 days that, at a minimum, checks the following equipment as specified below (Exception: spill prevention equipment at UST systems receiving deliveries at intervals greater than every 30 days may be checked prior to each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Spill prevention equipment: visually check for damage; remove liquid or debris; check for and remove obstructions in the fill pipe; check the fill cap to make sure it attaches securely on the fill pipe and gasket is in good condition; and, for double-walled spill prevention equipment with interstitial monitoring, check for a leak in the interstitial area,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Release detection equipment: check to make sure the release detection equipment is operating with no alarms or other unusual operating conditions present, and ensure records of release detection testing are reviewed and current.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Conduct a walkthrough inspection annually, at a minimum, checking the following equipment as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Containment sumps: visually check for damage, leaks to the containment area, or releases to the environment; remove liquid (in contained sumps) or debris; and, for double-walled sumps with interstitial monitoring, check for a leak in the interstitial area,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Handheld release detection equipment: check devices such as tank gauge sticks or groundwater bailers for operability and serviceability;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Conduct operation and maintenance walkthrough inspections according to a standard code of practice developed by a nationally recognized association or independent testing laboratory that checks equipment comparable to </w:t>
      </w:r>
      <w:hyperlink r:id="rId269">
        <w:r>
          <w:rPr>
            <w:rStyle w:val="Hyperlink"/>
            <w:rFonts w:ascii="Times New Roman" w:hAnsi="Times New Roman"/>
            <w:b w:val="false"/>
            <w:i w:val="false"/>
            <w:color w:val="000000"/>
            <w:sz w:val="24"/>
          </w:rPr>
          <w:t>135.4(13)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regarding </w:t>
      </w:r>
      <w:hyperlink r:id="rId270">
        <w:r>
          <w:rPr>
            <w:rStyle w:val="Hyperlink"/>
            <w:rFonts w:ascii="Times New Roman" w:hAnsi="Times New Roman"/>
            <w:b w:val="false"/>
            <w:i w:val="false"/>
            <w:color w:val="000000"/>
            <w:sz w:val="24"/>
          </w:rPr>
          <w:t>135.4(13)</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code of practice referenced in 40 CFR 280.36(a)(2) may be used to comply with </w:t>
      </w:r>
      <w:hyperlink r:id="rId271">
        <w:r>
          <w:rPr>
            <w:rStyle w:val="Hyperlink"/>
            <w:rFonts w:ascii="Times New Roman" w:hAnsi="Times New Roman"/>
            <w:b w:val="false"/>
            <w:i w:val="false"/>
            <w:color w:val="000000"/>
            <w:sz w:val="24"/>
          </w:rPr>
          <w:t>135.4(13)</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Conduct operation and maintenance walkthrough inspections developed by the department that checks equipment comparable to </w:t>
      </w:r>
      <w:hyperlink r:id="rId272">
        <w:r>
          <w:rPr>
            <w:rStyle w:val="Hyperlink"/>
            <w:rFonts w:ascii="Times New Roman" w:hAnsi="Times New Roman"/>
            <w:b w:val="false"/>
            <w:i w:val="false"/>
            <w:color w:val="000000"/>
            <w:sz w:val="24"/>
          </w:rPr>
          <w:t>135.4(13)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maintain records (in accordance with </w:t>
      </w:r>
      <w:hyperlink r:id="rId273">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of operation and maintenance walkthrough inspections for 12 consecutive months. Records must include a list of each area checked, whether each area checked was acceptable or needed action taken, a description of actions taken to correct an issue, and delivery records if spill prevention equipment is checked less frequently than every 30 days due to infrequent deliveries.</w:t>
      </w:r>
    </w:p>
    <w:p>
      <w:pPr>
        <w:spacing w:before="0" w:after="0" w:line="480"/>
        <w:ind w:left="120"/>
        <w:jc w:val="both"/>
      </w:pPr>
      <w:r>
        <w:rPr>
          <w:rFonts w:ascii="Times New Roman" w:hAnsi="Times New Roman"/>
          <w:b/>
          <w:i w:val="false"/>
          <w:color w:val="000000"/>
          <w:sz w:val="24"/>
        </w:rPr>
        <w:t>567—135.5</w:t>
      </w:r>
      <w:r>
        <w:rPr>
          <w:rFonts w:ascii="Times New Roman" w:hAnsi="Times New Roman"/>
          <w:b/>
          <w:i w:val="false"/>
          <w:color w:val="000000"/>
          <w:sz w:val="24"/>
        </w:rPr>
        <w:t xml:space="preserve">(455B) </w:t>
      </w:r>
      <w:r>
        <w:rPr>
          <w:rFonts w:ascii="Times New Roman" w:hAnsi="Times New Roman"/>
          <w:b/>
          <w:i w:val="false"/>
          <w:color w:val="000000"/>
          <w:sz w:val="24"/>
        </w:rPr>
        <w:t xml:space="preserve">Release detection.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for all UST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and operators of UST systems must provide a method, or combination of methods, of release detection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Can detect a release from any portion of the tank and the connected underground piping that routinely contains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installed and calibrated in accordance with the manufacturer’s instructions, including routine maintenance and service checks for operability or running condition;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Beginning October 13, 2021, is operated and maintained, and electronic and mechanical components are tested for proper operation, in accordance with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Manufacturer’s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code of practice developed by a nationally recognized association or independent testing laboratory;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Requirements determined by the department to be no less protective of human health and the environment than the two options listed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test of the proper operation must be performed at least annually and, at a minimum, as applicable to the facility, cover the following components and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Automatic tank gauge and other controllers: test alarm, verify system configuration, test battery backup;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Probes and sensors: inspect for residual buildup, ensure floats move freely, ensure shaft is not damaged, ensure cables are free of kinks and breaks, test alarm operability or running condition and communication with controller;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Automatic line leak detector: test operation to meet criteria in </w:t>
      </w:r>
      <w:hyperlink r:id="rId274">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r>
        <w:rPr>
          <w:rFonts w:ascii="Times New Roman" w:hAnsi="Times New Roman"/>
          <w:b w:val="false"/>
          <w:i w:val="false"/>
          <w:color w:val="000000"/>
          <w:sz w:val="24"/>
        </w:rPr>
        <w:t xml:space="preserve"> by simulating a leak;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Vacuum pumps and pressure gauges: ensure proper communication with sensors and controller;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Handheld electronic sampling equipment associated with groundwater and vapor monitoring: ensure proper operation.</w:t>
      </w:r>
    </w:p>
    <w:p>
      <w:pPr>
        <w:spacing w:before="0" w:after="0" w:line="480"/>
        <w:ind w:left="120"/>
        <w:jc w:val="both"/>
      </w:pPr>
      <w:r>
        <w:rPr>
          <w:rFonts w:ascii="Times New Roman" w:hAnsi="Times New Roman"/>
          <w:b w:val="false"/>
          <w:i w:val="false"/>
          <w:color w:val="000000"/>
          <w:sz w:val="24"/>
        </w:rPr>
        <w:t xml:space="preserve">The code of practice referenced in </w:t>
      </w:r>
      <w:r>
        <w:rPr>
          <w:rFonts w:ascii="Times New Roman" w:hAnsi="Times New Roman"/>
          <w:b w:val="false"/>
          <w:i w:val="false"/>
          <w:color w:val="000000"/>
          <w:sz w:val="24"/>
        </w:rPr>
        <w:t>40 CFR 280.40(a)</w:t>
      </w:r>
      <w:r>
        <w:rPr>
          <w:rFonts w:ascii="Times New Roman" w:hAnsi="Times New Roman"/>
          <w:b w:val="false"/>
          <w:i w:val="false"/>
          <w:color w:val="000000"/>
          <w:sz w:val="24"/>
        </w:rPr>
        <w:t xml:space="preserve">(3) may be used to comply with </w:t>
      </w:r>
      <w:hyperlink r:id="rId275">
        <w:r>
          <w:rPr>
            <w:rStyle w:val="Hyperlink"/>
            <w:rFonts w:ascii="Times New Roman" w:hAnsi="Times New Roman"/>
            <w:b w:val="false"/>
            <w:i w:val="false"/>
            <w:color w:val="000000"/>
            <w:sz w:val="24"/>
          </w:rPr>
          <w:t>135.5(1)</w:t>
        </w:r>
      </w:hyperlink>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color w:val="000000"/>
          <w:sz w:val="24"/>
        </w:rPr>
        <w:t>“a”</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Meets the performance requirements in </w:t>
      </w:r>
      <w:hyperlink r:id="rId276">
        <w:r>
          <w:rPr>
            <w:rStyle w:val="Hyperlink"/>
            <w:rFonts w:ascii="Times New Roman" w:hAnsi="Times New Roman"/>
            <w:b w:val="false"/>
            <w:i w:val="false"/>
            <w:color w:val="000000"/>
            <w:sz w:val="24"/>
          </w:rPr>
          <w:t>135.5(4)</w:t>
        </w:r>
      </w:hyperlink>
      <w:r>
        <w:rPr>
          <w:rFonts w:ascii="Times New Roman" w:hAnsi="Times New Roman"/>
          <w:b w:val="false"/>
          <w:i w:val="false"/>
          <w:color w:val="000000"/>
          <w:sz w:val="24"/>
        </w:rPr>
        <w:t xml:space="preserve"> or </w:t>
      </w:r>
      <w:hyperlink r:id="rId277">
        <w:r>
          <w:rPr>
            <w:rStyle w:val="Hyperlink"/>
            <w:rFonts w:ascii="Times New Roman" w:hAnsi="Times New Roman"/>
            <w:b w:val="false"/>
            <w:i w:val="false"/>
            <w:color w:val="000000"/>
            <w:sz w:val="24"/>
          </w:rPr>
          <w:t>135.5(5)</w:t>
        </w:r>
      </w:hyperlink>
      <w:r>
        <w:rPr>
          <w:rFonts w:ascii="Times New Roman" w:hAnsi="Times New Roman"/>
          <w:b w:val="false"/>
          <w:i w:val="false"/>
          <w:color w:val="000000"/>
          <w:sz w:val="24"/>
        </w:rPr>
        <w:t xml:space="preserve">, with any performance claims and their manner of determination described in writing by the equipment manufacturer or installer. In addition, methods conducted in accordance with </w:t>
      </w:r>
      <w:hyperlink r:id="rId27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xml:space="preserve"> and </w:t>
      </w:r>
      <w:hyperlink r:id="rId279">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must be capable of detecting the leak rate or quantity specified for that method with a probability of detection of 0.95 and a probability of false alarm of 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an owner and operator continually show the inability to conduct leak detection with the method being used, the department may require the owner and operator to find an alternative leak detection method.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Any UST system that cannot apply a method of release detection that complies with the requirements of this rule must complete the closure procedures in </w:t>
      </w:r>
      <w:hyperlink r:id="rId280">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For previously deferred UST systems described in </w:t>
      </w:r>
      <w:hyperlink r:id="rId281">
        <w:r>
          <w:rPr>
            <w:rStyle w:val="Hyperlink"/>
            <w:rFonts w:ascii="Times New Roman" w:hAnsi="Times New Roman"/>
            <w:b w:val="false"/>
            <w:i w:val="false"/>
            <w:color w:val="000000"/>
            <w:sz w:val="24"/>
          </w:rPr>
          <w:t>567—135.1</w:t>
        </w:r>
      </w:hyperlink>
      <w:r>
        <w:rPr>
          <w:rFonts w:ascii="Times New Roman" w:hAnsi="Times New Roman"/>
          <w:b w:val="false"/>
          <w:i w:val="false"/>
          <w:color w:val="000000"/>
          <w:sz w:val="24"/>
        </w:rPr>
        <w:t xml:space="preserve">(455B) and </w:t>
      </w:r>
      <w:hyperlink r:id="rId282">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 xml:space="preserve">(455B), this requirement applies after the effective dates described in </w:t>
      </w:r>
      <w:hyperlink r:id="rId283">
        <w:r>
          <w:rPr>
            <w:rStyle w:val="Hyperlink"/>
            <w:rFonts w:ascii="Times New Roman" w:hAnsi="Times New Roman"/>
            <w:b w:val="false"/>
            <w:i w:val="false"/>
            <w:color w:val="000000"/>
            <w:sz w:val="24"/>
          </w:rPr>
          <w:t>135.1(3)</w:t>
        </w:r>
      </w:hyperlink>
      <w:r>
        <w:rPr>
          <w:rFonts w:ascii="Times New Roman" w:hAnsi="Times New Roman"/>
          <w:b w:val="false"/>
          <w:i w:val="false"/>
          <w:color w:val="000000"/>
          <w:sz w:val="24"/>
        </w:rPr>
        <w:t xml:space="preserve"> and </w:t>
      </w:r>
      <w:hyperlink r:id="rId284">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UST facility that uses pressurized piping and dispenses product in the absence of a Class A, B, or C operator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 automatic line leak detectors that do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Shut down the submersible pump when a leak is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Restrict the flow of product when a leak is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Trigger an audible or visual alarm when a leak is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At facilities implementing </w:t>
      </w:r>
      <w:hyperlink r:id="rId285">
        <w:r>
          <w:rPr>
            <w:rStyle w:val="Hyperlink"/>
            <w:rFonts w:ascii="Times New Roman" w:hAnsi="Times New Roman"/>
            <w:b w:val="false"/>
            <w:i w:val="false"/>
            <w:color w:val="000000"/>
            <w:sz w:val="24"/>
          </w:rPr>
          <w:t>135.5(1)</w:t>
        </w:r>
        <w:r>
          <w:rPr>
            <w:rFonts w:ascii="Times New Roman" w:hAnsi="Times New Roman"/>
            <w:b w:val="false"/>
            <w:i/>
            <w:color w:val="000000"/>
            <w:sz w:val="24"/>
          </w:rPr>
          <w:t>“d”</w:t>
        </w:r>
        <w:r>
          <w:rPr>
            <w:rFonts w:ascii="Times New Roman" w:hAnsi="Times New Roman"/>
            <w:b w:val="false"/>
            <w:i w:val="false"/>
            <w:color w:val="000000"/>
            <w:sz w:val="24"/>
          </w:rPr>
          <w:t>(1)</w:t>
        </w:r>
      </w:hyperlink>
      <w:r>
        <w:rPr>
          <w:rFonts w:ascii="Times New Roman" w:hAnsi="Times New Roman"/>
          <w:b w:val="false"/>
          <w:i w:val="false"/>
          <w:color w:val="000000"/>
          <w:sz w:val="24"/>
        </w:rPr>
        <w:t>“2” or “3,” the facility’s operator shall be notified or shall conduct a visit through one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Notification of the Class B operator by immediate electronic communication.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approved emergency procedures sign shall be posted in a conspicuous location and shall read:</w:t>
      </w:r>
    </w:p>
    <w:p>
      <w:pPr>
        <w:spacing w:before="0" w:after="0" w:line="480"/>
        <w:ind w:left="120"/>
        <w:jc w:val="both"/>
      </w:pPr>
      <w:r>
        <w:rPr>
          <w:rFonts w:ascii="Times New Roman" w:hAnsi="Times New Roman"/>
          <w:b w:val="false"/>
          <w:i w:val="false"/>
          <w:color w:val="000000"/>
          <w:sz w:val="24"/>
        </w:rPr>
        <w:t>IN CASE OF FIRE, SPILL OR RELEASE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USE EMERGENCY PUMP SHUTOFF</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REPORT THE ACCIDENT!</w:t>
      </w:r>
    </w:p>
    <w:p>
      <w:pPr>
        <w:spacing w:before="0" w:after="0" w:line="480"/>
        <w:ind w:left="120"/>
        <w:jc w:val="both"/>
      </w:pPr>
      <w:r>
        <w:rPr>
          <w:rFonts w:ascii="Times New Roman" w:hAnsi="Times New Roman"/>
          <w:b w:val="false"/>
          <w:i w:val="false"/>
          <w:color w:val="000000"/>
          <w:sz w:val="24"/>
        </w:rPr>
        <w:t>FIRE DEPARTMENT TELEPHONE NO.___________</w:t>
      </w:r>
    </w:p>
    <w:p>
      <w:pPr>
        <w:spacing w:before="0" w:after="0" w:line="480"/>
        <w:ind w:left="120"/>
        <w:jc w:val="both"/>
      </w:pPr>
      <w:r>
        <w:rPr>
          <w:rFonts w:ascii="Times New Roman" w:hAnsi="Times New Roman"/>
          <w:b w:val="false"/>
          <w:i w:val="false"/>
          <w:color w:val="000000"/>
          <w:sz w:val="24"/>
        </w:rPr>
        <w:t>FACILITY ADDRESS &amp; PHONE NUMBER___________</w:t>
      </w:r>
    </w:p>
    <w:p>
      <w:pPr>
        <w:spacing w:before="0" w:after="0" w:line="480"/>
        <w:ind w:left="120"/>
        <w:jc w:val="both"/>
      </w:pPr>
      <w:r>
        <w:rPr>
          <w:rFonts w:ascii="Times New Roman" w:hAnsi="Times New Roman"/>
          <w:b w:val="false"/>
          <w:i w:val="false"/>
          <w:color w:val="000000"/>
          <w:sz w:val="24"/>
        </w:rPr>
        <w:t>IN THE EVENT OF AN ALARM OR SLOW FLOW, CONTACT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Daily visit to the site by a Class A, B, or C operator or designee. Visits shall include observation of every automatic line leak detector for shutdown, alarm, or restricted flow conditions. Methods of observing for restricted flow conditions may include dispensing product into a proper container or personal vehicle, observing a customer dispense product into a vehicle, or another method approved by the department. Owners and operators shall maintain an onsite log of site visits to demonstrate compliance with this provision. The log shall include the name of the observer and method used to observe the status of the automatic line leak detectors.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All UST facilities subject to </w:t>
      </w:r>
      <w:hyperlink r:id="rId286">
        <w:r>
          <w:rPr>
            <w:rStyle w:val="Hyperlink"/>
            <w:rFonts w:ascii="Times New Roman" w:hAnsi="Times New Roman"/>
            <w:b w:val="false"/>
            <w:i w:val="false"/>
            <w:color w:val="000000"/>
            <w:sz w:val="24"/>
          </w:rPr>
          <w:t>135.5(1)</w:t>
        </w:r>
        <w:r>
          <w:rPr>
            <w:rFonts w:ascii="Times New Roman" w:hAnsi="Times New Roman"/>
            <w:b w:val="false"/>
            <w:i/>
            <w:color w:val="000000"/>
            <w:sz w:val="24"/>
          </w:rPr>
          <w:t>“d”</w:t>
        </w:r>
      </w:hyperlink>
      <w:r>
        <w:rPr>
          <w:rFonts w:ascii="Times New Roman" w:hAnsi="Times New Roman"/>
          <w:b w:val="false"/>
          <w:i w:val="false"/>
          <w:color w:val="000000"/>
          <w:sz w:val="24"/>
        </w:rPr>
        <w:t xml:space="preserve"> must comply with its provisions by July 1,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135.5(2)</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petroleum UST systems. </w:t>
      </w:r>
      <w:r>
        <w:rPr>
          <w:rFonts w:ascii="Times New Roman" w:hAnsi="Times New Roman"/>
          <w:b w:val="false"/>
          <w:i w:val="false"/>
          <w:color w:val="000000"/>
          <w:sz w:val="24"/>
        </w:rPr>
        <w:t>Owners and operators of petroleum UST systems must provide release detection for tanks and piping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Tanks. </w:t>
      </w:r>
      <w:r>
        <w:rPr>
          <w:rFonts w:ascii="Times New Roman" w:hAnsi="Times New Roman"/>
          <w:b w:val="false"/>
          <w:i w:val="false"/>
          <w:color w:val="000000"/>
          <w:sz w:val="24"/>
        </w:rPr>
        <w:t xml:space="preserve">Tanks must be monitored at least every 30 days for releases using one of the methods listed in </w:t>
      </w:r>
      <w:hyperlink r:id="rId287">
        <w:r>
          <w:rPr>
            <w:rStyle w:val="Hyperlink"/>
            <w:rFonts w:ascii="Times New Roman" w:hAnsi="Times New Roman"/>
            <w:b w:val="false"/>
            <w:i w:val="false"/>
            <w:color w:val="000000"/>
            <w:sz w:val="24"/>
          </w:rPr>
          <w:t>135.5(4)</w:t>
        </w:r>
      </w:hyperlink>
      <w:r>
        <w:rPr>
          <w:rFonts w:ascii="Times New Roman" w:hAnsi="Times New Roman"/>
          <w:b w:val="false"/>
          <w:i/>
          <w:color w:val="000000"/>
          <w:sz w:val="24"/>
        </w:rPr>
        <w:t>“d”</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xml:space="preserve"> except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Tanks installed after November 28, 2007, must use interstitial monitoring of the secondary containment as the primary leak detection method in accordance with </w:t>
      </w:r>
      <w:hyperlink r:id="rId28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Tanks installed on or before November 28, 2007, with capacity of 550 gallons or less and tanks with a capacity of 551 to 1,000 gallons that meet the tank diameter criteria in </w:t>
      </w:r>
      <w:hyperlink r:id="rId289">
        <w:r>
          <w:rPr>
            <w:rStyle w:val="Hyperlink"/>
            <w:rFonts w:ascii="Times New Roman" w:hAnsi="Times New Roman"/>
            <w:b w:val="false"/>
            <w:i w:val="false"/>
            <w:color w:val="000000"/>
            <w:sz w:val="24"/>
          </w:rPr>
          <w:t>135.5(4)</w:t>
        </w:r>
      </w:hyperlink>
      <w:r>
        <w:rPr>
          <w:rFonts w:ascii="Times New Roman" w:hAnsi="Times New Roman"/>
          <w:b w:val="false"/>
          <w:i/>
          <w:color w:val="000000"/>
          <w:sz w:val="24"/>
        </w:rPr>
        <w:t>“b”</w:t>
      </w:r>
      <w:r>
        <w:rPr>
          <w:rFonts w:ascii="Times New Roman" w:hAnsi="Times New Roman"/>
          <w:b w:val="false"/>
          <w:i w:val="false"/>
          <w:color w:val="000000"/>
          <w:sz w:val="24"/>
        </w:rPr>
        <w:t xml:space="preserve"> may use manual tank gauging (conducted in accordance with </w:t>
      </w:r>
      <w:hyperlink r:id="rId290">
        <w:r>
          <w:rPr>
            <w:rStyle w:val="Hyperlink"/>
            <w:rFonts w:ascii="Times New Roman" w:hAnsi="Times New Roman"/>
            <w:b w:val="false"/>
            <w:i w:val="false"/>
            <w:color w:val="000000"/>
            <w:sz w:val="24"/>
          </w:rPr>
          <w:t>135.5(4)</w:t>
        </w:r>
      </w:hyperlink>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Piping. </w:t>
      </w:r>
      <w:r>
        <w:rPr>
          <w:rFonts w:ascii="Times New Roman" w:hAnsi="Times New Roman"/>
          <w:b w:val="false"/>
          <w:i w:val="false"/>
          <w:color w:val="000000"/>
          <w:sz w:val="24"/>
        </w:rPr>
        <w:t>Underground piping that routinely contains regulated substances must be monitored for releases in a manner that meets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Pressurized piping. Underground piping that conveys regulated substances under pressure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Be equipped with an automatic line leak detector conducted in accordance with </w:t>
      </w:r>
      <w:hyperlink r:id="rId291">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Have an annual line tightness test conducted in accordance with </w:t>
      </w:r>
      <w:hyperlink r:id="rId292">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or have monthly monitoring conducted in accordance with </w:t>
      </w:r>
      <w:hyperlink r:id="rId293">
        <w:r>
          <w:rPr>
            <w:rStyle w:val="Hyperlink"/>
            <w:rFonts w:ascii="Times New Roman" w:hAnsi="Times New Roman"/>
            <w:b w:val="false"/>
            <w:i w:val="false"/>
            <w:color w:val="000000"/>
            <w:sz w:val="24"/>
          </w:rPr>
          <w:t>135.5(5)</w:t>
        </w:r>
      </w:hyperlink>
      <w:r>
        <w:rPr>
          <w:rFonts w:ascii="Times New Roman" w:hAnsi="Times New Roman"/>
          <w:b w:val="false"/>
          <w:i/>
          <w:color w:val="000000"/>
          <w:sz w:val="24"/>
        </w:rPr>
        <w:t>“c.”</w:t>
      </w:r>
      <w:r>
        <w:rPr>
          <w:rFonts w:ascii="Times New Roman" w:hAnsi="Times New Roman"/>
          <w:b w:val="false"/>
          <w:i w:val="false"/>
          <w:color w:val="000000"/>
          <w:sz w:val="24"/>
        </w:rPr>
        <w:t xml:space="preserve"> Piping installed after November 28, 2007, must use interstitial monitoring of the piping secondary containment in accordance with </w:t>
      </w:r>
      <w:hyperlink r:id="rId294">
        <w:r>
          <w:rPr>
            <w:rStyle w:val="Hyperlink"/>
            <w:rFonts w:ascii="Times New Roman" w:hAnsi="Times New Roman"/>
            <w:b w:val="false"/>
            <w:i w:val="false"/>
            <w:color w:val="000000"/>
            <w:sz w:val="24"/>
          </w:rPr>
          <w:t>135.5(5)</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Suction piping. Underground piping that conveys regulated substances under suction must either have a line tightness test conducted at least every three years and in accordance with </w:t>
      </w:r>
      <w:hyperlink r:id="rId295">
        <w:r>
          <w:rPr>
            <w:rStyle w:val="Hyperlink"/>
            <w:rFonts w:ascii="Times New Roman" w:hAnsi="Times New Roman"/>
            <w:b w:val="false"/>
            <w:i w:val="false"/>
            <w:color w:val="000000"/>
            <w:sz w:val="24"/>
          </w:rPr>
          <w:t>135.5(5)</w:t>
        </w:r>
        <w:r>
          <w:rPr>
            <w:rFonts w:ascii="Times New Roman" w:hAnsi="Times New Roman"/>
            <w:b w:val="false"/>
            <w:i/>
            <w:color w:val="000000"/>
            <w:sz w:val="24"/>
          </w:rPr>
          <w:t>“b,”</w:t>
        </w:r>
      </w:hyperlink>
      <w:r>
        <w:rPr>
          <w:rFonts w:ascii="Times New Roman" w:hAnsi="Times New Roman"/>
          <w:b w:val="false"/>
          <w:i w:val="false"/>
          <w:color w:val="000000"/>
          <w:sz w:val="24"/>
        </w:rPr>
        <w:t xml:space="preserve"> or use a monthly monitoring method conducted in accordance with </w:t>
      </w:r>
      <w:hyperlink r:id="rId296">
        <w:r>
          <w:rPr>
            <w:rStyle w:val="Hyperlink"/>
            <w:rFonts w:ascii="Times New Roman" w:hAnsi="Times New Roman"/>
            <w:b w:val="false"/>
            <w:i w:val="false"/>
            <w:color w:val="000000"/>
            <w:sz w:val="24"/>
          </w:rPr>
          <w:t>135.5(5)</w:t>
        </w:r>
      </w:hyperlink>
      <w:r>
        <w:rPr>
          <w:rFonts w:ascii="Times New Roman" w:hAnsi="Times New Roman"/>
          <w:b w:val="false"/>
          <w:i/>
          <w:color w:val="000000"/>
          <w:sz w:val="24"/>
        </w:rPr>
        <w:t>“c.”</w:t>
      </w:r>
      <w:r>
        <w:rPr>
          <w:rFonts w:ascii="Times New Roman" w:hAnsi="Times New Roman"/>
          <w:b w:val="false"/>
          <w:i w:val="false"/>
          <w:color w:val="000000"/>
          <w:sz w:val="24"/>
        </w:rPr>
        <w:t xml:space="preserve"> Remote fill is considered suction piping. No release detection is required for suction piping that is designed and constructed to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below-grade piping operates at less than atmospheric pressure;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below-grade piping is sloped so that the contents of the pipe will drain back into the storage tank if the suction is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Only one check valve is included in each suction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check valve is located directly below and as close as practical to the suction pump;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method is provided that allows compliance with “2” through “4” to be readily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Piping installed or replaced must meet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Pressurized piping must be monitored for releases at least every 30 days in accordance with </w:t>
      </w:r>
      <w:hyperlink r:id="rId297">
        <w:r>
          <w:rPr>
            <w:rStyle w:val="Hyperlink"/>
            <w:rFonts w:ascii="Times New Roman" w:hAnsi="Times New Roman"/>
            <w:b w:val="false"/>
            <w:i w:val="false"/>
            <w:color w:val="000000"/>
            <w:sz w:val="24"/>
          </w:rPr>
          <w:t>135.5(5)</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be equipped with an automatic line leak detector.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Suction piping must be monitored for releases at least every 30 days. No release detection is required for suction piping that meets </w:t>
      </w:r>
      <w:hyperlink r:id="rId298">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(2)“1” through “5.”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hazardous substance UST systems. </w:t>
      </w:r>
      <w:r>
        <w:rPr>
          <w:rFonts w:ascii="Times New Roman" w:hAnsi="Times New Roman"/>
          <w:b w:val="false"/>
          <w:i w:val="false"/>
          <w:color w:val="000000"/>
          <w:sz w:val="24"/>
        </w:rPr>
        <w:t xml:space="preserve">Owners and operators of hazardous substance UST systems must have containment that meets the following requirements and monitor these systems pursuant to </w:t>
      </w:r>
      <w:hyperlink r:id="rId299">
        <w:r>
          <w:rPr>
            <w:rStyle w:val="Hyperlink"/>
            <w:rFonts w:ascii="Times New Roman" w:hAnsi="Times New Roman"/>
            <w:b w:val="false"/>
            <w:i w:val="false"/>
            <w:color w:val="000000"/>
            <w:sz w:val="24"/>
          </w:rPr>
          <w:t>135.5(4)</w:t>
        </w:r>
      </w:hyperlink>
      <w:r>
        <w:rPr>
          <w:rFonts w:ascii="Times New Roman" w:hAnsi="Times New Roman"/>
          <w:b w:val="false"/>
          <w:i/>
          <w:color w:val="000000"/>
          <w:sz w:val="24"/>
        </w:rPr>
        <w:t>“g”</w:t>
      </w:r>
      <w:r>
        <w:rPr>
          <w:rFonts w:ascii="Times New Roman" w:hAnsi="Times New Roman"/>
          <w:b w:val="false"/>
          <w:i w:val="false"/>
          <w:color w:val="000000"/>
          <w:sz w:val="24"/>
        </w:rPr>
        <w:t xml:space="preserve"> at least every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Secondary containment systems must be designed, constructed and installed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regulated substances leaked from the primary containment until they are detected and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 the release of regulated substances to the environment at any time during the operational life of the UST system;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checked for evidence of a release at least every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Double-walled tanks must be designed, constructed, and installed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a leak from any portion of the inner tank within the outer wall;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Detect the failure of the inner wall.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External liners (including vaults) must be designed, constructed, and installed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100 percent of the capacity of the largest tank within its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 the interference of precipitation or groundwater intrusion with the ability to contain or detect a release of regulated substances;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Surround the tank completely (i.e., it is capable of preventing lateral as well as vertical migration of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Underground piping must be equipped with secondary containment that satisfies the requirements of this subrule (e.g., trench liners, jacketing of double-walled pipe). In addition, underground piping that conveys regulated substances under pressure must be equipped with an automatic line leak detector in accordance with </w:t>
      </w:r>
      <w:hyperlink r:id="rId300">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hazardous substance UST systems installed on or before November 28, 2007, other methods of release detection may be used if owners and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Demonstrate to the department that an alternate method can detect a release of the stored substance as effectively as any of the methods allowed in </w:t>
      </w:r>
      <w:hyperlink r:id="rId30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xml:space="preserve"> can detect a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information to the department on effective corrective action technologies, health risks, and chemical and physical properties of the stored substance, and the characteristics of the UST site;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Obtain approval from the department to use the alternate release detection method before the installation and operation of the new UST system.</w:t>
      </w:r>
    </w:p>
    <w:p>
      <w:pPr>
        <w:spacing w:before="0" w:after="0" w:line="480"/>
        <w:ind w:left="120"/>
        <w:jc w:val="both"/>
      </w:pPr>
      <w:r>
        <w:rPr>
          <w:rFonts w:ascii="Times New Roman" w:hAnsi="Times New Roman"/>
          <w:b/>
          <w:i w:val="false"/>
          <w:color w:val="000000"/>
          <w:sz w:val="24"/>
        </w:rPr>
        <w:t>135.5(4)</w:t>
      </w:r>
      <w:r>
        <w:rPr>
          <w:rFonts w:ascii="Times New Roman" w:hAnsi="Times New Roman"/>
          <w:b w:val="false"/>
          <w:i w:val="false"/>
          <w:color w:val="000000"/>
          <w:sz w:val="24"/>
        </w:rPr>
        <w:t> </w:t>
      </w:r>
      <w:r>
        <w:rPr>
          <w:rFonts w:ascii="Times New Roman" w:hAnsi="Times New Roman"/>
          <w:b w:val="false"/>
          <w:i/>
          <w:color w:val="000000"/>
          <w:sz w:val="24"/>
        </w:rPr>
        <w:t xml:space="preserve">Methods of release detection for tanks. </w:t>
      </w:r>
      <w:r>
        <w:rPr>
          <w:rFonts w:ascii="Times New Roman" w:hAnsi="Times New Roman"/>
          <w:b w:val="false"/>
          <w:i w:val="false"/>
          <w:color w:val="000000"/>
          <w:sz w:val="24"/>
        </w:rPr>
        <w:t xml:space="preserve">Each method of release detection for tanks used to meet the requirements of </w:t>
      </w:r>
      <w:hyperlink r:id="rId302">
        <w:r>
          <w:rPr>
            <w:rStyle w:val="Hyperlink"/>
            <w:rFonts w:ascii="Times New Roman" w:hAnsi="Times New Roman"/>
            <w:b w:val="false"/>
            <w:i w:val="false"/>
            <w:color w:val="000000"/>
            <w:sz w:val="24"/>
          </w:rPr>
          <w:t>135.5(2)</w:t>
        </w:r>
      </w:hyperlink>
      <w:r>
        <w:rPr>
          <w:rFonts w:ascii="Times New Roman" w:hAnsi="Times New Roman"/>
          <w:b w:val="false"/>
          <w:i w:val="false"/>
          <w:color w:val="000000"/>
          <w:sz w:val="24"/>
        </w:rPr>
        <w:t xml:space="preserve"> must be conducted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Inventory control. </w:t>
      </w:r>
      <w:r>
        <w:rPr>
          <w:rFonts w:ascii="Times New Roman" w:hAnsi="Times New Roman"/>
          <w:b w:val="false"/>
          <w:i w:val="false"/>
          <w:color w:val="000000"/>
          <w:sz w:val="24"/>
        </w:rPr>
        <w:t>Product inventory control (or another test of equivalent performance) must be conducted monthly to detect a release of at least 1.0 percent of flow-through plus 130 gallons on a monthly basis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Inventory volume measurements for regulated substance inputs, withdrawals, and the amount still remaining in the tank are recorded each operating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equipment used is capable of measuring the level of product over the full range of the tank’s height to the nearest 1/8 inch;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regulated substance inputs are reconciled with delivery receipts by measurement of the tank inventory volume before and after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Deliveries are made through a drop tube that extends to within one foot of the tank bottom;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Product dispensing is metered and recorded within the local standards for meter calibration or an accuracy of six cubic inches for every five gallons of product withdrawn;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measurement of any water level in the bottom of the tank is made to the nearest 1/8 inch at least once a month.</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Practices described in 40 CFR 280.43(a)(6) may be used, where applicable, as guidance in meeting the requirements of </w:t>
      </w:r>
      <w:hyperlink r:id="rId303">
        <w:r>
          <w:rPr>
            <w:rStyle w:val="Hyperlink"/>
            <w:rFonts w:ascii="Times New Roman" w:hAnsi="Times New Roman"/>
            <w:b w:val="false"/>
            <w:i w:val="false"/>
            <w:color w:val="000000"/>
            <w:sz w:val="24"/>
          </w:rPr>
          <w:t>135.5(4)</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(6).</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Manual tank gauging. </w:t>
      </w:r>
      <w:r>
        <w:rPr>
          <w:rFonts w:ascii="Times New Roman" w:hAnsi="Times New Roman"/>
          <w:b w:val="false"/>
          <w:i w:val="false"/>
          <w:color w:val="000000"/>
          <w:sz w:val="24"/>
        </w:rPr>
        <w:t>Manual tank gauging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Tank liquid level measurements are taken at the beginning and end of the test period during which no liquid is added to or removed from the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Level measurements are based on an average of two consecutive stick readings at both the beginning and ending of the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equipment is capable of measuring the level of product over the full range of the tank’s height to the nearest 1/8 inch;</w:t>
      </w:r>
    </w:p>
    <w:p>
      <w:pPr>
        <w:spacing w:before="0" w:after="0" w:line="480"/>
        <w:ind w:left="120"/>
        <w:jc w:val="both"/>
      </w:pP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release is suspected and subject to the requirements of </w:t>
      </w:r>
      <w:hyperlink r:id="rId304">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 if the variation between the beginning and ending measurements exceeds the weekly or monthly standards in the following table. Immediately contact the department if these standards are exceeded.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920"/>
        <w:gridCol w:w="1920"/>
        <w:gridCol w:w="1920"/>
      </w:tblGrid>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Minimum Duration </w:t>
            </w:r>
            <w:r>
              <w:br/>
            </w:r>
            <w:r>
              <w:rPr>
                <w:rFonts w:ascii="Times New Roman" w:hAnsi="Times New Roman"/>
                <w:b w:val="false"/>
                <w:i w:val="false"/>
                <w:color w:val="000000"/>
                <w:sz w:val="14"/>
              </w:rPr>
              <w:t>of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Weekly Standard </w:t>
            </w:r>
            <w:r>
              <w:br/>
            </w:r>
            <w:r>
              <w:rPr>
                <w:rFonts w:ascii="Times New Roman" w:hAnsi="Times New Roman"/>
                <w:b w:val="false"/>
                <w:i w:val="false"/>
                <w:color w:val="000000"/>
                <w:sz w:val="14"/>
              </w:rPr>
              <w:t>(one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Monthly Standard </w:t>
            </w:r>
            <w:r>
              <w:br/>
            </w:r>
            <w:r>
              <w:rPr>
                <w:rFonts w:ascii="Times New Roman" w:hAnsi="Times New Roman"/>
                <w:b w:val="false"/>
                <w:i w:val="false"/>
                <w:color w:val="000000"/>
                <w:sz w:val="14"/>
              </w:rPr>
              <w:t>(four-test average)</w:t>
            </w:r>
          </w:p>
        </w:tc>
      </w:tr>
      <w:tr>
        <w:trPr>
          <w:trHeight w:val="19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550 gallons or less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(when tank diameter is 64 inches)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(when tank diameter is 48 inches)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(also requires annual tank tightness testing)</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1,001-2,000 gallons </w:t>
            </w:r>
            <w:r>
              <w:br/>
            </w:r>
            <w:r>
              <w:rPr>
                <w:rFonts w:ascii="Times New Roman" w:hAnsi="Times New Roman"/>
                <w:b w:val="false"/>
                <w:i w:val="false"/>
                <w:color w:val="000000"/>
                <w:sz w:val="14"/>
              </w:rPr>
              <w:t>(also requires annual tank tightness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 gallons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Only those tanks of 550 gallons or less nominal capacity or tanks of 551 to 1,000 gallons nominal capacity with diameters of 64 inches or 48 inches may use this as the sole method of release detection. Other tanks of 551 to 2,000 gallons may use this method in place of inventory control in </w:t>
      </w:r>
      <w:hyperlink r:id="rId305">
        <w:r>
          <w:rPr>
            <w:rStyle w:val="Hyperlink"/>
            <w:rFonts w:ascii="Times New Roman" w:hAnsi="Times New Roman"/>
            <w:b w:val="false"/>
            <w:i w:val="false"/>
            <w:color w:val="000000"/>
            <w:sz w:val="24"/>
          </w:rPr>
          <w:t>135.5(4)</w:t>
        </w:r>
      </w:hyperlink>
      <w:r>
        <w:rPr>
          <w:rFonts w:ascii="Times New Roman" w:hAnsi="Times New Roman"/>
          <w:b w:val="false"/>
          <w:i/>
          <w:color w:val="000000"/>
          <w:sz w:val="24"/>
        </w:rPr>
        <w:t>“a.”</w:t>
      </w:r>
      <w:r>
        <w:rPr>
          <w:rFonts w:ascii="Times New Roman" w:hAnsi="Times New Roman"/>
          <w:b w:val="false"/>
          <w:i w:val="false"/>
          <w:color w:val="000000"/>
          <w:sz w:val="24"/>
        </w:rPr>
        <w:t xml:space="preserve"> Tanks of greater than 2,000 gallons nominal capacity may not use this method to meet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Tank tightness testing. </w:t>
      </w:r>
      <w:r>
        <w:rPr>
          <w:rFonts w:ascii="Times New Roman" w:hAnsi="Times New Roman"/>
          <w:b w:val="false"/>
          <w:i w:val="false"/>
          <w:color w:val="000000"/>
          <w:sz w:val="24"/>
        </w:rPr>
        <w:t>Tank tightness testing (or another test of equivalent performance) must be capable of detecting a 0.1 gallon-per-hour leak rate from any portion of the tank that routinely contains product while accounting for the effects of thermal expansion or contraction of the product, vapor pockets, tank deformation, evaporation or condensation, and the location of the water table.</w:t>
      </w:r>
    </w:p>
    <w:p>
      <w:pPr>
        <w:spacing w:before="0" w:after="0" w:line="480"/>
        <w:ind w:left="120"/>
        <w:jc w:val="both"/>
      </w:pPr>
      <w:r>
        <w:rPr>
          <w:rFonts w:ascii="Times New Roman" w:hAnsi="Times New Roman"/>
          <w:b w:val="false"/>
          <w:i w:val="false"/>
          <w:color w:val="000000"/>
          <w:sz w:val="24"/>
        </w:rPr>
        <w:t xml:space="preserve">The tank tightness test procedure must be certified by a third party and meet US EPA testing procedures. The testing procedures are found in </w:t>
      </w:r>
      <w:r>
        <w:rPr>
          <w:rFonts w:ascii="Times New Roman" w:hAnsi="Times New Roman"/>
          <w:b w:val="false"/>
          <w:i/>
          <w:color w:val="000000"/>
          <w:sz w:val="24"/>
        </w:rPr>
        <w:t>Standard Test Procedures for Evaluating Leak Detection Methods</w:t>
      </w:r>
      <w:r>
        <w:rPr>
          <w:rFonts w:ascii="Times New Roman" w:hAnsi="Times New Roman"/>
          <w:b w:val="false"/>
          <w:i w:val="false"/>
          <w:color w:val="000000"/>
          <w:sz w:val="24"/>
        </w:rPr>
        <w:t xml:space="preserve">: </w:t>
      </w:r>
      <w:r>
        <w:rPr>
          <w:rFonts w:ascii="Times New Roman" w:hAnsi="Times New Roman"/>
          <w:b w:val="false"/>
          <w:i/>
          <w:color w:val="000000"/>
          <w:sz w:val="24"/>
        </w:rPr>
        <w:t>Volumetric Tank Tightness Testing Methods</w:t>
      </w:r>
      <w:r>
        <w:rPr>
          <w:rFonts w:ascii="Times New Roman" w:hAnsi="Times New Roman"/>
          <w:b w:val="false"/>
          <w:i w:val="false"/>
          <w:color w:val="000000"/>
          <w:sz w:val="24"/>
        </w:rPr>
        <w:t xml:space="preserve"> (EPA /530/UST-90/004) March 1990 or as revised by EPA or </w:t>
      </w:r>
      <w:r>
        <w:rPr>
          <w:rFonts w:ascii="Times New Roman" w:hAnsi="Times New Roman"/>
          <w:b w:val="false"/>
          <w:i/>
          <w:color w:val="000000"/>
          <w:sz w:val="24"/>
        </w:rPr>
        <w:t>Non-Volumetric Tank Tightness Testing Methods</w:t>
      </w:r>
      <w:r>
        <w:rPr>
          <w:rFonts w:ascii="Times New Roman" w:hAnsi="Times New Roman"/>
          <w:b w:val="false"/>
          <w:i w:val="false"/>
          <w:color w:val="000000"/>
          <w:sz w:val="24"/>
        </w:rPr>
        <w:t xml:space="preserve"> (EPA /530/UST-90/005) March 1990 or as revised by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Automatic tank gauging. </w:t>
      </w:r>
      <w:r>
        <w:rPr>
          <w:rFonts w:ascii="Times New Roman" w:hAnsi="Times New Roman"/>
          <w:b w:val="false"/>
          <w:i w:val="false"/>
          <w:color w:val="000000"/>
          <w:sz w:val="24"/>
        </w:rPr>
        <w:t>Equipment for automatic tank gauging that tests for the loss of product and conducts inventory control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automatic product level monitor test can detect a 0.2 gallon-per-hour leak rate from any portion of the tank that routinely contains product;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automatic tank gauging equipment must meet the inventory control (or other test of equivalent performance) requirements of </w:t>
      </w:r>
      <w:hyperlink r:id="rId306">
        <w:r>
          <w:rPr>
            <w:rStyle w:val="Hyperlink"/>
            <w:rFonts w:ascii="Times New Roman" w:hAnsi="Times New Roman"/>
            <w:b w:val="false"/>
            <w:i w:val="false"/>
            <w:color w:val="000000"/>
            <w:sz w:val="24"/>
          </w:rPr>
          <w:t>135.5(4)</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leak test must be performed according to manufacturer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automatic tank gauging equipment must be certified by a third party and meet US EPA testing procedures in </w:t>
      </w:r>
      <w:r>
        <w:rPr>
          <w:rFonts w:ascii="Times New Roman" w:hAnsi="Times New Roman"/>
          <w:b w:val="false"/>
          <w:i/>
          <w:color w:val="000000"/>
          <w:sz w:val="24"/>
        </w:rPr>
        <w:t>Standard Test Procedures for Evaluating Leak Detection Methods: Automatic Tank Gauging Systems</w:t>
      </w:r>
      <w:r>
        <w:rPr>
          <w:rFonts w:ascii="Times New Roman" w:hAnsi="Times New Roman"/>
          <w:b w:val="false"/>
          <w:i w:val="false"/>
          <w:color w:val="000000"/>
          <w:sz w:val="24"/>
        </w:rPr>
        <w:t xml:space="preserve"> (ATGS) (EPA /530/UST-90/006) March 1990 or as revised by US EPA;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test must be performed with the system operating in one of the following modes: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In-tank static testing conducted at least once every 30 days;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Continuous in-tank leak detection operating on an uninterrupted basis or operating within a process that allows the system to gather incremental measurements to determine the leak status of the tank at least once every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Vapor monitoring. </w:t>
      </w:r>
      <w:r>
        <w:rPr>
          <w:rFonts w:ascii="Times New Roman" w:hAnsi="Times New Roman"/>
          <w:b w:val="false"/>
          <w:i w:val="false"/>
          <w:color w:val="000000"/>
          <w:sz w:val="24"/>
        </w:rPr>
        <w:t>Testing or monitoring for vapors within the soil gas of the excavation zone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materials used as backfill are sufficiently porous (e.g., gravel, sand, crushed rock) to readily allow diffusion of vapors from releases into the excavation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stored regulated substance, or a tracer compound placed in the tank system, is sufficiently volatile (e.g., gasoline) to result in a vapor level that is detectable by the monitoring devices located in the excavation zone in the event of a release from the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measurement of vapors by the monitoring device is not rendered inoperative by the groundwater, rainfall, or soil moisture or other known interferences so that a release could go undetected for more than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level of background contamination in the excavation zone will not interfere with the method used to detect releases from the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vapor monitors are designed and operated to detect any significant increase in concentration above background of the regulated substance stored in the tank system, a component or components of that substance, or a tracer compound placed in the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UST excavation zone, the site is assessed to ensure compliance with the requirements in </w:t>
      </w:r>
      <w:hyperlink r:id="rId307">
        <w:r>
          <w:rPr>
            <w:rStyle w:val="Hyperlink"/>
            <w:rFonts w:ascii="Times New Roman" w:hAnsi="Times New Roman"/>
            <w:b w:val="false"/>
            <w:i w:val="false"/>
            <w:color w:val="000000"/>
            <w:sz w:val="24"/>
          </w:rPr>
          <w:t>135.5(4)</w:t>
        </w:r>
      </w:hyperlink>
      <w:r>
        <w:rPr>
          <w:rFonts w:ascii="Times New Roman" w:hAnsi="Times New Roman"/>
          <w:b w:val="false"/>
          <w:i/>
          <w:color w:val="000000"/>
          <w:sz w:val="24"/>
        </w:rPr>
        <w:t>“e”</w:t>
      </w:r>
      <w:r>
        <w:rPr>
          <w:rFonts w:ascii="Times New Roman" w:hAnsi="Times New Roman"/>
          <w:b w:val="false"/>
          <w:i w:val="false"/>
          <w:color w:val="000000"/>
          <w:sz w:val="24"/>
        </w:rPr>
        <w:t xml:space="preserve">(1) through </w:t>
      </w:r>
      <w:r>
        <w:rPr>
          <w:rFonts w:ascii="Times New Roman" w:hAnsi="Times New Roman"/>
          <w:b w:val="false"/>
          <w:i/>
          <w:color w:val="000000"/>
          <w:sz w:val="24"/>
        </w:rPr>
        <w:t>“e”</w:t>
      </w:r>
      <w:r>
        <w:rPr>
          <w:rFonts w:ascii="Times New Roman" w:hAnsi="Times New Roman"/>
          <w:b w:val="false"/>
          <w:i w:val="false"/>
          <w:color w:val="000000"/>
          <w:sz w:val="24"/>
        </w:rPr>
        <w:t xml:space="preserve">(4) and to establish the number and positioning of monitoring wells that will detect releases within the excavation zone from any portion of the tank that routinely contains product;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Monitoring wells are clearly marked and secured to avoid unauthorized access and tampering;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vapor product detector must be certified by a third party and meet US EPA testing procedures in </w:t>
      </w:r>
      <w:r>
        <w:rPr>
          <w:rFonts w:ascii="Times New Roman" w:hAnsi="Times New Roman"/>
          <w:b w:val="false"/>
          <w:i/>
          <w:color w:val="000000"/>
          <w:sz w:val="24"/>
        </w:rPr>
        <w:t>Standard Test Procedures for Evaluating Leak Detection Methods: Vapor-Phase Out-of-Tank Product Detectors</w:t>
      </w:r>
      <w:r>
        <w:rPr>
          <w:rFonts w:ascii="Times New Roman" w:hAnsi="Times New Roman"/>
          <w:b w:val="false"/>
          <w:i w:val="false"/>
          <w:color w:val="000000"/>
          <w:sz w:val="24"/>
        </w:rPr>
        <w:t xml:space="preserve"> (EPA/530/UST-90/008) March 1990 or as revised by US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Groundwater monitoring. </w:t>
      </w:r>
      <w:r>
        <w:rPr>
          <w:rFonts w:ascii="Times New Roman" w:hAnsi="Times New Roman"/>
          <w:b w:val="false"/>
          <w:i w:val="false"/>
          <w:color w:val="000000"/>
          <w:sz w:val="24"/>
        </w:rPr>
        <w:t>Testing or monitoring for liquids on the groundwater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regulated substance stored is immiscible in water and has a specific gravity of less than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is never more than 20 feet from the ground surface and the hydraulic conductivity of the soil(s) between the UST system and the monitoring wells or devices is not less than 0.01 cm/sec (e.g., the soil should consist of gravels, coarse to medium sands, coarse silts or other permeable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slotted portion of the monitoring well casing must be designed to prevent migration of natural soils or filter pack into the well and to allow entry of regulated substance on the water table into the well under both high and low groundwater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Monitoring wells shall be sealed from the ground surface to the top of the filter pack;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Monitoring wells or devices intercept the excavation zone or are as close to it as is technically feasible;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continuous monitoring devices or manual methods used can detect the presence of at least 1/8 of free product on top of the groundwater in the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and immediately below the UST system excavation zone, the site is assessed to ensure compliance with the requirements in </w:t>
      </w:r>
      <w:hyperlink r:id="rId30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“f”</w:t>
      </w:r>
      <w:r>
        <w:rPr>
          <w:rFonts w:ascii="Times New Roman" w:hAnsi="Times New Roman"/>
          <w:b w:val="false"/>
          <w:i w:val="false"/>
          <w:color w:val="000000"/>
          <w:sz w:val="24"/>
        </w:rPr>
        <w:t xml:space="preserve">(1) through </w:t>
      </w:r>
      <w:r>
        <w:rPr>
          <w:rFonts w:ascii="Times New Roman" w:hAnsi="Times New Roman"/>
          <w:b w:val="false"/>
          <w:i/>
          <w:color w:val="000000"/>
          <w:sz w:val="24"/>
        </w:rPr>
        <w:t>“f”</w:t>
      </w:r>
      <w:r>
        <w:rPr>
          <w:rFonts w:ascii="Times New Roman" w:hAnsi="Times New Roman"/>
          <w:b w:val="false"/>
          <w:i w:val="false"/>
          <w:color w:val="000000"/>
          <w:sz w:val="24"/>
        </w:rPr>
        <w:t>(5) and to establish the number and positioning of monitoring wells or devices that will detect releases from any portion of the tank that routinely contains product;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Monitoring wells are clearly marked and secured to avoid unauthorized access and tampering.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Interstitial monitoring. </w:t>
      </w:r>
      <w:r>
        <w:rPr>
          <w:rFonts w:ascii="Times New Roman" w:hAnsi="Times New Roman"/>
          <w:b w:val="false"/>
          <w:i w:val="false"/>
          <w:color w:val="000000"/>
          <w:sz w:val="24"/>
        </w:rPr>
        <w:t>Interstitial monitoring between the UST system and a secondary barrier immediately around or beneath it may be used, but only if the system is designed, constructed and installed to detect a leak from any portion of the tank that routinely contains product and also meets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secondary containment systems, the sampling or testing method must be able to detect a leak through the inner wall in any portion of the tank that routinely contains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Continuously, by means of an automatic leak sensing device that signals to the operator the presence of any regulated substance in the interstitial space;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Monthly, by means of a procedure capable of detecting the presence of any regulated substance in the interstitial space.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interstitial space shall be maintained and kept free of liquid, debris or anything that could interfere with leak detection capabilities.</w:t>
      </w:r>
    </w:p>
    <w:p>
      <w:pPr>
        <w:spacing w:before="0" w:after="0" w:line="480"/>
        <w:ind w:left="120"/>
        <w:jc w:val="both"/>
      </w:pP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UST systems with a secondary barrier within the excavation zone, the sampling or testing method used can detect a leak between the UST system and the secondary barrier: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secondary barrier around or beneath the UST system consists of artificially constructed material that is sufficiently thick and impermeable (at least 10</w:t>
      </w:r>
      <w:r>
        <w:rPr>
          <w:rFonts w:ascii="Times New Roman" w:hAnsi="Times New Roman"/>
          <w:b w:val="false"/>
          <w:i w:val="false"/>
          <w:color w:val="000000"/>
          <w:sz w:val="24"/>
          <w:vertAlign w:val="superscript"/>
        </w:rPr>
        <w:t>-6</w:t>
      </w:r>
      <w:r>
        <w:rPr>
          <w:rFonts w:ascii="Times New Roman" w:hAnsi="Times New Roman"/>
          <w:b w:val="false"/>
          <w:i w:val="false"/>
          <w:color w:val="000000"/>
          <w:sz w:val="24"/>
        </w:rPr>
        <w:t xml:space="preserve"> cm/sec for the regulated substance stored) to direct a leak to the monitoring point and permit its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barrier is compatible with the regulated substance stored so that a leak from the UST system will not cause a deterioration of the barrier allowing a release to pass through undetected;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cathodically protected tanks, the secondary barrier must be installed so that it does not interfere with the proper operation of the cathodic protection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groundwater, soil moisture, or rainfall will not render the testing or sampling method used inoperative so that a release could go undetected for more than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site is assessed to ensure that the secondary barrier is always above the groundwater and not in a 25-year flood plain, unless the barrier and monitoring designs are for use under such conditions;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Monitoring wells are clearly marked and secured to avoid unauthorized access and tampering.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tanks with an internally fitted liner, an automated device can detect a leak between the inner wall of the tank and the liner, and the liner is compatible with the substance 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Statistical inventory reconciliation. </w:t>
      </w:r>
      <w:r>
        <w:rPr>
          <w:rFonts w:ascii="Times New Roman" w:hAnsi="Times New Roman"/>
          <w:b w:val="false"/>
          <w:i w:val="false"/>
          <w:color w:val="000000"/>
          <w:sz w:val="24"/>
        </w:rPr>
        <w:t>Release detection methods based on the application of statistical principles to inventory data that test for the loss of product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Use a leak threshold that does not exceed one-half the minimum detectible leak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statistical test must be able to detect at least a 0.2 gallon per hour leak rate from any portion of the tank that routinely contains product;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report by the SIR company must be a quantitative result with a calculated leak rate and include the leak threshold (leak rate at which a leak is declared), the calculated leak rate (leak rate calculated from the inventory records) and minimum detectable leak rate (minimum leak rate that can be determined from the inventory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“pass” means that the calculated leak rate for the data set is less than the leak threshold and the minimum detectable leak rate is less than or equal to the certified performance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“fail” means the calculated leak rate for the data set is equal to or greater than the leak threshold;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“inconclusive” means the minimum detectable leak rate exceeds the certified performance standard and the calculated leak rate is less than the leak threshold. If for any other reason the test result is not a “pass” or “fail,” the result is “inconclusive”;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notify the department in accordance with </w:t>
      </w:r>
      <w:hyperlink r:id="rId309">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 when a monthly SIR report of “fail” occurs or two consecutive inconclusive results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assure the SIR analytical results are complete and available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statistical inventory reconciliation method must be certified by a third party and meet US EPA testing procedures in </w:t>
      </w:r>
      <w:r>
        <w:rPr>
          <w:rFonts w:ascii="Times New Roman" w:hAnsi="Times New Roman"/>
          <w:b w:val="false"/>
          <w:i/>
          <w:color w:val="000000"/>
          <w:sz w:val="24"/>
        </w:rPr>
        <w:t>Standard Test Procedures for Evaluating Release Detection Methods: Statistical Inventory Reconciliation</w:t>
      </w:r>
      <w:r>
        <w:rPr>
          <w:rFonts w:ascii="Times New Roman" w:hAnsi="Times New Roman"/>
          <w:b w:val="false"/>
          <w:i w:val="false"/>
          <w:color w:val="000000"/>
          <w:sz w:val="24"/>
        </w:rPr>
        <w:t xml:space="preserve"> (EPA 510-B-19-004) May 2019 or as revised by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Other methods. </w:t>
      </w:r>
      <w:r>
        <w:rPr>
          <w:rFonts w:ascii="Times New Roman" w:hAnsi="Times New Roman"/>
          <w:b w:val="false"/>
          <w:i w:val="false"/>
          <w:color w:val="000000"/>
          <w:sz w:val="24"/>
        </w:rPr>
        <w:t>Any other type of release detection method, or combination of methods, can be used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 can detect a 0.2 gallon-per-hour leak rate or a release of 150 gallons within a month with a probability of detection of 0.95 and a probability of false alarm of 0.05;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approve another method if the owner and operator can demonstrate that the method can detect a release as effectively as any of the methods allowed in </w:t>
      </w:r>
      <w:hyperlink r:id="rId310">
        <w:r>
          <w:rPr>
            <w:rStyle w:val="Hyperlink"/>
            <w:rFonts w:ascii="Times New Roman" w:hAnsi="Times New Roman"/>
            <w:b w:val="false"/>
            <w:i w:val="false"/>
            <w:color w:val="000000"/>
            <w:sz w:val="24"/>
          </w:rPr>
          <w:t>135.5(5)</w:t>
        </w:r>
      </w:hyperlink>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“h.”</w:t>
      </w:r>
      <w:r>
        <w:rPr>
          <w:rFonts w:ascii="Times New Roman" w:hAnsi="Times New Roman"/>
          <w:b w:val="false"/>
          <w:i w:val="false"/>
          <w:color w:val="000000"/>
          <w:sz w:val="24"/>
        </w:rPr>
        <w:t xml:space="preserve"> In comparing methods, the department shall consider the size of release that the method can detect and the frequency and reliability with which it can be detected. If the method is approved, the owner and operator must comply with any conditions imposed by the department on its use to ensure the protection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135.5(5)</w:t>
      </w:r>
      <w:r>
        <w:rPr>
          <w:rFonts w:ascii="Times New Roman" w:hAnsi="Times New Roman"/>
          <w:b w:val="false"/>
          <w:i w:val="false"/>
          <w:color w:val="000000"/>
          <w:sz w:val="24"/>
        </w:rPr>
        <w:t> </w:t>
      </w:r>
      <w:r>
        <w:rPr>
          <w:rFonts w:ascii="Times New Roman" w:hAnsi="Times New Roman"/>
          <w:b w:val="false"/>
          <w:i/>
          <w:color w:val="000000"/>
          <w:sz w:val="24"/>
        </w:rPr>
        <w:t xml:space="preserve">Methods of release detection for piping. </w:t>
      </w:r>
      <w:r>
        <w:rPr>
          <w:rFonts w:ascii="Times New Roman" w:hAnsi="Times New Roman"/>
          <w:b w:val="false"/>
          <w:i w:val="false"/>
          <w:color w:val="000000"/>
          <w:sz w:val="24"/>
        </w:rPr>
        <w:t xml:space="preserve">Each method of release detection for piping used to meet the requirements of </w:t>
      </w:r>
      <w:hyperlink r:id="rId311">
        <w:r>
          <w:rPr>
            <w:rStyle w:val="Hyperlink"/>
            <w:rFonts w:ascii="Times New Roman" w:hAnsi="Times New Roman"/>
            <w:b w:val="false"/>
            <w:i w:val="false"/>
            <w:color w:val="000000"/>
            <w:sz w:val="24"/>
          </w:rPr>
          <w:t>135.5(2)</w:t>
        </w:r>
      </w:hyperlink>
      <w:r>
        <w:rPr>
          <w:rFonts w:ascii="Times New Roman" w:hAnsi="Times New Roman"/>
          <w:b w:val="false"/>
          <w:i w:val="false"/>
          <w:color w:val="000000"/>
          <w:sz w:val="24"/>
        </w:rPr>
        <w:t xml:space="preserve"> must be conducted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Automatic line leak detectors. </w:t>
      </w:r>
      <w:r>
        <w:rPr>
          <w:rFonts w:ascii="Times New Roman" w:hAnsi="Times New Roman"/>
          <w:b w:val="false"/>
          <w:i w:val="false"/>
          <w:color w:val="000000"/>
          <w:sz w:val="24"/>
        </w:rPr>
        <w:t xml:space="preserve">Methods that alert the operator to the presence of a leak in pressurized piping by restricting or shutting off the flow of regulated substances through piping or triggering an audible or visual alarm may be used only if they detect leaks of 3 gallons per hour at 10 pounds per square inch line pressure within one hour. An annual test of the operation of the leak detector must be conducted in accordance with </w:t>
      </w:r>
      <w:hyperlink r:id="rId312">
        <w:r>
          <w:rPr>
            <w:rStyle w:val="Hyperlink"/>
            <w:rFonts w:ascii="Times New Roman" w:hAnsi="Times New Roman"/>
            <w:b w:val="false"/>
            <w:i w:val="false"/>
            <w:color w:val="000000"/>
            <w:sz w:val="24"/>
          </w:rPr>
          <w:t>135.5(1)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Line tightness testing. </w:t>
      </w:r>
      <w:r>
        <w:rPr>
          <w:rFonts w:ascii="Times New Roman" w:hAnsi="Times New Roman"/>
          <w:b w:val="false"/>
          <w:i w:val="false"/>
          <w:color w:val="000000"/>
          <w:sz w:val="24"/>
        </w:rPr>
        <w:t xml:space="preserve">A periodic test of piping may be conducted only if it can detect a 0.1 gallon-per-hour leak rate at one and one-half times the operating pressure. The line leak detection method must be certified by a third party and meet US EPA testing procedures in </w:t>
      </w:r>
      <w:r>
        <w:rPr>
          <w:rFonts w:ascii="Times New Roman" w:hAnsi="Times New Roman"/>
          <w:b w:val="false"/>
          <w:i/>
          <w:color w:val="000000"/>
          <w:sz w:val="24"/>
        </w:rPr>
        <w:t>Standard Test Procedures for Evaluating Release Detection Methods: Pipeline Release Detection</w:t>
      </w:r>
      <w:r>
        <w:rPr>
          <w:rFonts w:ascii="Times New Roman" w:hAnsi="Times New Roman"/>
          <w:b w:val="false"/>
          <w:i w:val="false"/>
          <w:color w:val="000000"/>
          <w:sz w:val="24"/>
        </w:rPr>
        <w:t xml:space="preserve"> (EPA 510-B-19-005) May 2019 or as revised by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Applicable tank methods. </w:t>
      </w:r>
      <w:r>
        <w:rPr>
          <w:rFonts w:ascii="Times New Roman" w:hAnsi="Times New Roman"/>
          <w:b w:val="false"/>
          <w:i w:val="false"/>
          <w:color w:val="000000"/>
          <w:sz w:val="24"/>
        </w:rPr>
        <w:t xml:space="preserve">Except as described in </w:t>
      </w:r>
      <w:hyperlink r:id="rId313">
        <w:r>
          <w:rPr>
            <w:rStyle w:val="Hyperlink"/>
            <w:rFonts w:ascii="Times New Roman" w:hAnsi="Times New Roman"/>
            <w:b w:val="false"/>
            <w:i w:val="false"/>
            <w:color w:val="000000"/>
            <w:sz w:val="24"/>
          </w:rPr>
          <w:t>135.5(2)</w:t>
        </w:r>
      </w:hyperlink>
      <w:r>
        <w:rPr>
          <w:rFonts w:ascii="Times New Roman" w:hAnsi="Times New Roman"/>
          <w:b w:val="false"/>
          <w:i/>
          <w:color w:val="000000"/>
          <w:sz w:val="24"/>
        </w:rPr>
        <w:t>“a,”</w:t>
      </w:r>
      <w:r>
        <w:rPr>
          <w:rFonts w:ascii="Times New Roman" w:hAnsi="Times New Roman"/>
          <w:b w:val="false"/>
          <w:i w:val="false"/>
          <w:color w:val="000000"/>
          <w:sz w:val="24"/>
        </w:rPr>
        <w:t xml:space="preserve"> any of the methods in </w:t>
      </w:r>
      <w:hyperlink r:id="rId314">
        <w:r>
          <w:rPr>
            <w:rStyle w:val="Hyperlink"/>
            <w:rFonts w:ascii="Times New Roman" w:hAnsi="Times New Roman"/>
            <w:b w:val="false"/>
            <w:i w:val="false"/>
            <w:color w:val="000000"/>
            <w:sz w:val="24"/>
          </w:rPr>
          <w:t>135.5(4)</w:t>
        </w:r>
      </w:hyperlink>
      <w:r>
        <w:rPr>
          <w:rFonts w:ascii="Times New Roman" w:hAnsi="Times New Roman"/>
          <w:b w:val="false"/>
          <w:i/>
          <w:color w:val="000000"/>
          <w:sz w:val="24"/>
        </w:rPr>
        <w:t>“e”</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xml:space="preserve"> may be used if they are designed to detect a release from any portion of the underground piping that routinely contains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Interstitial monitoring of secondary containment. </w:t>
      </w:r>
      <w:r>
        <w:rPr>
          <w:rFonts w:ascii="Times New Roman" w:hAnsi="Times New Roman"/>
          <w:b w:val="false"/>
          <w:i w:val="false"/>
          <w:color w:val="000000"/>
          <w:sz w:val="24"/>
        </w:rPr>
        <w:t>Interstitial monitoring may be used for any piping with secondary containment designed for and capable of interstitial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Leak detection shall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Continuously, by means of an automatic leak sensing device that signals to the operator the presence of any regulated substance in the interstitial space or containment sump;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Monthly, by means of a procedure capable of detecting the presence of any regulated substance in the interstitial space or containment sump, such as visual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interstitial space or sump shall be maintained and kept free of water, debris or anything that could interfere with leak detection capabilities.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least every two years, any sump shall be visually inspected for integrity of sides and floor and tightness of piping penetration seals. Any automatic sensing device shall be tested for proper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135.5(6)</w:t>
      </w:r>
      <w:r>
        <w:rPr>
          <w:rFonts w:ascii="Times New Roman" w:hAnsi="Times New Roman"/>
          <w:b w:val="false"/>
          <w:i w:val="false"/>
          <w:color w:val="000000"/>
          <w:sz w:val="24"/>
        </w:rPr>
        <w:t> </w:t>
      </w:r>
      <w:r>
        <w:rPr>
          <w:rFonts w:ascii="Times New Roman" w:hAnsi="Times New Roman"/>
          <w:b w:val="false"/>
          <w:i/>
          <w:color w:val="000000"/>
          <w:sz w:val="24"/>
        </w:rPr>
        <w:t xml:space="preserve">Release detection recordkeeping. </w:t>
      </w:r>
      <w:r>
        <w:rPr>
          <w:rFonts w:ascii="Times New Roman" w:hAnsi="Times New Roman"/>
          <w:b w:val="false"/>
          <w:i w:val="false"/>
          <w:color w:val="000000"/>
          <w:sz w:val="24"/>
        </w:rPr>
        <w:t xml:space="preserve">All UST system owners and operators must maintain records in accordance with </w:t>
      </w:r>
      <w:hyperlink r:id="rId315">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xml:space="preserve"> demonstrating compliance with all applicable requirements of this rule. These records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written performance claims pertaining to any release detection system used, and the manner in which these claims have been justified or tested by the equipment manufacturer or installer, must be maintained for five years, or for another reasonable period of time determined by the department, from the date of installation. Records of site assessments required for vapor monitoring under </w:t>
      </w:r>
      <w:hyperlink r:id="rId316">
        <w:r>
          <w:rPr>
            <w:rStyle w:val="Hyperlink"/>
            <w:rFonts w:ascii="Times New Roman" w:hAnsi="Times New Roman"/>
            <w:b w:val="false"/>
            <w:i w:val="false"/>
            <w:color w:val="000000"/>
            <w:sz w:val="24"/>
          </w:rPr>
          <w:t>135.5(4)</w:t>
        </w:r>
      </w:hyperlink>
      <w:r>
        <w:rPr>
          <w:rFonts w:ascii="Times New Roman" w:hAnsi="Times New Roman"/>
          <w:b w:val="false"/>
          <w:i/>
          <w:color w:val="000000"/>
          <w:sz w:val="24"/>
        </w:rPr>
        <w:t>“e”</w:t>
      </w:r>
      <w:r>
        <w:rPr>
          <w:rFonts w:ascii="Times New Roman" w:hAnsi="Times New Roman"/>
          <w:b w:val="false"/>
          <w:i w:val="false"/>
          <w:color w:val="000000"/>
          <w:sz w:val="24"/>
        </w:rPr>
        <w:t xml:space="preserve">(6) and groundwater monitoring under </w:t>
      </w:r>
      <w:hyperlink r:id="rId317">
        <w:r>
          <w:rPr>
            <w:rStyle w:val="Hyperlink"/>
            <w:rFonts w:ascii="Times New Roman" w:hAnsi="Times New Roman"/>
            <w:b w:val="false"/>
            <w:i w:val="false"/>
            <w:color w:val="000000"/>
            <w:sz w:val="24"/>
          </w:rPr>
          <w:t>135.5(4)</w:t>
        </w:r>
      </w:hyperlink>
      <w:r>
        <w:rPr>
          <w:rFonts w:ascii="Times New Roman" w:hAnsi="Times New Roman"/>
          <w:b w:val="false"/>
          <w:i/>
          <w:color w:val="000000"/>
          <w:sz w:val="24"/>
        </w:rPr>
        <w:t>“f”</w:t>
      </w:r>
      <w:r>
        <w:rPr>
          <w:rFonts w:ascii="Times New Roman" w:hAnsi="Times New Roman"/>
          <w:b w:val="false"/>
          <w:i w:val="false"/>
          <w:color w:val="000000"/>
          <w:sz w:val="24"/>
        </w:rPr>
        <w:t>(7) must be maintained for as long as the methods are used. Records of site assessments must be signed by a professional engineer or professional geologist, or equivalent certified professional with experience in environmental engineering, hydrogeology, or other relevant technical discipline acceptable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results of any sampling, testing, or monitoring must be maintained for at least one year, or for another reasonable period of time determined by the department, except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tank tightness testing conducted in accordance with </w:t>
      </w:r>
      <w:hyperlink r:id="rId31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must be retained until the next test is conducted;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annual operation tests conducted in accordance with </w:t>
      </w:r>
      <w:hyperlink r:id="rId319">
        <w:r>
          <w:rPr>
            <w:rStyle w:val="Hyperlink"/>
            <w:rFonts w:ascii="Times New Roman" w:hAnsi="Times New Roman"/>
            <w:b w:val="false"/>
            <w:i w:val="false"/>
            <w:color w:val="000000"/>
            <w:sz w:val="24"/>
          </w:rPr>
          <w:t>135.5(1)</w:t>
        </w:r>
      </w:hyperlink>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color w:val="000000"/>
          <w:sz w:val="24"/>
        </w:rPr>
        <w:t>“a”</w:t>
      </w:r>
      <w:r>
        <w:rPr>
          <w:rFonts w:ascii="Times New Roman" w:hAnsi="Times New Roman"/>
          <w:b w:val="false"/>
          <w:i w:val="false"/>
          <w:color w:val="000000"/>
          <w:sz w:val="24"/>
        </w:rPr>
        <w:t xml:space="preserve">(4), must be maintained for three years. At a minimum, the results must list each component tested, indicate whether each component tested meets criteria in </w:t>
      </w:r>
      <w:hyperlink r:id="rId320">
        <w:r>
          <w:rPr>
            <w:rStyle w:val="Hyperlink"/>
            <w:rFonts w:ascii="Times New Roman" w:hAnsi="Times New Roman"/>
            <w:b w:val="false"/>
            <w:i w:val="false"/>
            <w:color w:val="000000"/>
            <w:sz w:val="24"/>
          </w:rPr>
          <w:t>135.5(1)</w:t>
        </w:r>
      </w:hyperlink>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color w:val="000000"/>
          <w:sz w:val="24"/>
        </w:rPr>
        <w:t>“a”</w:t>
      </w:r>
      <w:r>
        <w:rPr>
          <w:rFonts w:ascii="Times New Roman" w:hAnsi="Times New Roman"/>
          <w:b w:val="false"/>
          <w:i w:val="false"/>
          <w:color w:val="000000"/>
          <w:sz w:val="24"/>
        </w:rPr>
        <w:t>(4), or needs to have action taken, and describe any action taken to correct an issue;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tank tightness testing, line tightness testing, and vapor monitoring using a tracer compound placed in the tank system conducted in accordance with </w:t>
      </w:r>
      <w:hyperlink r:id="rId321">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 must be retained until the next test is conducted;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Written documentation of all calibration, maintenance, and repair of release detection equipment permanently located on-site must be maintained for at least one year after the servicing work is completed, or for another reasonable time period determined by the department. Any schedules of required calibration and maintenance provided by the release detection equipment manufacturer must be retained for five years from the date of installation.</w:t>
      </w:r>
    </w:p>
    <w:p>
      <w:pPr>
        <w:spacing w:before="0" w:after="0" w:line="480"/>
        <w:ind w:left="120"/>
        <w:jc w:val="both"/>
      </w:pPr>
      <w:r>
        <w:rPr>
          <w:rFonts w:ascii="Times New Roman" w:hAnsi="Times New Roman"/>
          <w:b/>
          <w:i w:val="false"/>
          <w:color w:val="000000"/>
          <w:sz w:val="24"/>
        </w:rPr>
        <w:t>567—135.6</w:t>
      </w:r>
      <w:r>
        <w:rPr>
          <w:rFonts w:ascii="Times New Roman" w:hAnsi="Times New Roman"/>
          <w:b/>
          <w:i w:val="false"/>
          <w:color w:val="000000"/>
          <w:sz w:val="24"/>
        </w:rPr>
        <w:t xml:space="preserve">(455B) </w:t>
      </w:r>
      <w:r>
        <w:rPr>
          <w:rFonts w:ascii="Times New Roman" w:hAnsi="Times New Roman"/>
          <w:b/>
          <w:i w:val="false"/>
          <w:color w:val="000000"/>
          <w:sz w:val="24"/>
        </w:rPr>
        <w:t xml:space="preserve">Release reporting, investigation, and confirmation.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135.6(1)</w:t>
      </w:r>
      <w:r>
        <w:rPr>
          <w:rFonts w:ascii="Times New Roman" w:hAnsi="Times New Roman"/>
          <w:b w:val="false"/>
          <w:i w:val="false"/>
          <w:color w:val="000000"/>
          <w:sz w:val="24"/>
        </w:rPr>
        <w:t> </w:t>
      </w:r>
      <w:r>
        <w:rPr>
          <w:rFonts w:ascii="Times New Roman" w:hAnsi="Times New Roman"/>
          <w:b w:val="false"/>
          <w:i/>
          <w:color w:val="000000"/>
          <w:sz w:val="24"/>
        </w:rPr>
        <w:t xml:space="preserve">Reporting of suspected releases. </w:t>
      </w:r>
      <w:r>
        <w:rPr>
          <w:rFonts w:ascii="Times New Roman" w:hAnsi="Times New Roman"/>
          <w:b w:val="false"/>
          <w:i w:val="false"/>
          <w:color w:val="000000"/>
          <w:sz w:val="24"/>
        </w:rPr>
        <w:t xml:space="preserve">Owners and operators of UST systems must report to the department within 24 hours, or within 6 hours in accordance with </w:t>
      </w:r>
      <w:hyperlink r:id="rId322">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xml:space="preserve"> if a hazardous condition exists as defined in </w:t>
      </w:r>
      <w:hyperlink r:id="rId323">
        <w:r>
          <w:rPr>
            <w:rStyle w:val="Hyperlink"/>
            <w:rFonts w:ascii="Times New Roman" w:hAnsi="Times New Roman"/>
            <w:b w:val="false"/>
            <w:i w:val="false"/>
            <w:color w:val="000000"/>
            <w:sz w:val="24"/>
          </w:rPr>
          <w:t>567—105.3(455B)</w:t>
        </w:r>
      </w:hyperlink>
      <w:r>
        <w:rPr>
          <w:rFonts w:ascii="Times New Roman" w:hAnsi="Times New Roman"/>
          <w:b w:val="false"/>
          <w:i w:val="false"/>
          <w:color w:val="000000"/>
          <w:sz w:val="24"/>
        </w:rPr>
        <w:t xml:space="preserve">, or another reasonable time period specified by the department, and follow the procedures in </w:t>
      </w:r>
      <w:hyperlink r:id="rId324">
        <w:r>
          <w:rPr>
            <w:rStyle w:val="Hyperlink"/>
            <w:rFonts w:ascii="Times New Roman" w:hAnsi="Times New Roman"/>
            <w:b w:val="false"/>
            <w:i w:val="false"/>
            <w:color w:val="000000"/>
            <w:sz w:val="24"/>
          </w:rPr>
          <w:t>135.8(1)</w:t>
        </w:r>
      </w:hyperlink>
      <w:r>
        <w:rPr>
          <w:rFonts w:ascii="Times New Roman" w:hAnsi="Times New Roman"/>
          <w:b w:val="false"/>
          <w:i w:val="false"/>
          <w:color w:val="000000"/>
          <w:sz w:val="24"/>
        </w:rPr>
        <w:t xml:space="preserve"> for any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discovery by owners and operators or others of released regulated substances at the UST site or in the surrounding area (such as the presence of free product or vapors in soils, basements, sewer and utility lines, and nearby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Unusual operating conditions observed by owners and operators (such as the erratic behavior of product dispensing equipment, the sudden loss of product from the UST system, an unexplained presence of water in the tank, or liquid in the interstitial space of secondarily contained systems)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system equipment or component is found not to be releasing regulated substances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defective system equipment or component is immediately repaired or replaced;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secondarily contained systems, except as provided for in </w:t>
      </w:r>
      <w:hyperlink r:id="rId325">
        <w:r>
          <w:rPr>
            <w:rStyle w:val="Hyperlink"/>
            <w:rFonts w:ascii="Times New Roman" w:hAnsi="Times New Roman"/>
            <w:b w:val="false"/>
            <w:i w:val="false"/>
            <w:color w:val="000000"/>
            <w:sz w:val="24"/>
          </w:rPr>
          <w:t>135.5(4)</w:t>
        </w:r>
        <w:r>
          <w:rPr>
            <w:rFonts w:ascii="Times New Roman" w:hAnsi="Times New Roman"/>
            <w:b w:val="false"/>
            <w:i/>
            <w:color w:val="000000"/>
            <w:sz w:val="24"/>
          </w:rPr>
          <w:t>“g”</w:t>
        </w:r>
        <w:r>
          <w:rPr>
            <w:rFonts w:ascii="Times New Roman" w:hAnsi="Times New Roman"/>
            <w:b w:val="false"/>
            <w:i w:val="false"/>
            <w:color w:val="000000"/>
            <w:sz w:val="24"/>
          </w:rPr>
          <w:t>(2)</w:t>
        </w:r>
      </w:hyperlink>
      <w:r>
        <w:rPr>
          <w:rFonts w:ascii="Times New Roman" w:hAnsi="Times New Roman"/>
          <w:b w:val="false"/>
          <w:i w:val="false"/>
          <w:color w:val="000000"/>
          <w:sz w:val="24"/>
        </w:rPr>
        <w:t>“4,” any liquid in the interstitial space not used as part of the interstitial monitoring method (for example, brine filled) is immediately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Monitoring results, including investigation of an alarm, from a release detection method required under </w:t>
      </w:r>
      <w:hyperlink r:id="rId326">
        <w:r>
          <w:rPr>
            <w:rStyle w:val="Hyperlink"/>
            <w:rFonts w:ascii="Times New Roman" w:hAnsi="Times New Roman"/>
            <w:b w:val="false"/>
            <w:i w:val="false"/>
            <w:color w:val="000000"/>
            <w:sz w:val="24"/>
          </w:rPr>
          <w:t>135.5(2)</w:t>
        </w:r>
      </w:hyperlink>
      <w:r>
        <w:rPr>
          <w:rFonts w:ascii="Times New Roman" w:hAnsi="Times New Roman"/>
          <w:b w:val="false"/>
          <w:i w:val="false"/>
          <w:color w:val="000000"/>
          <w:sz w:val="24"/>
        </w:rPr>
        <w:t xml:space="preserve"> and </w:t>
      </w:r>
      <w:hyperlink r:id="rId327">
        <w:r>
          <w:rPr>
            <w:rStyle w:val="Hyperlink"/>
            <w:rFonts w:ascii="Times New Roman" w:hAnsi="Times New Roman"/>
            <w:b w:val="false"/>
            <w:i w:val="false"/>
            <w:color w:val="000000"/>
            <w:sz w:val="24"/>
          </w:rPr>
          <w:t>135.5(3)</w:t>
        </w:r>
      </w:hyperlink>
      <w:r>
        <w:rPr>
          <w:rFonts w:ascii="Times New Roman" w:hAnsi="Times New Roman"/>
          <w:b w:val="false"/>
          <w:i w:val="false"/>
          <w:color w:val="000000"/>
          <w:sz w:val="24"/>
        </w:rPr>
        <w:t xml:space="preserve"> that indicate a release may have occurred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monitoring device is found to be defective, and is immediately repaired, recalibrated or replaced, and additional monitoring does not confirm the initial result;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leak is contained in the secondary containment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for in </w:t>
      </w:r>
      <w:hyperlink r:id="rId32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“g”</w:t>
      </w:r>
      <w:r>
        <w:rPr>
          <w:rFonts w:ascii="Times New Roman" w:hAnsi="Times New Roman"/>
          <w:b w:val="false"/>
          <w:i w:val="false"/>
          <w:color w:val="000000"/>
          <w:sz w:val="24"/>
        </w:rPr>
        <w:t>(2)“4,” any liquid in the interstitial space not used as part of the interstitial monitoring method (for example, brine filled) is immediately removed;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defective system equipment or component is immediately repaired or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case of inventory control, a second month of data does not confirm the initial result or the investigation determines no release has occurred;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alarm was investigated and determined to be a non-release event (for example, from a power surge or caused by filling the tank during release detection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135.6(2)</w:t>
      </w:r>
      <w:r>
        <w:rPr>
          <w:rFonts w:ascii="Times New Roman" w:hAnsi="Times New Roman"/>
          <w:b w:val="false"/>
          <w:i w:val="false"/>
          <w:color w:val="000000"/>
          <w:sz w:val="24"/>
        </w:rPr>
        <w:t> </w:t>
      </w:r>
      <w:r>
        <w:rPr>
          <w:rFonts w:ascii="Times New Roman" w:hAnsi="Times New Roman"/>
          <w:b w:val="false"/>
          <w:i/>
          <w:color w:val="000000"/>
          <w:sz w:val="24"/>
        </w:rPr>
        <w:t xml:space="preserve">Investigation due to off-site impacts. </w:t>
      </w:r>
      <w:r>
        <w:rPr>
          <w:rFonts w:ascii="Times New Roman" w:hAnsi="Times New Roman"/>
          <w:b w:val="false"/>
          <w:i w:val="false"/>
          <w:color w:val="000000"/>
          <w:sz w:val="24"/>
        </w:rPr>
        <w:t xml:space="preserve">When required by the department, owners and operators of UST systems must follow the procedures in </w:t>
      </w:r>
      <w:hyperlink r:id="rId329">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 xml:space="preserve"> to determine if the UST system is the source of off-site impacts. These impacts include the discovery of regulated substances (such as the presence of free product or vapors in soils, basements, sewer and utility lines, and nearby surface and drinking waters) that has been observed by the department or brought to its attention by another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135.6(3)</w:t>
      </w:r>
      <w:r>
        <w:rPr>
          <w:rFonts w:ascii="Times New Roman" w:hAnsi="Times New Roman"/>
          <w:b w:val="false"/>
          <w:i w:val="false"/>
          <w:color w:val="000000"/>
          <w:sz w:val="24"/>
        </w:rPr>
        <w:t> </w:t>
      </w:r>
      <w:r>
        <w:rPr>
          <w:rFonts w:ascii="Times New Roman" w:hAnsi="Times New Roman"/>
          <w:b w:val="false"/>
          <w:i/>
          <w:color w:val="000000"/>
          <w:sz w:val="24"/>
        </w:rPr>
        <w:t xml:space="preserve">Release investigation and confirmation steps. </w:t>
      </w:r>
      <w:r>
        <w:rPr>
          <w:rFonts w:ascii="Times New Roman" w:hAnsi="Times New Roman"/>
          <w:b w:val="false"/>
          <w:i w:val="false"/>
          <w:color w:val="000000"/>
          <w:sz w:val="24"/>
        </w:rPr>
        <w:t xml:space="preserve">Owners and operators must immediately investigate and confirm all suspected releases of regulated substances requiring reporting under </w:t>
      </w:r>
      <w:hyperlink r:id="rId330">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 xml:space="preserve"> within seven days, or another reasonable time period specified by the department, using either the following steps or another procedure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System test. Owners and operators must conduct tests (according to the requirements for tightness testing in </w:t>
      </w:r>
      <w:hyperlink r:id="rId33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332">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or, as appropriate, secondary containment testing described in </w:t>
      </w:r>
      <w:hyperlink r:id="rId333">
        <w:r>
          <w:rPr>
            <w:rStyle w:val="Hyperlink"/>
            <w:rFonts w:ascii="Times New Roman" w:hAnsi="Times New Roman"/>
            <w:b w:val="false"/>
            <w:i w:val="false"/>
            <w:color w:val="000000"/>
            <w:sz w:val="24"/>
          </w:rPr>
          <w:t>135.4(4)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test must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leak exists in that portion of the tank that routinely contains product, or the attached delivery piping;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breach of either wall of the secondary containment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system test confirms a leak into the interstice or a release, owners and operators must repair, replace, upgrade, or close the UST system. In addition, owners and operators must begin corrective action in accordance with </w:t>
      </w:r>
      <w:hyperlink r:id="rId334">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(455B) if the test results for the system, tank, or delivery piping indicate a release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Further investigation is not required if the test results for the system, tank, and delivery piping do not indicate a release exists and if environmental contamination is not the basis for suspecting a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conduct a site check as described in </w:t>
      </w:r>
      <w:hyperlink r:id="rId335">
        <w:r>
          <w:rPr>
            <w:rStyle w:val="Hyperlink"/>
            <w:rFonts w:ascii="Times New Roman" w:hAnsi="Times New Roman"/>
            <w:b w:val="false"/>
            <w:i w:val="false"/>
            <w:color w:val="000000"/>
            <w:sz w:val="24"/>
          </w:rPr>
          <w:t>135.6(3)</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test results for the system, tank, and delivery piping do not indicate a release exists but environmental contamination is the basis for suspecting a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Site check. A certified groundwater professional must conduct a site check in accordance with the tank closure in place procedures as provided in </w:t>
      </w:r>
      <w:hyperlink r:id="rId336">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or they may conduct a Tier 1 assessment in accordance with </w:t>
      </w:r>
      <w:hyperlink r:id="rId337">
        <w:r>
          <w:rPr>
            <w:rStyle w:val="Hyperlink"/>
            <w:rFonts w:ascii="Times New Roman" w:hAnsi="Times New Roman"/>
            <w:b w:val="false"/>
            <w:i w:val="false"/>
            <w:color w:val="000000"/>
            <w:sz w:val="24"/>
          </w:rPr>
          <w:t>135.9(3)</w:t>
        </w:r>
      </w:hyperlink>
      <w:r>
        <w:rPr>
          <w:rFonts w:ascii="Times New Roman" w:hAnsi="Times New Roman"/>
          <w:b w:val="false"/>
          <w:i w:val="false"/>
          <w:color w:val="000000"/>
          <w:sz w:val="24"/>
        </w:rPr>
        <w:t xml:space="preserve">. Under either procedure, the certified groundwater professional must follow the policies and procedures applicable to sites where bedrock is encountered before groundwater as provided in </w:t>
      </w:r>
      <w:hyperlink r:id="rId338">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to avoid creating a preferential pathway for soil or groundwater contamination to reach a bedrock aquifer. The certified groundwater professional must measure for the presence of a release where contamination is most likely to be present at the UST site. The certified groundwater professional must follow the policies and procedures applicable to sites where bedrock is encountered before groundwater as provided in </w:t>
      </w:r>
      <w:hyperlink r:id="rId339">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to avoid creating a preferential pathway for soil or groundwater contamination to reach a bedrock aquifer. In selecting sample types, sample locations, and measurement methods, the certified groundwater professional must consider the nature of the stored substance, the type of initial alarm or cause for suspicion, the type of backfill, the depth of groundwater, and other factors appropriate for identifying the presence and source of the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test results of the site check indicate action levels in </w:t>
      </w:r>
      <w:hyperlink r:id="rId340">
        <w:r>
          <w:rPr>
            <w:rStyle w:val="Hyperlink"/>
            <w:rFonts w:ascii="Times New Roman" w:hAnsi="Times New Roman"/>
            <w:b w:val="false"/>
            <w:i w:val="false"/>
            <w:color w:val="000000"/>
            <w:sz w:val="24"/>
          </w:rPr>
          <w:t>567—135.14</w:t>
        </w:r>
      </w:hyperlink>
      <w:r>
        <w:rPr>
          <w:rFonts w:ascii="Times New Roman" w:hAnsi="Times New Roman"/>
          <w:b w:val="false"/>
          <w:i w:val="false"/>
          <w:color w:val="000000"/>
          <w:sz w:val="24"/>
        </w:rPr>
        <w:t xml:space="preserve">(455B) have been exceeded, owners and operators must begin corrective action in accordance with </w:t>
      </w:r>
      <w:hyperlink r:id="rId341">
        <w:r>
          <w:rPr>
            <w:rStyle w:val="Hyperlink"/>
            <w:rFonts w:ascii="Times New Roman" w:hAnsi="Times New Roman"/>
            <w:b w:val="false"/>
            <w:i w:val="false"/>
            <w:color w:val="000000"/>
            <w:sz w:val="24"/>
          </w:rPr>
          <w:t>567—135.7</w:t>
        </w:r>
      </w:hyperlink>
      <w:r>
        <w:rPr>
          <w:rFonts w:ascii="Times New Roman" w:hAnsi="Times New Roman"/>
          <w:b w:val="false"/>
          <w:i w:val="false"/>
          <w:color w:val="000000"/>
          <w:sz w:val="24"/>
        </w:rPr>
        <w:t xml:space="preserve">(455B) through </w:t>
      </w:r>
      <w:hyperlink r:id="rId342">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test results for the excavation zone or the UST site do not indicate a release has occurred, further investigation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135.6(4)</w:t>
      </w:r>
      <w:r>
        <w:rPr>
          <w:rFonts w:ascii="Times New Roman" w:hAnsi="Times New Roman"/>
          <w:b w:val="false"/>
          <w:i w:val="false"/>
          <w:color w:val="000000"/>
          <w:sz w:val="24"/>
        </w:rPr>
        <w:t> </w:t>
      </w:r>
      <w:r>
        <w:rPr>
          <w:rFonts w:ascii="Times New Roman" w:hAnsi="Times New Roman"/>
          <w:b w:val="false"/>
          <w:i/>
          <w:color w:val="000000"/>
          <w:sz w:val="24"/>
        </w:rPr>
        <w:t xml:space="preserve">Reporting and cleanup of spills and overfills.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Reportable releases. </w:t>
      </w:r>
      <w:r>
        <w:rPr>
          <w:rFonts w:ascii="Times New Roman" w:hAnsi="Times New Roman"/>
          <w:b w:val="false"/>
          <w:i w:val="false"/>
          <w:color w:val="000000"/>
          <w:sz w:val="24"/>
        </w:rPr>
        <w:t xml:space="preserve">Owners and operators of UST systems must contain and immediately clean up a spill, overfill or any aboveground release, and report to the department within 24 hours, or within 6 hours in accordance with </w:t>
      </w:r>
      <w:hyperlink r:id="rId343">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xml:space="preserve"> if a hazardous condition exists as defined in </w:t>
      </w:r>
      <w:hyperlink r:id="rId344">
        <w:r>
          <w:rPr>
            <w:rStyle w:val="Hyperlink"/>
            <w:rFonts w:ascii="Times New Roman" w:hAnsi="Times New Roman"/>
            <w:b w:val="false"/>
            <w:i w:val="false"/>
            <w:color w:val="000000"/>
            <w:sz w:val="24"/>
          </w:rPr>
          <w:t>567—105.3</w:t>
        </w:r>
      </w:hyperlink>
      <w:r>
        <w:rPr>
          <w:rFonts w:ascii="Times New Roman" w:hAnsi="Times New Roman"/>
          <w:b w:val="false"/>
          <w:i w:val="false"/>
          <w:color w:val="000000"/>
          <w:sz w:val="24"/>
        </w:rPr>
        <w:t xml:space="preserve">(455B) and begin corrective action in accordance with </w:t>
      </w:r>
      <w:hyperlink r:id="rId345">
        <w:r>
          <w:rPr>
            <w:rStyle w:val="Hyperlink"/>
            <w:rFonts w:ascii="Times New Roman" w:hAnsi="Times New Roman"/>
            <w:b w:val="false"/>
            <w:i w:val="false"/>
            <w:color w:val="000000"/>
            <w:sz w:val="24"/>
          </w:rPr>
          <w:t>567—135.7</w:t>
        </w:r>
      </w:hyperlink>
      <w:r>
        <w:rPr>
          <w:rFonts w:ascii="Times New Roman" w:hAnsi="Times New Roman"/>
          <w:b w:val="false"/>
          <w:i w:val="false"/>
          <w:color w:val="000000"/>
          <w:sz w:val="24"/>
        </w:rPr>
        <w:t xml:space="preserve">(455B) through </w:t>
      </w:r>
      <w:hyperlink r:id="rId34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in the cases identified in </w:t>
      </w:r>
      <w:r>
        <w:rPr>
          <w:rFonts w:ascii="Times New Roman" w:hAnsi="Times New Roman"/>
          <w:b w:val="false"/>
          <w:i w:val="false"/>
          <w:color w:val="000000"/>
          <w:sz w:val="24"/>
        </w:rPr>
        <w:t>40 CFR 280.53(a)</w:t>
      </w:r>
      <w:r>
        <w:rPr>
          <w:rFonts w:ascii="Times New Roman" w:hAnsi="Times New Roman"/>
          <w:b w:val="false"/>
          <w:i w:val="false"/>
          <w:color w:val="000000"/>
          <w:sz w:val="24"/>
        </w:rPr>
        <w:t>(1)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Nonreportable releases. </w:t>
      </w:r>
      <w:r>
        <w:rPr>
          <w:rFonts w:ascii="Times New Roman" w:hAnsi="Times New Roman"/>
          <w:b w:val="false"/>
          <w:i w:val="false"/>
          <w:color w:val="000000"/>
          <w:sz w:val="24"/>
        </w:rPr>
        <w:t>Owners and operators of UST systems must contain and immediately clean up a spill, overfill or any aboveground release of petroleum that is less than 25 gallons and a spill, overfill or any aboveground release of a hazardous substance that is less than the reportable quantity. If cleanup cannot be accomplished within 24 hours, owners and operators must immediately notify the department.</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 xml:space="preserve">Any spill or overfill that results in a hazardous condition as defined in </w:t>
      </w:r>
      <w:hyperlink r:id="rId347">
        <w:r>
          <w:rPr>
            <w:rStyle w:val="Hyperlink"/>
            <w:rFonts w:ascii="Times New Roman" w:hAnsi="Times New Roman"/>
            <w:b w:val="false"/>
            <w:i w:val="false"/>
            <w:color w:val="000000"/>
            <w:sz w:val="24"/>
          </w:rPr>
          <w:t>567—105.3</w:t>
        </w:r>
      </w:hyperlink>
      <w:r>
        <w:rPr>
          <w:rFonts w:ascii="Times New Roman" w:hAnsi="Times New Roman"/>
          <w:b w:val="false"/>
          <w:i w:val="false"/>
          <w:color w:val="000000"/>
          <w:sz w:val="24"/>
        </w:rPr>
        <w:t>(455B) must be reported within 6 hours. This includes the transporter of the product. A release of a hazardous substance equal to or in excess of its reportable quantity must also be reported immediately (rather than within 24 hours) to the National Response Center under Sections 102 and 103 of the Comprehensive Environmental Response, Compensation, and Liability Act of 1980 and to appropriate state and local authorities under Title III of the Superfund Amendments and Reauthorization Act of 1986.</w:t>
      </w:r>
    </w:p>
    <w:p>
      <w:pPr>
        <w:spacing w:before="0" w:after="0" w:line="480"/>
        <w:ind w:left="120"/>
        <w:jc w:val="both"/>
      </w:pPr>
      <w:r>
        <w:rPr>
          <w:rFonts w:ascii="Times New Roman" w:hAnsi="Times New Roman"/>
          <w:b/>
          <w:i w:val="false"/>
          <w:color w:val="000000"/>
          <w:sz w:val="24"/>
        </w:rPr>
        <w:t>567—135.7</w:t>
      </w:r>
      <w:r>
        <w:rPr>
          <w:rFonts w:ascii="Times New Roman" w:hAnsi="Times New Roman"/>
          <w:b/>
          <w:i w:val="false"/>
          <w:color w:val="000000"/>
          <w:sz w:val="24"/>
        </w:rPr>
        <w:t xml:space="preserve">(455B) </w:t>
      </w:r>
      <w:r>
        <w:rPr>
          <w:rFonts w:ascii="Times New Roman" w:hAnsi="Times New Roman"/>
          <w:b/>
          <w:i w:val="false"/>
          <w:color w:val="000000"/>
          <w:sz w:val="24"/>
        </w:rPr>
        <w:t xml:space="preserve">Release response and corrective action for UST systems containing petroleum or hazardous substances.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135.7(1)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Owners and operators of petroleum or hazardous substance UST systems must, in response to a confirmed release from the UST system, comply with the requirements of this rule except for USTs excluded under </w:t>
      </w:r>
      <w:hyperlink r:id="rId348">
        <w:r>
          <w:rPr>
            <w:rStyle w:val="Hyperlink"/>
            <w:rFonts w:ascii="Times New Roman" w:hAnsi="Times New Roman"/>
            <w:b w:val="false"/>
            <w:i w:val="false"/>
            <w:color w:val="000000"/>
            <w:sz w:val="24"/>
          </w:rPr>
          <w:t>135.1(3)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UST systems subject to RCRA Subtitle C corrective action requirements under Section 3004(u) of the Resource Conservation and Recovery Act, 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135.7(2)</w:t>
      </w:r>
      <w:r>
        <w:rPr>
          <w:rFonts w:ascii="Times New Roman" w:hAnsi="Times New Roman"/>
          <w:b w:val="false"/>
          <w:i w:val="false"/>
          <w:color w:val="000000"/>
          <w:sz w:val="24"/>
        </w:rPr>
        <w:t> </w:t>
      </w:r>
      <w:r>
        <w:rPr>
          <w:rFonts w:ascii="Times New Roman" w:hAnsi="Times New Roman"/>
          <w:b w:val="false"/>
          <w:i/>
          <w:color w:val="000000"/>
          <w:sz w:val="24"/>
        </w:rPr>
        <w:t xml:space="preserve">Initial response. </w:t>
      </w:r>
      <w:r>
        <w:rPr>
          <w:rFonts w:ascii="Times New Roman" w:hAnsi="Times New Roman"/>
          <w:b w:val="false"/>
          <w:i w:val="false"/>
          <w:color w:val="000000"/>
          <w:sz w:val="24"/>
        </w:rPr>
        <w:t xml:space="preserve">Upon confirmation of a release in accordance with </w:t>
      </w:r>
      <w:hyperlink r:id="rId349">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 xml:space="preserve"> or after a release from the UST system is identified in any other manner, owners and operators must perform the following initial response actions within 24 hours of a release or within another reasonable period of time specified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Report the release to the department (e.g., by telephone or electronic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Take immediate action to prevent any further release of the regulated substance into the environment;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Identify and mitigate fire, explosion, and vapor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135.7(3)</w:t>
      </w:r>
      <w:r>
        <w:rPr>
          <w:rFonts w:ascii="Times New Roman" w:hAnsi="Times New Roman"/>
          <w:b w:val="false"/>
          <w:i w:val="false"/>
          <w:color w:val="000000"/>
          <w:sz w:val="24"/>
        </w:rPr>
        <w:t> </w:t>
      </w:r>
      <w:r>
        <w:rPr>
          <w:rFonts w:ascii="Times New Roman" w:hAnsi="Times New Roman"/>
          <w:b w:val="false"/>
          <w:i/>
          <w:color w:val="000000"/>
          <w:sz w:val="24"/>
        </w:rPr>
        <w:t xml:space="preserve">Initial abatement measures.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directed to do otherwise by the department, owners and operators must perform the following abatement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Remove as much of the regulated substance from the UST system as is necessary to prevent further release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Visually inspect any aboveground releases or exposed below-ground releases and prevent further migration of the released substance into surrounding soils and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Continue to monitor and mitigate any additional fire and safety hazards posed by vapors or free product that have migrated from the UST excavation zone and entered into subsurface structures (such as sewers or basements);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Remedy hazards posed by contaminated soils that are excavated or exposed as a result of release confirmation, site investigation, abatement, or corrective action activities. If these remedies include treatment or disposal of soils, the owner and operator must comply with applicable state and local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Investigate to determine the possible presence of free product, and begin free product removal as soon as practicable and in accordance with </w:t>
      </w:r>
      <w:hyperlink r:id="rId350">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20 days after release confirmation, or within another reasonable period of time determined by the department, owners and operators must submit a report to the department summarizing the initial abatement steps taken under </w:t>
      </w:r>
      <w:hyperlink r:id="rId351">
        <w:r>
          <w:rPr>
            <w:rStyle w:val="Hyperlink"/>
            <w:rFonts w:ascii="Times New Roman" w:hAnsi="Times New Roman"/>
            <w:b w:val="false"/>
            <w:i w:val="false"/>
            <w:color w:val="000000"/>
            <w:sz w:val="24"/>
          </w:rPr>
          <w:t>135.7(3)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any resulting information or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135.7(4)</w:t>
      </w:r>
      <w:r>
        <w:rPr>
          <w:rFonts w:ascii="Times New Roman" w:hAnsi="Times New Roman"/>
          <w:b w:val="false"/>
          <w:i w:val="false"/>
          <w:color w:val="000000"/>
          <w:sz w:val="24"/>
        </w:rPr>
        <w:t> </w:t>
      </w:r>
      <w:r>
        <w:rPr>
          <w:rFonts w:ascii="Times New Roman" w:hAnsi="Times New Roman"/>
          <w:b w:val="false"/>
          <w:i/>
          <w:color w:val="000000"/>
          <w:sz w:val="24"/>
        </w:rPr>
        <w:t xml:space="preserve">Free product assessment and removal. </w:t>
      </w:r>
      <w:r>
        <w:rPr>
          <w:rFonts w:ascii="Times New Roman" w:hAnsi="Times New Roman"/>
          <w:b w:val="false"/>
          <w:i w:val="false"/>
          <w:color w:val="000000"/>
          <w:sz w:val="24"/>
        </w:rPr>
        <w:t xml:space="preserve">The free product assessment and removal requirements in this chapter are primarily concerned with a regulated substance that is present as a light nonaqueous phase liquid (LNAPL) in a monitoring well, boring, excavation, or other location at a thickness of more than 0.01 ft. At sites where investigations under </w:t>
      </w:r>
      <w:hyperlink r:id="rId352">
        <w:r>
          <w:rPr>
            <w:rStyle w:val="Hyperlink"/>
            <w:rFonts w:ascii="Times New Roman" w:hAnsi="Times New Roman"/>
            <w:b w:val="false"/>
            <w:i w:val="false"/>
            <w:color w:val="000000"/>
            <w:sz w:val="24"/>
          </w:rPr>
          <w:t>135.7(3)</w:t>
        </w:r>
      </w:hyperlink>
      <w:r>
        <w:rPr>
          <w:rFonts w:ascii="Times New Roman" w:hAnsi="Times New Roman"/>
          <w:b w:val="false"/>
          <w:i/>
          <w:color w:val="000000"/>
          <w:sz w:val="24"/>
        </w:rPr>
        <w:t>“a”</w:t>
      </w:r>
      <w:r>
        <w:rPr>
          <w:rFonts w:ascii="Times New Roman" w:hAnsi="Times New Roman"/>
          <w:b w:val="false"/>
          <w:i w:val="false"/>
          <w:color w:val="000000"/>
          <w:sz w:val="24"/>
        </w:rPr>
        <w:t xml:space="preserve">(5) indicate 0.01 ft. or more of free product, owners and operators must immediately initiate a free product recovery assessment and submit a report in accordance with </w:t>
      </w:r>
      <w:hyperlink r:id="rId353">
        <w:r>
          <w:rPr>
            <w:rStyle w:val="Hyperlink"/>
            <w:rFonts w:ascii="Times New Roman" w:hAnsi="Times New Roman"/>
            <w:b w:val="false"/>
            <w:i w:val="false"/>
            <w:color w:val="000000"/>
            <w:sz w:val="24"/>
          </w:rPr>
          <w:t>135.7(4)</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initiate interim free product removal while continuing, as necessary, any actions initiated under </w:t>
      </w:r>
      <w:hyperlink r:id="rId354">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xml:space="preserve"> and </w:t>
      </w:r>
      <w:hyperlink r:id="rId355">
        <w:r>
          <w:rPr>
            <w:rStyle w:val="Hyperlink"/>
            <w:rFonts w:ascii="Times New Roman" w:hAnsi="Times New Roman"/>
            <w:b w:val="false"/>
            <w:i w:val="false"/>
            <w:color w:val="000000"/>
            <w:sz w:val="24"/>
          </w:rPr>
          <w:t>135.7(3)</w:t>
        </w:r>
      </w:hyperlink>
      <w:r>
        <w:rPr>
          <w:rFonts w:ascii="Times New Roman" w:hAnsi="Times New Roman"/>
          <w:b w:val="false"/>
          <w:i w:val="false"/>
          <w:color w:val="000000"/>
          <w:sz w:val="24"/>
        </w:rPr>
        <w:t xml:space="preserve">, or preparing for actions required under </w:t>
      </w:r>
      <w:hyperlink r:id="rId356">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357">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Owners and operators must immediately begin interim free product removal by bailing or by installation and maintenance of passive skimming equipment until an alternative removal method is required by or approved by the department. A certified groundwater professional must initially determine the frequency of bailing and proper installation and maintenance of the skimming equipment based on a determination of the recharge rate of the free product. The department may approve implementation of this interim removal process by persons not certified as groundwater professionals. For approval a certified groundwater professional must submit (1) sufficient documentation establishing that the bailing or skimming system has been adequately designed and tested, and (2) a written plan for regular maintenance, reporting and supervision by a certified groundwater professional. Interim free product recovery reports must be submitted to the department on a monthly basis and on forms provided by the department. In meeting the requirements of this subrule, owners and operators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Conduct free product removal at a frequency determined by the recharge rate of the product and in a manner that minimizes the spread of contamination into previously uncontaminated zones by using recovery and disposal techniques appropriate to the hydrogeologic conditions at the site, and that properly treats, discharges or disposes of recovery by-products in compliance with applicable local, state and federal regulations. Unless approved by the department, free product assessment and recovery activities must be conducted by a certified groundwater professional. Owners and operators must report the results of free product removal activities on forms designated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Use abatement of free product migration as a minimum objective for the design of the free product removal system. Free product recovery systems must be designed to remove free product in accordance with </w:t>
      </w:r>
      <w:hyperlink r:id="rId358">
        <w:r>
          <w:rPr>
            <w:rStyle w:val="Hyperlink"/>
            <w:rFonts w:ascii="Times New Roman" w:hAnsi="Times New Roman"/>
            <w:b w:val="false"/>
            <w:i w:val="false"/>
            <w:color w:val="000000"/>
            <w:sz w:val="24"/>
          </w:rPr>
          <w:t>135.7(4)</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Handle any flammable products in a safe and competent manner to prevent fires or explosions;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Free product recovery assessment and report. Unless directed to do otherwise by the department, prepare and submit to the department, within 45 days after confirming a release, a free product recovery assessment report and a proposal for subsequent free product removal activities. The free product recovery assessment report and removal proposal must contain at least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person(s) responsible for implementing the free product removal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quantity, type and thickness of free product observed or measured in monitoring wells, boreholes, and excavations, the recharge rate in all affected monitoring wells and a detailed description of the procedures used to determine the recharge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detailed justification for the free product removal technology proposed for the site. Base the justification narrative on professional judgment considering the characteristics of the free product plume (i.e., estimated volume, type of product, thickness, extent), an assessment of cost effectiveness based on recovery costs compared to alternative methods, site hydrology and geology, when the release event occurred, testing conducted to verify design assumptions and the potential for petroleum vapors or explosive conditions to occur in enclosed spaces. Proposals for removal systems other than hand bailing or passive skimming systems must be completed and submitted on a format consistent with the department’s corrective action design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schematic and narrative description of the free product recovery system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any discharge will take place on site or off site during the recovery operation and where this discharge will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schematic and narrative description of the treatment system, and the effluent quality expected from any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steps that have been or are being taken to obtain necessary permits for any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disposition of the recovered free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Free product plume definition and map. The extent of free product must be assessed. If monitoring wells are used to define the free product plume, the number and location of wells and separation distance between the wells used to define the plume must be based on the receptors present and the site hydrology and geology. A minimum of five monitoring wells are required to construct the plume map. The boundary of the plume may be determined by half the distance between wells with free product and wells with no free product. If the groundwater professional can adequately define the plume using other technology as approved by the department, fewer than five wells may be used to define the boundary of the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estimated volume of free product present, how the volume was calculated, recoverable volume and estimated recovery time;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of all water lines, regardless of construction material, within the area of free product. Water lines and gaskets that are susceptible to petroleum contamination shall be considered within the area of free product if they are located within the boundary of the free product plume as defined by wells unless it can be demonstrated that no LNAPL exists within ten feet (horizontally or vertically) of the water line and the LNAPL is not migrating nor is likely to migrate. Water lines and gaskets that are susceptible to petroleum contamination within the area of free product must be relocated unless the department has approved an alternate plan of construction or it can be demonstrated that mobile LNAPL is not in contact with water lines or gaskets. See </w:t>
      </w:r>
      <w:hyperlink r:id="rId359">
        <w:r>
          <w:rPr>
            <w:rStyle w:val="Hyperlink"/>
            <w:rFonts w:ascii="Times New Roman" w:hAnsi="Times New Roman"/>
            <w:b w:val="false"/>
            <w:i w:val="false"/>
            <w:color w:val="000000"/>
            <w:sz w:val="24"/>
          </w:rPr>
          <w:t>135.12(3)</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review the free product assessment report; and, if approved, the owner or operator must implement the installation of the approved recovery system within 60 days or other time period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Termination of free product recovery activities. Owners and operators may propose to the department to terminate free product recovery activities when significant amounts of hydrocarbons are not being recovered. The department will consider proposals to terminate free product recovery when the amount of product collected from a monitoring well is equal to or less than 0.1 gallon each month for a year or it is documented that the free product plume has been adequately delineated horizontally and vertically and free product is documented to not be migrating. When free product activities have been terminated based on the recovery rate of equal to or less than 0.1 gallon each month for a year, owners and operators must inspect the monitoring wells monthly for at least a year unless another schedule is approved by the department. The department must be notified and may require that free product recovery activities be reinitiated if during the monthly well inspections it is determined the product thickness in a monitoring well exceeds 0.02 ft. The monthly well inspection records must be kept available for review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Unless directed to do otherwise by the department, prepare and submit to the department within 180 days after confirming a release, a Tier 2 site cleanup report.</w:t>
      </w:r>
    </w:p>
    <w:p>
      <w:pPr>
        <w:spacing w:before="0" w:after="0" w:line="480"/>
        <w:ind w:left="120"/>
        <w:jc w:val="both"/>
      </w:pPr>
      <w:r>
        <w:rPr>
          <w:rFonts w:ascii="Times New Roman" w:hAnsi="Times New Roman"/>
          <w:b/>
          <w:i w:val="false"/>
          <w:color w:val="000000"/>
          <w:sz w:val="24"/>
        </w:rPr>
        <w:t>567—135.8</w:t>
      </w:r>
      <w:r>
        <w:rPr>
          <w:rFonts w:ascii="Times New Roman" w:hAnsi="Times New Roman"/>
          <w:b/>
          <w:i w:val="false"/>
          <w:color w:val="000000"/>
          <w:sz w:val="24"/>
        </w:rPr>
        <w:t xml:space="preserve">(455B) </w:t>
      </w:r>
      <w:r>
        <w:rPr>
          <w:rFonts w:ascii="Times New Roman" w:hAnsi="Times New Roman"/>
          <w:b/>
          <w:i w:val="false"/>
          <w:color w:val="000000"/>
          <w:sz w:val="24"/>
        </w:rPr>
        <w:t xml:space="preserve">Risk-based corrective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objective of risk-based corrective action is to effectively evaluate the risks posed by contamination to human health, safety and the environment using a progressively more site-specific, three-tiered approach to site assessment and data analysis. Based on the tiered assessment, a corrective action response is determined sufficient to remove or minimize risks to acceptable levels. Corrective action response includes a broad range of options including reduction of contaminant concentrations through active or passive methods, monitoring of contamination, use of technological controls or institutional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Tier 1. </w:t>
      </w:r>
      <w:r>
        <w:rPr>
          <w:rFonts w:ascii="Times New Roman" w:hAnsi="Times New Roman"/>
          <w:b w:val="false"/>
          <w:i w:val="false"/>
          <w:color w:val="000000"/>
          <w:sz w:val="24"/>
        </w:rPr>
        <w:t>The purpose of a Tier 1 assessment is to identify whether a site poses an unreasonable risk to public health and safety or the environment based on limited site data. The objective is to determine maximum concentrations of chemicals of concern at the source of a release(s) in soil and groundwater. The Tier 1 assessment assumes worst-case scenarios in which actual or potential receptors could be exposed to these chemicals at maximum concentrations through certain soil and groundwater pathways. The point of exposure is assumed to be the source showing maximum concentrations. Risk-based screening levels (Tier 1 levels) contained in the Tier 1 Look-Up Table have been derived from models that use conservative assumptions to predict exposure to actual and potential receptors. (These models and default assumptions are contained in Appendix A.) If Tier 1 levels are not exceeded for a pathway, that pathway may not require further assessment. If the maximum concentrations exceed a Tier 1 level, the options are to conduct a more extensive Tier 2 assessment, apply an institutional control, or in limited circumstances excavate contaminated soil to below Tier 1 levels. If all pathways clear the Tier 1 levels, it is possible for the site to obtain a no action required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Tier 2. </w:t>
      </w:r>
      <w:r>
        <w:rPr>
          <w:rFonts w:ascii="Times New Roman" w:hAnsi="Times New Roman"/>
          <w:b w:val="false"/>
          <w:i w:val="false"/>
          <w:color w:val="000000"/>
          <w:sz w:val="24"/>
        </w:rPr>
        <w:t xml:space="preserve">The purpose of a Tier 2 assessment is to use site-specific data to assess the risk from chemicals of concern to existing receptors and potential receptors using fate and transport models in accordance with </w:t>
      </w:r>
      <w:hyperlink r:id="rId360">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 xml:space="preserve">(455B). See </w:t>
      </w:r>
      <w:hyperlink r:id="rId361">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Tier 3. </w:t>
      </w:r>
      <w:r>
        <w:rPr>
          <w:rFonts w:ascii="Times New Roman" w:hAnsi="Times New Roman"/>
          <w:b w:val="false"/>
          <w:i w:val="false"/>
          <w:color w:val="000000"/>
          <w:sz w:val="24"/>
        </w:rPr>
        <w:t xml:space="preserve">Where site conditions may not be adequately addressed by Tier 2 procedures, a Tier 3 assessment may provide more accurate risk assessment. The purpose of Tier 3 is to identify reasonable exposure levels of chemicals of concern and to assess the risk of exposure to existing and potential receptors based on additional site assessment information, probabilistic evaluations, or sophisticated chemical fate and transport models in accordance with </w:t>
      </w:r>
      <w:hyperlink r:id="rId362">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Whenever the department requires a tiered site assessment and a public water supply well is within 2,500 feet of a leaking underground storage tank site, the department will notify the public water supply operator.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Pathway reevaluation. </w:t>
      </w:r>
      <w:r>
        <w:rPr>
          <w:rFonts w:ascii="Times New Roman" w:hAnsi="Times New Roman"/>
          <w:b w:val="false"/>
          <w:i w:val="false"/>
          <w:color w:val="000000"/>
          <w:sz w:val="24"/>
        </w:rPr>
        <w:t xml:space="preserve">Prior to issuance of a no further action certificate in accordance with </w:t>
      </w:r>
      <w:hyperlink r:id="rId363">
        <w:r>
          <w:rPr>
            <w:rStyle w:val="Hyperlink"/>
            <w:rFonts w:ascii="Times New Roman" w:hAnsi="Times New Roman"/>
            <w:b w:val="false"/>
            <w:i w:val="false"/>
            <w:color w:val="000000"/>
            <w:sz w:val="24"/>
          </w:rPr>
          <w:t>135.12(10)</w:t>
        </w:r>
      </w:hyperlink>
      <w:r>
        <w:rPr>
          <w:rFonts w:ascii="Times New Roman" w:hAnsi="Times New Roman"/>
          <w:b w:val="false"/>
          <w:i w:val="false"/>
          <w:color w:val="000000"/>
          <w:sz w:val="24"/>
        </w:rPr>
        <w:t xml:space="preserve"> and Iowa Code section </w:t>
      </w:r>
      <w:hyperlink r:id="rId364">
        <w:r>
          <w:rPr>
            <w:rStyle w:val="Hyperlink"/>
            <w:rFonts w:ascii="Times New Roman" w:hAnsi="Times New Roman"/>
            <w:b w:val="false"/>
            <w:i w:val="false"/>
            <w:color w:val="000000"/>
            <w:sz w:val="24"/>
          </w:rPr>
          <w:t>455B.474(1)</w:t>
        </w:r>
      </w:hyperlink>
      <w:r>
        <w:rPr>
          <w:rFonts w:ascii="Times New Roman" w:hAnsi="Times New Roman"/>
          <w:b w:val="false"/>
          <w:i/>
          <w:color w:val="000000"/>
          <w:sz w:val="24"/>
        </w:rPr>
        <w:t>“h”</w:t>
      </w:r>
      <w:r>
        <w:rPr>
          <w:rFonts w:ascii="Times New Roman" w:hAnsi="Times New Roman"/>
          <w:b w:val="false"/>
          <w:i w:val="false"/>
          <w:color w:val="000000"/>
          <w:sz w:val="24"/>
        </w:rPr>
        <w:t xml:space="preserve">(3), if it is determined that the conditions for an individual pathway that has been classified as “no action required” no longer exist, or the site presents an unreasonable risk to a public water supply well and the model used to obtain the pathway clearance underpredicts the actual contaminant plume, the individual pathway shall be further assessed consistent with the risk-based corrective action provisions in </w:t>
      </w:r>
      <w:hyperlink r:id="rId365">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36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135.8(2)</w:t>
      </w:r>
      <w:r>
        <w:rPr>
          <w:rFonts w:ascii="Times New Roman" w:hAnsi="Times New Roman"/>
          <w:b w:val="false"/>
          <w:i w:val="false"/>
          <w:color w:val="000000"/>
          <w:sz w:val="24"/>
        </w:rPr>
        <w:t> </w:t>
      </w:r>
      <w:r>
        <w:rPr>
          <w:rFonts w:ascii="Times New Roman" w:hAnsi="Times New Roman"/>
          <w:b w:val="false"/>
          <w:i/>
          <w:color w:val="000000"/>
          <w:sz w:val="24"/>
        </w:rPr>
        <w:t xml:space="preserve">Certified groundwater professional. </w:t>
      </w:r>
      <w:r>
        <w:rPr>
          <w:rFonts w:ascii="Times New Roman" w:hAnsi="Times New Roman"/>
          <w:b w:val="false"/>
          <w:i w:val="false"/>
          <w:color w:val="000000"/>
          <w:sz w:val="24"/>
        </w:rPr>
        <w:t xml:space="preserve">All assessment, corrective action, data analysis and report development required under </w:t>
      </w:r>
      <w:hyperlink r:id="rId367">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through </w:t>
      </w:r>
      <w:hyperlink r:id="rId368">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must be conducted by or under the supervision of a certified groundwater professional in accordance with these rules and department guidance as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135.8(3)</w:t>
      </w:r>
      <w:r>
        <w:rPr>
          <w:rFonts w:ascii="Times New Roman" w:hAnsi="Times New Roman"/>
          <w:b w:val="false"/>
          <w:i w:val="false"/>
          <w:color w:val="000000"/>
          <w:sz w:val="24"/>
        </w:rPr>
        <w:t> </w:t>
      </w:r>
      <w:r>
        <w:rPr>
          <w:rFonts w:ascii="Times New Roman" w:hAnsi="Times New Roman"/>
          <w:b w:val="false"/>
          <w:i/>
          <w:color w:val="000000"/>
          <w:sz w:val="24"/>
        </w:rPr>
        <w:t xml:space="preserve">Chemicals of concern. </w:t>
      </w:r>
      <w:r>
        <w:rPr>
          <w:rFonts w:ascii="Times New Roman" w:hAnsi="Times New Roman"/>
          <w:b w:val="false"/>
          <w:i w:val="false"/>
          <w:color w:val="000000"/>
          <w:sz w:val="24"/>
        </w:rPr>
        <w:t xml:space="preserve">Soil and groundwater samples from releases of petroleum regulated substances must always be analyzed for the presence of benzene, ethylbenzene, toluene, and xylenes. In addition, if the release is suspected to include any petroleum regulated substance other than gasoline or gasoline blends, or if the source of the release is unknown, the samples must be tested for the presence of Total Extractable Hydrocarbons (TEH). Appendices A and B and department Tier 2 guidance define a method for converting TEH values to a default concentration for naphthalene, benzo(a)pyrene, benz(a)anthracene and chrysene and conversion back to a representative TEH value. These default values must be used in order to apply Tier 2 modeling to these constituents in the absence of accurate laboratory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135.8(4)</w:t>
      </w:r>
      <w:r>
        <w:rPr>
          <w:rFonts w:ascii="Times New Roman" w:hAnsi="Times New Roman"/>
          <w:b w:val="false"/>
          <w:i w:val="false"/>
          <w:color w:val="000000"/>
          <w:sz w:val="24"/>
        </w:rPr>
        <w:t> </w:t>
      </w:r>
      <w:r>
        <w:rPr>
          <w:rFonts w:ascii="Times New Roman" w:hAnsi="Times New Roman"/>
          <w:b w:val="false"/>
          <w:i/>
          <w:color w:val="000000"/>
          <w:sz w:val="24"/>
        </w:rPr>
        <w:t xml:space="preserve">Boring depth for sampling. </w:t>
      </w:r>
      <w:r>
        <w:rPr>
          <w:rFonts w:ascii="Times New Roman" w:hAnsi="Times New Roman"/>
          <w:b w:val="false"/>
          <w:i w:val="false"/>
          <w:color w:val="000000"/>
          <w:sz w:val="24"/>
        </w:rPr>
        <w:t>When drilling for the placement of groundwater monitoring wells, if groundwater is encountered, drilling must continue to the maximum of 10 feet below the first encountered groundwater or to the bottom of soil contamination as estimated by field screening. If groundwater is not encountered, drilling must continue to the deeper of 10 feet below the soil contamination as estimated by field screening or 75 feet from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135.8(5)</w:t>
      </w:r>
      <w:r>
        <w:rPr>
          <w:rFonts w:ascii="Times New Roman" w:hAnsi="Times New Roman"/>
          <w:b w:val="false"/>
          <w:i w:val="false"/>
          <w:color w:val="000000"/>
          <w:sz w:val="24"/>
        </w:rPr>
        <w:t> </w:t>
      </w:r>
      <w:r>
        <w:rPr>
          <w:rFonts w:ascii="Times New Roman" w:hAnsi="Times New Roman"/>
          <w:b w:val="false"/>
          <w:i/>
          <w:color w:val="000000"/>
          <w:sz w:val="24"/>
        </w:rPr>
        <w:t xml:space="preserve">Bedrock aquifer assessment. </w:t>
      </w:r>
      <w:r>
        <w:rPr>
          <w:rFonts w:ascii="Times New Roman" w:hAnsi="Times New Roman"/>
          <w:b w:val="false"/>
          <w:i w:val="false"/>
          <w:color w:val="000000"/>
          <w:sz w:val="24"/>
        </w:rPr>
        <w:t xml:space="preserve">Prior to conducting any groundwater drilling, a groundwater professional must determine if there is a potential to encounter bedrock before groundwater. These potential areas include (1) areas where karst features or outcrops exist in the vicinity and (2) areas with bedrock less than 50 feet from the surface as illustrated in Tier 1 and Tier 2 guidance. The purpose of this determination is to prevent drilling through contaminated subsurface areas thereby creating a preferential pathway to a bedrock aquifer. If the first encountered groundwater is above bedrock but near the bedrock surface or fluctuates above and below bedrock, the groundwater professional should evaluate the subsurface geology and aquifer characteristics to determine the potential for creating a preferential pathway. If it is determined that the aquifer acts like a nongranular aquifer as provided in </w:t>
      </w:r>
      <w:hyperlink r:id="rId369">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bedrock is encountered before groundwater, the groundwater professional must conduct a Tier 2 assessment for all pathways under </w:t>
      </w:r>
      <w:hyperlink r:id="rId370">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 xml:space="preserve">(455B), including the specified bedrock procedures under </w:t>
      </w:r>
      <w:hyperlink r:id="rId371">
        <w:r>
          <w:rPr>
            <w:rStyle w:val="Hyperlink"/>
            <w:rFonts w:ascii="Times New Roman" w:hAnsi="Times New Roman"/>
            <w:b w:val="false"/>
            <w:i w:val="false"/>
            <w:color w:val="000000"/>
            <w:sz w:val="24"/>
          </w:rPr>
          <w:t>135.10(3)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If the first encountered groundwater is above bedrock with sufficient separation and aquifer characteristics to establish that it acts as a granular aquifer, site assessment may proceed under the site check procedure in </w:t>
      </w:r>
      <w:hyperlink r:id="rId372">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the Tier 1 procedure in </w:t>
      </w:r>
      <w:hyperlink r:id="rId373">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 xml:space="preserve">(455B) or the Tier 2 procedure in </w:t>
      </w:r>
      <w:hyperlink r:id="rId374">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 as would be customary regardless of the bedrock designation. However, even under this condition, drilling through bedrock should be avoided in contaminated areas.</w:t>
      </w:r>
    </w:p>
    <w:p>
      <w:pPr>
        <w:spacing w:before="0" w:after="0" w:line="480"/>
        <w:ind w:left="120"/>
        <w:jc w:val="both"/>
      </w:pPr>
      <w:r>
        <w:rPr>
          <w:rFonts w:ascii="Times New Roman" w:hAnsi="Times New Roman"/>
          <w:b/>
          <w:i w:val="false"/>
          <w:color w:val="000000"/>
          <w:sz w:val="24"/>
        </w:rPr>
        <w:t>567—135.9</w:t>
      </w:r>
      <w:r>
        <w:rPr>
          <w:rFonts w:ascii="Times New Roman" w:hAnsi="Times New Roman"/>
          <w:b/>
          <w:i w:val="false"/>
          <w:color w:val="000000"/>
          <w:sz w:val="24"/>
        </w:rPr>
        <w:t xml:space="preserve">(455B) </w:t>
      </w:r>
      <w:r>
        <w:rPr>
          <w:rFonts w:ascii="Times New Roman" w:hAnsi="Times New Roman"/>
          <w:b/>
          <w:i w:val="false"/>
          <w:color w:val="000000"/>
          <w:sz w:val="24"/>
        </w:rPr>
        <w:t xml:space="preserve">Tier 1 site assessment policy and procedure. </w:t>
      </w:r>
    </w:p>
    <w:p>
      <w:pPr>
        <w:spacing w:before="0" w:after="0" w:line="480"/>
        <w:ind w:left="120"/>
        <w:jc w:val="both"/>
      </w:pPr>
      <w:r>
        <w:rPr>
          <w:rFonts w:ascii="Times New Roman" w:hAnsi="Times New Roman"/>
          <w:b/>
          <w:i w:val="false"/>
          <w:color w:val="000000"/>
          <w:sz w:val="24"/>
        </w:rPr>
        <w:t>135.9(1)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main objective of a Tier 1 site assessment is to reasonably determine the highest concentrations of chemicals of concern that would be associated with any suspected or confirmed release and an accurate identification of applicable receptors. The potential source of a release, nature of the substance released, site stratigraphy, depth to groundwater, and other appropriate factors must be considered when selecting the sample types, sample locations, and measurements methods. The placement and depth of borings and the construction of monitoring wells must be sufficient to determine the sources of all releases, the vertical extent of contamination, an accurate description of site stratigraphy, and a reliable determination of groundwater flow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assessment. </w:t>
      </w:r>
      <w:r>
        <w:rPr>
          <w:rFonts w:ascii="Times New Roman" w:hAnsi="Times New Roman"/>
          <w:b w:val="false"/>
          <w:i w:val="false"/>
          <w:color w:val="000000"/>
          <w:sz w:val="24"/>
        </w:rPr>
        <w:t>The pathways to be evaluated at Tier 1 are the groundwater ingestion pathway, soil leaching to groundwater pathway, groundwater vapor to enclosed space pathway, soil vapor to enclosed space pathway, soil to water line pathway, groundwater to water line pathway and the surface water pathway. Assessment requires a determination of whether a pathway is complete, an evaluation of actual and potential receptors, and a determination of whether conditions are satisfied for obtaining no further action clearance for individual pathways or for obtaining a complete site classification of “no action required.” A pathway is considered complete if a chemical of concern has a route that could be followed to reach an actual or potential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contaminant concentrations for an individual pathway do not exceed the applicable Tier 1 levels or if a pathway is incomplete, no further action is required to evaluate the pathway unless otherwise specified in these rules. If the contaminant concentrations for a pathway exceed the applicable Tier 1 level(s) in the “Iowa Tier 1 Look-up Table,” the response is to conduct further assessment under Tier 2 or Tier 3 unless an effective institutional control is approved. In limited circumstances excavation of contaminated soils may be used as an option to obtain pathway clearance. If further site assessment indicates site data exceeds an applicable Tier 1 level(s) for a previously cleared pathway or the conditions justifying a determination of pathway incompleteness change, that pathway must be reevaluated as part of a Tier 2 or Tier 3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Chemical group clearance. </w:t>
      </w:r>
      <w:r>
        <w:rPr>
          <w:rFonts w:ascii="Times New Roman" w:hAnsi="Times New Roman"/>
          <w:b w:val="false"/>
          <w:i w:val="false"/>
          <w:color w:val="000000"/>
          <w:sz w:val="24"/>
        </w:rPr>
        <w:t>If concentrations for all chemicals of concern within a designated group of chemicals are below the Tier 1 levels, no further action is required as to the group of chemicals unless otherwise specified in these rules. Group one consists of benzene, ethylbenzene, toluene, and xylenes (BTEX). Group two consists of naphthalene, benzo(a)pyrene, benz(a)anthracene and chrysene; TEH default values are incorporated into the Iowa Tier 1 Look-Up Table and Appendix A for group two chemicals.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Site classification. </w:t>
      </w:r>
      <w:r>
        <w:rPr>
          <w:rFonts w:ascii="Times New Roman" w:hAnsi="Times New Roman"/>
          <w:b w:val="false"/>
          <w:i w:val="false"/>
          <w:color w:val="000000"/>
          <w:sz w:val="24"/>
        </w:rPr>
        <w:t>A site can be classified as no action required only after all pathways have met the conditions for pathway clearance as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Groundwater sampling procedure. </w:t>
      </w:r>
      <w:r>
        <w:rPr>
          <w:rFonts w:ascii="Times New Roman" w:hAnsi="Times New Roman"/>
          <w:b w:val="false"/>
          <w:i w:val="false"/>
          <w:color w:val="000000"/>
          <w:sz w:val="24"/>
        </w:rPr>
        <w:t>Groundwater sampling and field screening must be conducted in accordance with department Tier 1 guidance. A minimum of three properly constructed groundwater monitoring wells must be installed, subject to the limitations on maximum drilling depths, for the purpose of identifying maximum concentrations of groundwater contamination, suspected sources of releases, and groundwater flow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Field screening must be used to locate suspected releases and to determine locations with the greatest concentrations of contamination. Field screening is required as per department guidance at each former and current tank basin, each former and current pump island, along the piping, and at any other areas of actual or suspected releases. In placing monitoring wells, the following must be considered: field screening data, available current and historical information regarding the releases, tank and piping layout, site conditions, and drilling data available from sites in the vicinity. At least one well must be placed at each suspected source of release that shall include at a minimum: the pump island with the greatest field screening level, each current and former underground storage tank basin, and if field screening shows greater levels than at the pump islands or tank basins, at other suspected sources of releases. As a general rule, wells should be installed outside of the tank basin through native soils but as close to the tank basin as feasible. A well must be installed in a presumed downgradient direction and within 30 feet of the sample with the greatest field screening level. Three of the wells must be placed in a triangular arrangement to determine groundwater flow direction.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 circumstances that prompt a Tier 1 assessment identify a discrete source and cause of a release, and the groundwater professional is able to rule out other suspected sources or contributing sources such as pump islands, piping runs and tank basins, the application of field screening and groundwater well placement may be limited to the known source.</w:t>
      </w:r>
    </w:p>
    <w:p>
      <w:pPr>
        <w:spacing w:before="0" w:after="0" w:line="480"/>
        <w:ind w:left="120"/>
        <w:jc w:val="both"/>
      </w:pP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Soil sampling procedure. </w:t>
      </w:r>
      <w:r>
        <w:rPr>
          <w:rFonts w:ascii="Times New Roman" w:hAnsi="Times New Roman"/>
          <w:b w:val="false"/>
          <w:i w:val="false"/>
          <w:color w:val="000000"/>
          <w:sz w:val="24"/>
        </w:rPr>
        <w:t>The objective of soil sampling is to identify the maximum concentrations of soil contamination in the vadose and saturated zones and to identify sources of releases. The same principles stated above apply to soil sampling. Soil samples must be taken from borings with the greatest field screening levels even if the boring will not be converted to a monitoring well. At a minimum, soil and groundwater samples must be collected for analysis from all borings that are converted to monitoring wells.</w:t>
      </w:r>
    </w:p>
    <w:p>
      <w:pPr>
        <w:spacing w:before="60" w:after="0" w:line="480"/>
        <w:ind w:left="120"/>
        <w:jc w:val="center"/>
      </w:pPr>
      <w:r>
        <w:rPr>
          <w:rFonts w:ascii="Times New Roman" w:hAnsi="Times New Roman"/>
          <w:b w:val="false"/>
          <w:i w:val="false"/>
          <w:color w:val="000000"/>
          <w:sz w:val="24"/>
        </w:rPr>
        <w:t>Iowa Tier 1 Look-Up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16"/>
        <w:gridCol w:w="1184"/>
        <w:gridCol w:w="1095"/>
        <w:gridCol w:w="915"/>
        <w:gridCol w:w="915"/>
        <w:gridCol w:w="1004"/>
        <w:gridCol w:w="1004"/>
        <w:gridCol w:w="1004"/>
        <w:gridCol w:w="915"/>
      </w:tblGrid>
      <w:tr>
        <w:trPr>
          <w:trHeight w:val="195" w:hRule="atLeast"/>
        </w:trPr>
        <w:tc>
          <w:tcPr>
            <w:tcW w:w="916"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Media</w:t>
            </w:r>
          </w:p>
        </w:tc>
        <w:tc>
          <w:tcPr>
            <w:tcW w:w="1184"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Exposure Pathway</w:t>
            </w:r>
          </w:p>
        </w:tc>
        <w:tc>
          <w:tcPr>
            <w:tcW w:w="109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2: TEH</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Benzene</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Toluene</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Ethylbenzene</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Xylenes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Diesel*</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Waste Oil</w:t>
            </w:r>
          </w:p>
        </w:tc>
      </w:tr>
      <w:tr>
        <w:trPr>
          <w:trHeight w:val="195" w:hRule="atLeast"/>
        </w:trPr>
        <w:tc>
          <w:tcPr>
            <w:tcW w:w="91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(µg/L)</w:t>
            </w:r>
          </w:p>
        </w:tc>
        <w:tc>
          <w:tcPr>
            <w:tcW w:w="11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Ingestion</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Vapor to Enclosed Space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1,540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20,190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bottom w:val="single" w:color="000000" w:sz="8"/>
              <w:right w:val="single" w:color="000000" w:sz="8"/>
            </w:tcBorders>
          </w:tcPr>
          <w:p/>
        </w:tc>
        <w:tc>
          <w:tcPr>
            <w:tcW w:w="11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to Water Line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Mains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6,250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Service Lines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PE/PB/AC Mains or Service Lines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510" w:hRule="atLeast"/>
        </w:trPr>
        <w:tc>
          <w:tcPr>
            <w:tcW w:w="91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(mg/kg)</w:t>
            </w: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0.54</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1.16</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11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09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91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91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line="480"/>
        <w:ind w:left="120"/>
        <w:jc w:val="both"/>
      </w:pPr>
      <w:r>
        <w:rPr>
          <w:rFonts w:ascii="Times New Roman" w:hAnsi="Times New Roman"/>
          <w:b w:val="false"/>
          <w:i w:val="false"/>
          <w:color w:val="000000"/>
          <w:sz w:val="24"/>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line="480"/>
        <w:ind w:left="120"/>
        <w:jc w:val="both"/>
      </w:pPr>
      <w:r>
        <w:rPr>
          <w:rFonts w:ascii="Times New Roman" w:hAnsi="Times New Roman"/>
          <w:b w:val="false"/>
          <w:i w:val="false"/>
          <w:color w:val="000000"/>
          <w:sz w:val="24"/>
        </w:rPr>
        <w:t>TEH: Total Extractable Hydrocarbons. The TEH value is based on risks from naphthalene, benzo(a)pyrene, benz(a)anthracene, and chrysene. Refer to Appendix B for further details.</w:t>
      </w:r>
    </w:p>
    <w:p>
      <w:pPr>
        <w:spacing w:before="0" w:after="0" w:line="480"/>
        <w:ind w:left="120"/>
        <w:jc w:val="both"/>
      </w:pPr>
      <w:r>
        <w:rPr>
          <w:rFonts w:ascii="Times New Roman" w:hAnsi="Times New Roman"/>
          <w:b w:val="false"/>
          <w:i w:val="false"/>
          <w:color w:val="000000"/>
          <w:sz w:val="24"/>
        </w:rPr>
        <w:t>Diesel*: Standards in the Diesel column apply to all low volatile petroleum hydrocarbons except waste 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135.9(2)</w:t>
      </w:r>
      <w:r>
        <w:rPr>
          <w:rFonts w:ascii="Times New Roman" w:hAnsi="Times New Roman"/>
          <w:b w:val="false"/>
          <w:i w:val="false"/>
          <w:color w:val="000000"/>
          <w:sz w:val="24"/>
        </w:rPr>
        <w:t> </w:t>
      </w:r>
      <w:r>
        <w:rPr>
          <w:rFonts w:ascii="Times New Roman" w:hAnsi="Times New Roman"/>
          <w:b w:val="false"/>
          <w:i/>
          <w:color w:val="000000"/>
          <w:sz w:val="24"/>
        </w:rPr>
        <w:t xml:space="preserve">Conditions requiring Tier 1 site assessment. </w:t>
      </w:r>
      <w:r>
        <w:rPr>
          <w:rFonts w:ascii="Times New Roman" w:hAnsi="Times New Roman"/>
          <w:b w:val="false"/>
          <w:i w:val="false"/>
          <w:color w:val="000000"/>
          <w:sz w:val="24"/>
        </w:rPr>
        <w:t xml:space="preserve">Unless owners and operators choose to conduct a Tier 2 assessment, the presence of bedrock requires a Tier 2 assessment as provided in </w:t>
      </w:r>
      <w:hyperlink r:id="rId375">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or these rules otherwise require preparation of a Tier 2 site assessment, a Tier 1 site assessment must be completed in response to release confirmation as provided in </w:t>
      </w:r>
      <w:hyperlink r:id="rId376">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or tank closure investigation under </w:t>
      </w:r>
      <w:hyperlink r:id="rId377">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 xml:space="preserve">(455B), or other reliable laboratory analysis that confirms the presence of contamination above the action levels in </w:t>
      </w:r>
      <w:hyperlink r:id="rId378">
        <w:r>
          <w:rPr>
            <w:rStyle w:val="Hyperlink"/>
            <w:rFonts w:ascii="Times New Roman" w:hAnsi="Times New Roman"/>
            <w:b w:val="false"/>
            <w:i w:val="false"/>
            <w:color w:val="000000"/>
            <w:sz w:val="24"/>
          </w:rPr>
          <w:t>567—135.14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135.9(3)</w:t>
      </w:r>
      <w:r>
        <w:rPr>
          <w:rFonts w:ascii="Times New Roman" w:hAnsi="Times New Roman"/>
          <w:b w:val="false"/>
          <w:i w:val="false"/>
          <w:color w:val="000000"/>
          <w:sz w:val="24"/>
        </w:rPr>
        <w:t> </w:t>
      </w:r>
      <w:r>
        <w:rPr>
          <w:rFonts w:ascii="Times New Roman" w:hAnsi="Times New Roman"/>
          <w:b w:val="false"/>
          <w:i/>
          <w:color w:val="000000"/>
          <w:sz w:val="24"/>
        </w:rPr>
        <w:t xml:space="preserve">Tier 1 assessment report. </w:t>
      </w:r>
      <w:r>
        <w:rPr>
          <w:rFonts w:ascii="Times New Roman" w:hAnsi="Times New Roman"/>
          <w:b w:val="false"/>
          <w:i w:val="false"/>
          <w:color w:val="000000"/>
          <w:sz w:val="24"/>
        </w:rPr>
        <w:t xml:space="preserve">Unless directed to do otherwise by the department or the owners or operators choose to prepare a Tier 2 site cleanup report, owners and operators must assemble information about the site and the nature of the release in accordance with the department Tier 1 guidance, including information gained while confirming the release under </w:t>
      </w:r>
      <w:hyperlink r:id="rId379">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tank closure under </w:t>
      </w:r>
      <w:hyperlink r:id="rId380">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 xml:space="preserve">(455B) or completing the initial abatement measures in </w:t>
      </w:r>
      <w:hyperlink r:id="rId381">
        <w:r>
          <w:rPr>
            <w:rStyle w:val="Hyperlink"/>
            <w:rFonts w:ascii="Times New Roman" w:hAnsi="Times New Roman"/>
            <w:b w:val="false"/>
            <w:i w:val="false"/>
            <w:color w:val="000000"/>
            <w:sz w:val="24"/>
          </w:rPr>
          <w:t>135.7(1)</w:t>
        </w:r>
      </w:hyperlink>
      <w:r>
        <w:rPr>
          <w:rFonts w:ascii="Times New Roman" w:hAnsi="Times New Roman"/>
          <w:b w:val="false"/>
          <w:i w:val="false"/>
          <w:color w:val="000000"/>
          <w:sz w:val="24"/>
        </w:rPr>
        <w:t xml:space="preserve"> and </w:t>
      </w:r>
      <w:hyperlink r:id="rId382">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This information must include but is not necessarily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Data on the nature and estimated quantity of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any release investigation and confirmation actions required by </w:t>
      </w:r>
      <w:hyperlink r:id="rId383">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the free product investigations required under </w:t>
      </w:r>
      <w:hyperlink r:id="rId384">
        <w:r>
          <w:rPr>
            <w:rStyle w:val="Hyperlink"/>
            <w:rFonts w:ascii="Times New Roman" w:hAnsi="Times New Roman"/>
            <w:b w:val="false"/>
            <w:i w:val="false"/>
            <w:color w:val="000000"/>
            <w:sz w:val="24"/>
          </w:rPr>
          <w:t>135.7(3)</w:t>
        </w:r>
      </w:hyperlink>
      <w:r>
        <w:rPr>
          <w:rFonts w:ascii="Times New Roman" w:hAnsi="Times New Roman"/>
          <w:b w:val="false"/>
          <w:i/>
          <w:color w:val="000000"/>
          <w:sz w:val="24"/>
        </w:rPr>
        <w:t>“a”</w:t>
      </w:r>
      <w:r>
        <w:rPr>
          <w:rFonts w:ascii="Times New Roman" w:hAnsi="Times New Roman"/>
          <w:b w:val="false"/>
          <w:i w:val="false"/>
          <w:color w:val="000000"/>
          <w:sz w:val="24"/>
        </w:rPr>
        <w:t xml:space="preserve">(5), to be used by owners and operators to determine whether free product must be recovered under </w:t>
      </w:r>
      <w:hyperlink r:id="rId385">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Chronology of property ownership and underground storage tank ownership, identification of the person(s) having control of, or having responsibility for the daily operation of the underground storage tanks and the operational history of the underground storage tank system. The operational history shall include but is not limited to a description of or suspected known subsurface or aboveground releases, past remediation or other corrective action, type of petroleum product stored, recent tank and piping tightness test results, any underground storage tank system repairs, upgrades or replacements and the underground storage tank and piping leak detection method being utilized. The operational history shall confirm that current release detection methods and recordkeeping comply with the requirements of </w:t>
      </w:r>
      <w:hyperlink r:id="rId386">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 xml:space="preserve">(455B), that all release detection records have been reviewed and report any evidence that a release detection standard has been exceeded as provided in </w:t>
      </w:r>
      <w:hyperlink r:id="rId387">
        <w:r>
          <w:rPr>
            <w:rStyle w:val="Hyperlink"/>
            <w:rFonts w:ascii="Times New Roman" w:hAnsi="Times New Roman"/>
            <w:b w:val="false"/>
            <w:i w:val="false"/>
            <w:color w:val="000000"/>
            <w:sz w:val="24"/>
          </w:rPr>
          <w:t>135.5(4)</w:t>
        </w:r>
      </w:hyperlink>
      <w:r>
        <w:rPr>
          <w:rFonts w:ascii="Times New Roman" w:hAnsi="Times New Roman"/>
          <w:b w:val="false"/>
          <w:i w:val="false"/>
          <w:color w:val="000000"/>
          <w:sz w:val="24"/>
        </w:rPr>
        <w:t xml:space="preserve"> and </w:t>
      </w:r>
      <w:hyperlink r:id="rId388">
        <w:r>
          <w:rPr>
            <w:rStyle w:val="Hyperlink"/>
            <w:rFonts w:ascii="Times New Roman" w:hAnsi="Times New Roman"/>
            <w:b w:val="false"/>
            <w:i w:val="false"/>
            <w:color w:val="000000"/>
            <w:sz w:val="24"/>
          </w:rPr>
          <w:t>135.5(5)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Appropriate diagrams of the site and the underground storage tank system and surrounding land use, identifying site boundaries and existing structures and uses such as residential properties, schools, hospitals, child care facilities and a general description of relevant land use restrictions and known future land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Current proof of financial responsibility as required by </w:t>
      </w:r>
      <w:hyperlink r:id="rId389">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 xml:space="preserve"> and the status of coverage for corrective action under any applicable financial assurance mechanism or other financial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receptor survey including but not limited to the following: existing buildings, enclosed spaces (basements, crawl spaces, utility vaults, etc.), conduits (gravity drain lines, sanitary and storm sewer mains and service lines), water lines and other utilities within 500 feet of the source. For conduits and enclosed spaces, there must be a description of construction material, conduit backfill material, slope of conduit and trenches (include flow direction of sewers), burial depth of utilities or subsurface enclosed spaces, and the relationship to groundwater elevations.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 explosive vapor survey of enclosed spaces where there may be the potential for buildup of explosive vapors. The groundwater professional must provide a specific justification for not conducting an explosive vapor survey.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survey of all surface water bodies within 200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 survey of all active, abandoned and plugged groundwater wells within 1,000 feet of the source with a description of construction and present or future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Accurate and legible site maps showing the location of all groundwater monitoring wells, soil borings, field screening locations and screening values, and monitoring well and soil boring construction logs.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tabulation of all laboratory analytical results for chemicals of concern and copies of the laboratory analytical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Results of hydraulic conductivity testing and description of the procedures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A Tier 1 site assessment in accordance with the department’s Tier 1 guidance. The Tier 1 report shall be submitted on forms and in a format prescribed by this guidance.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135.9(4)</w:t>
      </w:r>
      <w:r>
        <w:rPr>
          <w:rFonts w:ascii="Times New Roman" w:hAnsi="Times New Roman"/>
          <w:b w:val="false"/>
          <w:i w:val="false"/>
          <w:color w:val="000000"/>
          <w:sz w:val="24"/>
        </w:rPr>
        <w:t> </w:t>
      </w:r>
      <w:r>
        <w:rPr>
          <w:rFonts w:ascii="Times New Roman" w:hAnsi="Times New Roman"/>
          <w:b w:val="false"/>
          <w:i/>
          <w:color w:val="000000"/>
          <w:sz w:val="24"/>
        </w:rPr>
        <w:t xml:space="preserve">Groundwater ingestion pathway assessment. </w:t>
      </w:r>
      <w:r>
        <w:rPr>
          <w:rFonts w:ascii="Times New Roman" w:hAnsi="Times New Roman"/>
          <w:b w:val="false"/>
          <w:i w:val="false"/>
          <w:color w:val="000000"/>
          <w:sz w:val="24"/>
        </w:rPr>
        <w:t>The groundwater ingestion pathway addresses the potential for human ingestion of petroleum-regulated substances from existing groundwater wells or potential drinking water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This pathway is considered complete if: (1) there is a drinking or non-drinking water well within 1,000 feet of the source(s) exhibiting the maximum concentrations of the chemicals of concern; or (2) the first encountered groundwater is a protected groundwater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A drinking or non-drinking water well within 1,000 feet of the source(s) is an actual receptor. The Tier 1 levels for actual receptors apply to drinking water wells and the Tier 1 levels for potential receptors apply to non-drinking water wells. Potential receptor points of exposure exist if the first encountered groundwater is a protected groundwater source but no actual receptors presently exist within 1,000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 xml:space="preserve">If the pathway is incomplete, no further action is required for this pathway. If the Tier 1 level for actual or potential receptors is not exceeded, no further action is required for this pathway. Groundwater wells that are actual or potential receptors may be plugged in accordance with 567—Chapters </w:t>
      </w:r>
      <w:hyperlink r:id="rId390">
        <w:r>
          <w:rPr>
            <w:rStyle w:val="Hyperlink"/>
            <w:rFonts w:ascii="Times New Roman" w:hAnsi="Times New Roman"/>
            <w:b w:val="false"/>
            <w:i w:val="false"/>
            <w:color w:val="000000"/>
            <w:sz w:val="24"/>
          </w:rPr>
          <w:t>39</w:t>
        </w:r>
      </w:hyperlink>
      <w:r>
        <w:rPr>
          <w:rFonts w:ascii="Times New Roman" w:hAnsi="Times New Roman"/>
          <w:b w:val="false"/>
          <w:i w:val="false"/>
          <w:color w:val="000000"/>
          <w:sz w:val="24"/>
        </w:rPr>
        <w:t xml:space="preserve"> and </w:t>
      </w:r>
      <w:hyperlink r:id="rId391">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and may result in no further action clearance if the groundwater is not a protected groundwater source and the pathway is thereby incomplete.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If maximum concentrations exceed the applicable Tier 1 levels for either actual or potential receptors, a Tier 2 assessment must be conducted unless effective institutional controls are implemented as provided below. Technological controls are not acceptable at Tier 1 for this pathway. Abandonment and plugging of drinking and non-drinking water wells in accordance with </w:t>
      </w:r>
      <w:hyperlink r:id="rId392">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393">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is an acceptable corrective action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 xml:space="preserve">To apply an effective institutional control, if drinking or non-drinking water wells are present within 1,000 feet of the source, and the applicable Tier 1 level is exceeded, the well(s) for which there is an exceedance must be properly plugged. If the groundwater is a protected groundwater source and the maximum concentrations do not exceed the Tier 1 level for potential receptors but do exceed the Tier 1 level for actual receptors, the owner or operator must provide notification of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394">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395">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If the groundwater is a protected source and the maximum concentrations exceed the Tier 1 level for potential receptors, the owner or operator must (1) implement an institutional control prohibiting the use of the groundwater for installation of drinking and non-drinking water wells within 1,000 feet of the source; and (2) provide notification as provided above. If an effective institutional control is not feasible, a Tier 2 assessment must be performed for this pathway in accordance with </w:t>
      </w:r>
      <w:hyperlink r:id="rId396">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135.9(5)</w:t>
      </w:r>
      <w:r>
        <w:rPr>
          <w:rFonts w:ascii="Times New Roman" w:hAnsi="Times New Roman"/>
          <w:b w:val="false"/>
          <w:i w:val="false"/>
          <w:color w:val="000000"/>
          <w:sz w:val="24"/>
        </w:rPr>
        <w:t> </w:t>
      </w:r>
      <w:r>
        <w:rPr>
          <w:rFonts w:ascii="Times New Roman" w:hAnsi="Times New Roman"/>
          <w:b w:val="false"/>
          <w:i/>
          <w:color w:val="000000"/>
          <w:sz w:val="24"/>
        </w:rPr>
        <w:t xml:space="preserve">Soil leaching to groundwater pathway assessment. </w:t>
      </w:r>
      <w:r>
        <w:rPr>
          <w:rFonts w:ascii="Times New Roman" w:hAnsi="Times New Roman"/>
          <w:b w:val="false"/>
          <w:i w:val="false"/>
          <w:color w:val="000000"/>
          <w:sz w:val="24"/>
        </w:rPr>
        <w:t>This pathway addresses the potential for soil contamination to leach to groundwater creating a risk of human exposure through the groundwater ingestion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If the groundwater ingestion pathway is complete, the soil leaching to groundwater pathway is considered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There is a single receptor type for this pathway and one applicable Tier 1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the pathway is incomplete or the pathway is complete and the maximum concentrations of chemicals of concern do not exceed the Tier 1 levels, no further action is required for assessment of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If the Tier 1 levels are exceeded for this pathway, a Tier 2 assessment must be conducted or alternatively, institutional controls or soil excavation may be undertaken in accordance with </w:t>
      </w:r>
      <w:hyperlink r:id="rId397">
        <w:r>
          <w:rPr>
            <w:rStyle w:val="Hyperlink"/>
            <w:rFonts w:ascii="Times New Roman" w:hAnsi="Times New Roman"/>
            <w:b w:val="false"/>
            <w:i w:val="false"/>
            <w:color w:val="000000"/>
            <w:sz w:val="24"/>
          </w:rPr>
          <w:t>135.9(7)</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 xml:space="preserve">Institutional controls must satisfy the conditions applicable to the groundwater ingestion pathway as provided in </w:t>
      </w:r>
      <w:hyperlink r:id="rId398">
        <w:r>
          <w:rPr>
            <w:rStyle w:val="Hyperlink"/>
            <w:rFonts w:ascii="Times New Roman" w:hAnsi="Times New Roman"/>
            <w:b w:val="false"/>
            <w:i w:val="false"/>
            <w:color w:val="000000"/>
            <w:sz w:val="24"/>
          </w:rPr>
          <w:t>135.9(4)</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135.9(6)</w:t>
      </w:r>
      <w:r>
        <w:rPr>
          <w:rFonts w:ascii="Times New Roman" w:hAnsi="Times New Roman"/>
          <w:b w:val="false"/>
          <w:i w:val="false"/>
          <w:color w:val="000000"/>
          <w:sz w:val="24"/>
        </w:rPr>
        <w:t> </w:t>
      </w:r>
      <w:r>
        <w:rPr>
          <w:rFonts w:ascii="Times New Roman" w:hAnsi="Times New Roman"/>
          <w:b w:val="false"/>
          <w:i/>
          <w:color w:val="000000"/>
          <w:sz w:val="24"/>
        </w:rPr>
        <w:t xml:space="preserve">Groundwater vapor to enclosed space pathway assessment. </w:t>
      </w:r>
      <w:r>
        <w:rPr>
          <w:rFonts w:ascii="Times New Roman" w:hAnsi="Times New Roman"/>
          <w:b w:val="false"/>
          <w:i w:val="false"/>
          <w:color w:val="000000"/>
          <w:sz w:val="24"/>
        </w:rPr>
        <w:t>This pathway addresses the potential for vapors from contaminated groundwater to migrate to enclosed spaces where humans could inhale chemicals of concern at unacceptable levels. This pathway assessment assumes the health-based Tier 1 levels will adequately protect against any associated short- and long-term explosive risks.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This pathway is always considered complete for purposes of Tier 1 and must be 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Explosive vapor survey. </w:t>
      </w:r>
      <w:r>
        <w:rPr>
          <w:rFonts w:ascii="Times New Roman" w:hAnsi="Times New Roman"/>
          <w:b w:val="false"/>
          <w:i w:val="false"/>
          <w:color w:val="000000"/>
          <w:sz w:val="24"/>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399">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xml:space="preserve">. The owner or operator must begin immediate response and abatement procedures in accordance with </w:t>
      </w:r>
      <w:hyperlink r:id="rId400">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and </w:t>
      </w:r>
      <w:hyperlink r:id="rId401">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For purposes of Tier 1, there is one receptor type for this pathway and the Tier 1 level applies regardless of the existence of actual 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No further action is required for this pathway, if the maximum groundwater concentrations do not exceed the Tier 1 levels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If the maximum concentrations exceed the Tier 1 levels for this pathway, a Tier 2 assessment of this pathway must be conducted unless institutional controls are implemented. Technological controls are not acceptable at Tier 1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An institutional control must be effective to prohibit the placement of enclosed space receptors within 500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135.9(7)</w:t>
      </w:r>
      <w:r>
        <w:rPr>
          <w:rFonts w:ascii="Times New Roman" w:hAnsi="Times New Roman"/>
          <w:b w:val="false"/>
          <w:i w:val="false"/>
          <w:color w:val="000000"/>
          <w:sz w:val="24"/>
        </w:rPr>
        <w:t> </w:t>
      </w:r>
      <w:r>
        <w:rPr>
          <w:rFonts w:ascii="Times New Roman" w:hAnsi="Times New Roman"/>
          <w:b w:val="false"/>
          <w:i/>
          <w:color w:val="000000"/>
          <w:sz w:val="24"/>
        </w:rPr>
        <w:t xml:space="preserve">Soil vapor to enclosed space pathway assessment. </w:t>
      </w:r>
      <w:r>
        <w:rPr>
          <w:rFonts w:ascii="Times New Roman" w:hAnsi="Times New Roman"/>
          <w:b w:val="false"/>
          <w:i w:val="false"/>
          <w:color w:val="000000"/>
          <w:sz w:val="24"/>
        </w:rPr>
        <w:t>This pathway addresses the potential for vapors from contaminated soils to migrate to enclosed spaces where humans could inhale chemicals of concern at unacceptable levels. This pathway assessment assumes health-based screening levels at Tier 1 will adequately protect against short- and long-term explosive risks.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This pathway is always considered complete for purposes of Tier 1 and must be 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Explosive vapor survey. </w:t>
      </w:r>
      <w:r>
        <w:rPr>
          <w:rFonts w:ascii="Times New Roman" w:hAnsi="Times New Roman"/>
          <w:b w:val="false"/>
          <w:i w:val="false"/>
          <w:color w:val="000000"/>
          <w:sz w:val="24"/>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402">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xml:space="preserve">. The owner or operator must begin immediate response and abatement procedures in accordance with </w:t>
      </w:r>
      <w:hyperlink r:id="rId403">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and </w:t>
      </w:r>
      <w:hyperlink r:id="rId404">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For purposes of Tier 1, there is one receptor type for this pathway, and the Tier 1 level applies regardless of existing 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 xml:space="preserve">No further action is required for this pathway, if the maximum soil concentrations do not exceed the Tier 1 levels for this pathway. If the Tier 1 levels are exceeded, soil gas measurements may be taken in accordance with the Tier 2 guidance at the area(s) of maximum concentration. Subject to confirmation sampling, if the soil gas measurements do not exceed the target levels in </w:t>
      </w:r>
      <w:hyperlink r:id="rId405">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no further action is required for this pathway. If the Tier 1 level is not exceeded but the soil gas measurement exceeds the target level, further action is required for the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Soil gas samples. </w:t>
      </w:r>
      <w:r>
        <w:rPr>
          <w:rFonts w:ascii="Times New Roman" w:hAnsi="Times New Roman"/>
          <w:b w:val="false"/>
          <w:i w:val="false"/>
          <w:color w:val="000000"/>
          <w:sz w:val="24"/>
        </w:rPr>
        <w:t>To establish that the soil gas measurement is representative of the highest expected levels, a groundwater professional must obtain two soil gas samples taken at least two weeks apart. One of the samples should be collected beneath the frost line depth during a seasonal period of lowest groundwater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If the maximum concentrations exceed the Tier 1 levels and the soil gas measurements exceed target levels for this pathway, or if no soil gas measurement was taken, a Tier 2 assessment of this pathway must be conducted unless institutional controls are implemented or soil excavation is conducted as provided below. Technological controls are not acceptable at Tier 1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An institutional control must be effective to eliminate the placement of enclosed space receptors within 500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Soil excavation. </w:t>
      </w:r>
      <w:r>
        <w:rPr>
          <w:rFonts w:ascii="Times New Roman" w:hAnsi="Times New Roman"/>
          <w:b w:val="false"/>
          <w:i w:val="false"/>
          <w:color w:val="000000"/>
          <w:sz w:val="24"/>
        </w:rPr>
        <w:t>Excavation of contaminated soils for the purpose of removing soils contaminated above the Tier 1 levels is permissible as an alternative to conducting a Tier 2 assessment.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that remaining concentrations are below Tier 1 levels. If the base or a sidewall of the excavation is less than 400 square feet, a minimum of one sample must be analyzed for each sidewall and the 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135.9(8)</w:t>
      </w:r>
      <w:r>
        <w:rPr>
          <w:rFonts w:ascii="Times New Roman" w:hAnsi="Times New Roman"/>
          <w:b w:val="false"/>
          <w:i w:val="false"/>
          <w:color w:val="000000"/>
          <w:sz w:val="24"/>
        </w:rPr>
        <w:t> </w:t>
      </w:r>
      <w:r>
        <w:rPr>
          <w:rFonts w:ascii="Times New Roman" w:hAnsi="Times New Roman"/>
          <w:b w:val="false"/>
          <w:i/>
          <w:color w:val="000000"/>
          <w:sz w:val="24"/>
        </w:rPr>
        <w:t xml:space="preserve">Groundwater to water line pathway assessment. </w:t>
      </w:r>
      <w:r>
        <w:rPr>
          <w:rFonts w:ascii="Times New Roman" w:hAnsi="Times New Roman"/>
          <w:b w:val="false"/>
          <w:i w:val="false"/>
          <w:color w:val="000000"/>
          <w:sz w:val="24"/>
        </w:rPr>
        <w:t>This pathway addresses the potential for creating a drinking water ingestion risk due to contact with water lines and causing infusion to the drinking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and 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Actual receptors. This pathway is considered complete for an actual receptor if there is an existing water line within 200 feet of the source and the first encountered groundwater is less than 20 feet below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Potential receptors. This pathway is considered complete for a potential receptor if the first encountered groundwater is less than 20 feet below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the pathway is not complete, no further action is required for this pathway. If the pathway is complete and the maximum concentrations of all chemicals of concern do not exceed the Tier 1 levels for this pathway, no further action is required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Utility company notification. </w:t>
      </w:r>
      <w:r>
        <w:rPr>
          <w:rFonts w:ascii="Times New Roman" w:hAnsi="Times New Roman"/>
          <w:b w:val="false"/>
          <w:i w:val="false"/>
          <w:color w:val="000000"/>
          <w:sz w:val="24"/>
        </w:rPr>
        <w:t>The utility company that supplies water service to the area must be notified of all actual and potential water line impacts as soon as knowledge of a potential risk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6">
        <w:r>
          <w:rPr>
            <w:rStyle w:val="Hyperlink"/>
            <w:rFonts w:ascii="Times New Roman" w:hAnsi="Times New Roman"/>
            <w:b w:val="false"/>
            <w:i w:val="false"/>
            <w:color w:val="000000"/>
            <w:sz w:val="24"/>
          </w:rPr>
          <w:t>567—Chapter 43</w:t>
        </w:r>
      </w:hyperlink>
      <w:r>
        <w:rPr>
          <w:rFonts w:ascii="Times New Roman" w:hAnsi="Times New Roman"/>
          <w:b w:val="false"/>
          <w:i w:val="false"/>
          <w:color w:val="000000"/>
          <w:sz w:val="24"/>
        </w:rPr>
        <w:t xml:space="preserve"> and with no less than nitrile or FKM gaskets or as otherwise approved by the department, or the water lines must be relocated beyond the 200-foot distance from the source. A Tier 2 assessment must be conducted for this pathway if lines are not replaced or relocated.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potential receptors, upon utility company notification, no further action will be required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135.9(9)</w:t>
      </w:r>
      <w:r>
        <w:rPr>
          <w:rFonts w:ascii="Times New Roman" w:hAnsi="Times New Roman"/>
          <w:b w:val="false"/>
          <w:i w:val="false"/>
          <w:color w:val="000000"/>
          <w:sz w:val="24"/>
        </w:rPr>
        <w:t> </w:t>
      </w:r>
      <w:r>
        <w:rPr>
          <w:rFonts w:ascii="Times New Roman" w:hAnsi="Times New Roman"/>
          <w:b w:val="false"/>
          <w:i/>
          <w:color w:val="000000"/>
          <w:sz w:val="24"/>
        </w:rPr>
        <w:t xml:space="preserve">Soil to water line pathway assessment. </w:t>
      </w:r>
      <w:r>
        <w:rPr>
          <w:rFonts w:ascii="Times New Roman" w:hAnsi="Times New Roman"/>
          <w:b w:val="false"/>
          <w:i w:val="false"/>
          <w:color w:val="000000"/>
          <w:sz w:val="24"/>
        </w:rPr>
        <w:t>This pathway addresses the potential for creating a drinking water ingestion risk due to contact with water lines and infusion into the drinking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and 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Actual receptors. This pathway is considered complete for an actual receptor if a water line exists within 200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Potential receptors. This pathway is always considered complete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the pathway is not complete for actual receptors, no further action is required for this pathway. If the pathway is complete for actual receptors and the maximum concentrations of all chemicals of concern do not exceed Tier 1 levels for this pathway, no further action is required. For potential receptors, upon utility company notification, no further action will be required for this pathway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Utility company notification. </w:t>
      </w:r>
      <w:r>
        <w:rPr>
          <w:rFonts w:ascii="Times New Roman" w:hAnsi="Times New Roman"/>
          <w:b w:val="false"/>
          <w:i w:val="false"/>
          <w:color w:val="000000"/>
          <w:sz w:val="24"/>
        </w:rPr>
        <w:t>The utility company that supplies water service to the area must be notified of all actual and potential water line impacts as soon as knowledge of a potential risk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7">
        <w:r>
          <w:rPr>
            <w:rStyle w:val="Hyperlink"/>
            <w:rFonts w:ascii="Times New Roman" w:hAnsi="Times New Roman"/>
            <w:b w:val="false"/>
            <w:i w:val="false"/>
            <w:color w:val="000000"/>
            <w:sz w:val="24"/>
          </w:rPr>
          <w:t>567—Chapter 43</w:t>
        </w:r>
      </w:hyperlink>
      <w:r>
        <w:rPr>
          <w:rFonts w:ascii="Times New Roman" w:hAnsi="Times New Roman"/>
          <w:b w:val="false"/>
          <w:i w:val="false"/>
          <w:color w:val="000000"/>
          <w:sz w:val="24"/>
        </w:rPr>
        <w:t xml:space="preserve"> and with no less than nitrile or FKM gaskets or as otherwise approved by the department, or the water lines must be relocated beyond the 200-foot distance from the source. Excavation of soils to below Tier 1 levels may be undertaken in accordance with </w:t>
      </w:r>
      <w:hyperlink r:id="rId408">
        <w:r>
          <w:rPr>
            <w:rStyle w:val="Hyperlink"/>
            <w:rFonts w:ascii="Times New Roman" w:hAnsi="Times New Roman"/>
            <w:b w:val="false"/>
            <w:i w:val="false"/>
            <w:color w:val="000000"/>
            <w:sz w:val="24"/>
          </w:rPr>
          <w:t>135.9(7)</w:t>
        </w:r>
      </w:hyperlink>
      <w:r>
        <w:rPr>
          <w:rFonts w:ascii="Times New Roman" w:hAnsi="Times New Roman"/>
          <w:b w:val="false"/>
          <w:i/>
          <w:color w:val="000000"/>
          <w:sz w:val="24"/>
        </w:rPr>
        <w:t>“h.”</w:t>
      </w:r>
      <w:r>
        <w:rPr>
          <w:rFonts w:ascii="Times New Roman" w:hAnsi="Times New Roman"/>
          <w:b w:val="false"/>
          <w:i w:val="false"/>
          <w:color w:val="000000"/>
          <w:sz w:val="24"/>
        </w:rPr>
        <w:t xml:space="preserve"> If none of these options is implemented, a Tier 2 assessment must be conducted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135.9(10)</w:t>
      </w:r>
      <w:r>
        <w:rPr>
          <w:rFonts w:ascii="Times New Roman" w:hAnsi="Times New Roman"/>
          <w:b w:val="false"/>
          <w:i w:val="false"/>
          <w:color w:val="000000"/>
          <w:sz w:val="24"/>
        </w:rPr>
        <w:t> </w:t>
      </w:r>
      <w:r>
        <w:rPr>
          <w:rFonts w:ascii="Times New Roman" w:hAnsi="Times New Roman"/>
          <w:b w:val="false"/>
          <w:i/>
          <w:color w:val="000000"/>
          <w:sz w:val="24"/>
        </w:rPr>
        <w:t xml:space="preserve">Surface water pathway assessment. </w:t>
      </w:r>
      <w:r>
        <w:rPr>
          <w:rFonts w:ascii="Times New Roman" w:hAnsi="Times New Roman"/>
          <w:b w:val="false"/>
          <w:i w:val="false"/>
          <w:color w:val="000000"/>
          <w:sz w:val="24"/>
        </w:rPr>
        <w:t>This pathway addresses the potential for contaminated groundwater to impact surface water bodies creating risks to human health and aquatic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 xml:space="preserve">This pathway is considered complete if a surface water body is present within 200 feet of the source. For purposes of Tier 1, surface water bodies include both general use segments and designated use segments as provided in </w:t>
      </w:r>
      <w:hyperlink r:id="rId409">
        <w:r>
          <w:rPr>
            <w:rStyle w:val="Hyperlink"/>
            <w:rFonts w:ascii="Times New Roman" w:hAnsi="Times New Roman"/>
            <w:b w:val="false"/>
            <w:i w:val="false"/>
            <w:color w:val="000000"/>
            <w:sz w:val="24"/>
          </w:rPr>
          <w:t>567—subrule 61.3(1)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 xml:space="preserve">The Tier 1 levels for this pathway only apply to designated use segments of surface water bodies as provided in </w:t>
      </w:r>
      <w:hyperlink r:id="rId410">
        <w:r>
          <w:rPr>
            <w:rStyle w:val="Hyperlink"/>
            <w:rFonts w:ascii="Times New Roman" w:hAnsi="Times New Roman"/>
            <w:b w:val="false"/>
            <w:i w:val="false"/>
            <w:color w:val="000000"/>
            <w:sz w:val="24"/>
          </w:rPr>
          <w:t>567—subrules 61.3(1)</w:t>
        </w:r>
      </w:hyperlink>
      <w:r>
        <w:rPr>
          <w:rFonts w:ascii="Times New Roman" w:hAnsi="Times New Roman"/>
          <w:b w:val="false"/>
          <w:i w:val="false"/>
          <w:color w:val="000000"/>
          <w:sz w:val="24"/>
        </w:rPr>
        <w:t xml:space="preserve"> and </w:t>
      </w:r>
      <w:hyperlink r:id="rId411">
        <w:r>
          <w:rPr>
            <w:rStyle w:val="Hyperlink"/>
            <w:rFonts w:ascii="Times New Roman" w:hAnsi="Times New Roman"/>
            <w:b w:val="false"/>
            <w:i w:val="false"/>
            <w:color w:val="000000"/>
            <w:sz w:val="24"/>
          </w:rPr>
          <w:t>61.3(5)</w:t>
        </w:r>
      </w:hyperlink>
      <w:r>
        <w:rPr>
          <w:rFonts w:ascii="Times New Roman" w:hAnsi="Times New Roman"/>
          <w:b w:val="false"/>
          <w:i w:val="false"/>
          <w:color w:val="000000"/>
          <w:sz w:val="24"/>
        </w:rPr>
        <w:t xml:space="preserve">. The point of compliance is the source with the highest concentrations of chemicals of concern. General use segments of surface water bodies as provided in </w:t>
      </w:r>
      <w:hyperlink r:id="rId412">
        <w:r>
          <w:rPr>
            <w:rStyle w:val="Hyperlink"/>
            <w:rFonts w:ascii="Times New Roman" w:hAnsi="Times New Roman"/>
            <w:b w:val="false"/>
            <w:i w:val="false"/>
            <w:color w:val="000000"/>
            <w:sz w:val="24"/>
          </w:rPr>
          <w:t>567—paragraph 61.3(1)</w:t>
        </w:r>
      </w:hyperlink>
      <w:r>
        <w:rPr>
          <w:rFonts w:ascii="Times New Roman" w:hAnsi="Times New Roman"/>
          <w:b w:val="false"/>
          <w:i/>
          <w:color w:val="000000"/>
          <w:sz w:val="24"/>
        </w:rPr>
        <w:t>“a”</w:t>
      </w:r>
      <w:r>
        <w:rPr>
          <w:rFonts w:ascii="Times New Roman" w:hAnsi="Times New Roman"/>
          <w:b w:val="false"/>
          <w:i w:val="false"/>
          <w:color w:val="000000"/>
          <w:sz w:val="24"/>
        </w:rPr>
        <w:t xml:space="preserve"> are only subject to the visual inspection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Visual inspection requirements. </w:t>
      </w:r>
      <w:r>
        <w:rPr>
          <w:rFonts w:ascii="Times New Roman" w:hAnsi="Times New Roman"/>
          <w:b w:val="false"/>
          <w:i w:val="false"/>
          <w:color w:val="000000"/>
          <w:sz w:val="24"/>
        </w:rPr>
        <w:t xml:space="preserve">A visual inspection of all surface water bodies within 200 feet of the source must be conducted to determine if there is evidence of a sheen on the water or there is evidence of petroleum residue along the bank. If a sheen or residue is evident or has been reported to be present, the groundwater professional must make a sufficient investigation to reasonably determine its source. If in the opinion of the groundwater professional, the sheen is not associated with the underground storage tank site, the professional must report and reasonably justify this opinion. If in the opinion of the groundwater professional the sheen is not a petroleum-regulated substance, a sample must be laboratory tested in accordance with </w:t>
      </w:r>
      <w:hyperlink r:id="rId413">
        <w:r>
          <w:rPr>
            <w:rStyle w:val="Hyperlink"/>
            <w:rFonts w:ascii="Times New Roman" w:hAnsi="Times New Roman"/>
            <w:b w:val="false"/>
            <w:i w:val="false"/>
            <w:color w:val="000000"/>
            <w:sz w:val="24"/>
          </w:rPr>
          <w:t>567—135.16</w:t>
        </w:r>
      </w:hyperlink>
      <w:r>
        <w:rPr>
          <w:rFonts w:ascii="Times New Roman" w:hAnsi="Times New Roman"/>
          <w:b w:val="false"/>
          <w:i w:val="false"/>
          <w:color w:val="000000"/>
          <w:sz w:val="24"/>
        </w:rPr>
        <w:t>(455B) to confirm it is not a petroleum-regulated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the pathway is not complete or it is complete and the maximum concentrations of all chemicals of concern at the point of compliance do not exceed the Tier 1 levels and there is no petroleum sheen or residue attributable to the site, no further action is required for assessment of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If a Tier 1 level is exceeded for any chemical of concern for a designated use segment within 200 feet of the source, or the groundwater professional determines the presence of a petroleum-regulated substance sheen or residue, a Tier 2 assessment of this pathway must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135.9(11)</w:t>
      </w:r>
      <w:r>
        <w:rPr>
          <w:rFonts w:ascii="Times New Roman" w:hAnsi="Times New Roman"/>
          <w:b w:val="false"/>
          <w:i w:val="false"/>
          <w:color w:val="000000"/>
          <w:sz w:val="24"/>
        </w:rPr>
        <w:t> </w:t>
      </w:r>
      <w:r>
        <w:rPr>
          <w:rFonts w:ascii="Times New Roman" w:hAnsi="Times New Roman"/>
          <w:b w:val="false"/>
          <w:i/>
          <w:color w:val="000000"/>
          <w:sz w:val="24"/>
        </w:rPr>
        <w:t xml:space="preserve">Tier 1 submission and review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Within 90 calendar days of release confirmation or another reasonable period of time determined by the department, owners and operators must submit to the department a Tier 1 report in a format prescribed by the department and in accordance with these rules and the department Tier 1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elects to prepare a Tier 2 site cleanup report instead of a Tier 1 assessment, the department must be notified in writing prior to the expiration of the Tier 1 submission deadline. The Tier 2 site cleanup report must be submitted to the department in accordance with </w:t>
      </w:r>
      <w:hyperlink r:id="rId414">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 within 180 calendar days of release confirmation or another reasonable period of time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Tier 1 report is considered to be complete if it contains all the information and data required by this rule and the department Tier 1 guidance. The report is accurate if the information and data is reasonably reliable based first on application of the standards in these rules and department guidance and second, generally accepted industry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certified groundwater professional shall include the following certification with the Tier 1 site assessment report:</w:t>
      </w:r>
    </w:p>
    <w:p>
      <w:pPr>
        <w:spacing w:before="0" w:after="0" w:line="480"/>
        <w:ind w:left="120"/>
        <w:jc w:val="both"/>
      </w:pPr>
      <w:r>
        <w:rPr>
          <w:rFonts w:ascii="Times New Roman" w:hAnsi="Times New Roman"/>
          <w:b w:val="false"/>
          <w:i w:val="false"/>
          <w:color w:val="000000"/>
          <w:sz w:val="24"/>
        </w:rPr>
        <w:t xml:space="preserve">I, __________________________________________, Groundwater Professional Certification No. ________________, am familiar with all applicable requirements of Iowa Code section </w:t>
      </w:r>
      <w:hyperlink r:id="rId415">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 xml:space="preserve"> and all rules and procedures adopted thereunder including, but not limited to, </w:t>
      </w:r>
      <w:hyperlink r:id="rId416">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and the Department of Natural Resources Tier 1 guidance. Based on my knowledge of those documents and information I have prepared and reviewed regarding this site, UST Registration No. ________________, LUST No.___________ I certify that this document is complete and accurate as provided in </w:t>
      </w:r>
      <w:hyperlink r:id="rId417">
        <w:r>
          <w:rPr>
            <w:rStyle w:val="Hyperlink"/>
            <w:rFonts w:ascii="Times New Roman" w:hAnsi="Times New Roman"/>
            <w:b w:val="false"/>
            <w:i w:val="false"/>
            <w:color w:val="000000"/>
            <w:sz w:val="24"/>
          </w:rPr>
          <w:t>567 IAC 135.9(11)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meets the applicable requirements of the Tier 1 site assessment.</w:t>
      </w:r>
    </w:p>
    <w:p>
      <w:pPr>
        <w:spacing w:before="0" w:after="0" w:line="480"/>
        <w:ind w:left="120"/>
        <w:jc w:val="both"/>
      </w:pPr>
      <w:r>
        <w:rPr>
          <w:rFonts w:ascii="Times New Roman" w:hAnsi="Times New Roman"/>
          <w:b w:val="false"/>
          <w:i w:val="false"/>
          <w:color w:val="000000"/>
          <w:sz w:val="24"/>
        </w:rPr>
        <w:t>Signature:</w:t>
      </w:r>
    </w:p>
    <w:p>
      <w:pPr>
        <w:spacing w:before="0" w:after="0" w:line="480"/>
        <w:ind w:left="120"/>
        <w:jc w:val="both"/>
      </w:pPr>
      <w:r>
        <w:rPr>
          <w:rFonts w:ascii="Times New Roman" w:hAnsi="Times New Roman"/>
          <w:b w:val="false"/>
          <w:i w:val="false"/>
          <w:color w:val="000000"/>
          <w:sz w:val="24"/>
        </w:rPr>
        <w:t>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the groundwater professional’s certified Tier 1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that, if correct and complete, would result in a different site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2, or a Tier 2 site cleanup report is required pursuant to </w:t>
      </w:r>
      <w:hyperlink r:id="rId418">
        <w:r>
          <w:rPr>
            <w:rStyle w:val="Hyperlink"/>
            <w:rFonts w:ascii="Times New Roman" w:hAnsi="Times New Roman"/>
            <w:b w:val="false"/>
            <w:i w:val="false"/>
            <w:color w:val="000000"/>
            <w:sz w:val="24"/>
          </w:rPr>
          <w:t>135.7(4)</w:t>
        </w:r>
        <w:r>
          <w:rPr>
            <w:rFonts w:ascii="Times New Roman" w:hAnsi="Times New Roman"/>
            <w:b w:val="false"/>
            <w:i/>
            <w:color w:val="000000"/>
            <w:sz w:val="24"/>
          </w:rPr>
          <w:t>“g,”</w:t>
        </w:r>
      </w:hyperlink>
      <w:r>
        <w:rPr>
          <w:rFonts w:ascii="Times New Roman" w:hAnsi="Times New Roman"/>
          <w:b w:val="false"/>
          <w:i w:val="false"/>
          <w:color w:val="000000"/>
          <w:sz w:val="24"/>
        </w:rPr>
        <w:t> </w:t>
      </w:r>
      <w:hyperlink r:id="rId419">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or </w:t>
      </w:r>
      <w:hyperlink r:id="rId420">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 xml:space="preserve">(455B), the groundwater professional’s site classification and pathway classification recommendations shall not be considered determinative until the Tier 2 report is submitted for review as provided in </w:t>
      </w:r>
      <w:hyperlink r:id="rId421">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If a “no action required” site classification is proposed, the department shall review the report in accordance with </w:t>
      </w:r>
      <w:hyperlink r:id="rId422">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 xml:space="preserve"> and the review standards in </w:t>
      </w:r>
      <w:hyperlink r:id="rId423">
        <w:r>
          <w:rPr>
            <w:rStyle w:val="Hyperlink"/>
            <w:rFonts w:ascii="Times New Roman" w:hAnsi="Times New Roman"/>
            <w:b w:val="false"/>
            <w:i w:val="false"/>
            <w:color w:val="000000"/>
            <w:sz w:val="24"/>
          </w:rPr>
          <w:t>135.9(11)</w:t>
        </w:r>
        <w:r>
          <w:rPr>
            <w:rFonts w:ascii="Times New Roman" w:hAnsi="Times New Roman"/>
            <w:b w:val="false"/>
            <w:i/>
            <w:color w:val="000000"/>
            <w:sz w:val="24"/>
          </w:rPr>
          <w:t>“e.”</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135.9(12)</w:t>
      </w:r>
      <w:r>
        <w:rPr>
          <w:rFonts w:ascii="Times New Roman" w:hAnsi="Times New Roman"/>
          <w:b w:val="false"/>
          <w:i w:val="false"/>
          <w:color w:val="000000"/>
          <w:sz w:val="24"/>
        </w:rPr>
        <w:t> </w:t>
      </w:r>
      <w:r>
        <w:rPr>
          <w:rFonts w:ascii="Times New Roman" w:hAnsi="Times New Roman"/>
          <w:b w:val="false"/>
          <w:i/>
          <w:color w:val="000000"/>
          <w:sz w:val="24"/>
        </w:rPr>
        <w:t xml:space="preserve">Tier 1 site classification and 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action required site classification. At Tier 1, a site is only eligible for a “no action required” classification. To be classified as no action required, each pathway must meet the requirements for pathway clearance as specified in this rule. If the department determines a no action required site classification is appropriate, a no further action certificate will be issued as provided in </w:t>
      </w:r>
      <w:hyperlink r:id="rId424">
        <w:r>
          <w:rPr>
            <w:rStyle w:val="Hyperlink"/>
            <w:rFonts w:ascii="Times New Roman" w:hAnsi="Times New Roman"/>
            <w:b w:val="false"/>
            <w:i w:val="false"/>
            <w:color w:val="000000"/>
            <w:sz w:val="24"/>
          </w:rPr>
          <w:t>135.12(10)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Where an individual pathway or a chemical group meets the requirements for clearance but the site is not entitled to a no action required classification, only those pathways and chemical groups that do not meet the no further action requirements must be evaluated as part of a Tier 2 assessment as provided in </w:t>
      </w:r>
      <w:hyperlink r:id="rId425">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monitoring and confirmation sampling. Compliance monitoring is not an acceptable corrective action at Tier 1. Except for soil gas sampling under </w:t>
      </w:r>
      <w:hyperlink r:id="rId426">
        <w:r>
          <w:rPr>
            <w:rStyle w:val="Hyperlink"/>
            <w:rFonts w:ascii="Times New Roman" w:hAnsi="Times New Roman"/>
            <w:b w:val="false"/>
            <w:i w:val="false"/>
            <w:color w:val="000000"/>
            <w:sz w:val="24"/>
          </w:rPr>
          <w:t>135.9(7)</w:t>
        </w:r>
      </w:hyperlink>
      <w:r>
        <w:rPr>
          <w:rFonts w:ascii="Times New Roman" w:hAnsi="Times New Roman"/>
          <w:b w:val="false"/>
          <w:i w:val="false"/>
          <w:color w:val="000000"/>
          <w:sz w:val="24"/>
        </w:rPr>
        <w:t>, confirmation sampling to verify a sample does not exceed a Tier 1 level is not required. However, the department retains the authority to require confirmation sampling from existing groundwater monitoring wells if a no action required classification is being proposed at Tier 1 and the department has a reasonable basis to question the representative validity of the samples based on, for example, the seasonal bias of the sampling, evidence of multiple sources of releases, marginal groundwater monitoring well locations and analytical variability.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Expedited corrective action is permissible in accordance with </w:t>
      </w:r>
      <w:hyperlink r:id="rId427">
        <w:r>
          <w:rPr>
            <w:rStyle w:val="Hyperlink"/>
            <w:rFonts w:ascii="Times New Roman" w:hAnsi="Times New Roman"/>
            <w:b w:val="false"/>
            <w:i w:val="false"/>
            <w:color w:val="000000"/>
            <w:sz w:val="24"/>
          </w:rPr>
          <w:t>135.12(11)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567—135.10</w:t>
      </w:r>
      <w:r>
        <w:rPr>
          <w:rFonts w:ascii="Times New Roman" w:hAnsi="Times New Roman"/>
          <w:b/>
          <w:i w:val="false"/>
          <w:color w:val="000000"/>
          <w:sz w:val="24"/>
        </w:rPr>
        <w:t xml:space="preserve">(455B) </w:t>
      </w:r>
      <w:r>
        <w:rPr>
          <w:rFonts w:ascii="Times New Roman" w:hAnsi="Times New Roman"/>
          <w:b/>
          <w:i w:val="false"/>
          <w:color w:val="000000"/>
          <w:sz w:val="24"/>
        </w:rPr>
        <w:t xml:space="preserve">Tier 2 site assessment policy and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135.10(1)</w:t>
      </w:r>
      <w:r>
        <w:rPr>
          <w:rFonts w:ascii="Times New Roman" w:hAnsi="Times New Roman"/>
          <w:b w:val="false"/>
          <w:i w:val="false"/>
          <w:color w:val="000000"/>
          <w:sz w:val="24"/>
        </w:rPr>
        <w:t> </w:t>
      </w:r>
      <w:r>
        <w:rPr>
          <w:rFonts w:ascii="Times New Roman" w:hAnsi="Times New Roman"/>
          <w:b w:val="false"/>
          <w:i/>
          <w:color w:val="000000"/>
          <w:sz w:val="24"/>
        </w:rPr>
        <w:t xml:space="preserve">General conditions. </w:t>
      </w:r>
      <w:r>
        <w:rPr>
          <w:rFonts w:ascii="Times New Roman" w:hAnsi="Times New Roman"/>
          <w:b w:val="false"/>
          <w:i w:val="false"/>
          <w:color w:val="000000"/>
          <w:sz w:val="24"/>
        </w:rPr>
        <w:t xml:space="preserve">A Tier 2 site assessment must be conducted and a site cleanup report submitted for all sites that have not obtained a no action required site classification and for all pathways and chemicals of concern groups that have not obtained no further action clearance as provided in </w:t>
      </w:r>
      <w:hyperlink r:id="rId428">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 xml:space="preserve">(455B). If in the course of conducting a Tier 2 assessment, data indicates the conditions for pathway clearance under Tier 1 no longer exist, the pathway shall be further assessed under this rule. The Tier 2 assessment and report must be completed whenever free product is discovered as provided in </w:t>
      </w:r>
      <w:hyperlink r:id="rId429">
        <w:r>
          <w:rPr>
            <w:rStyle w:val="Hyperlink"/>
            <w:rFonts w:ascii="Times New Roman" w:hAnsi="Times New Roman"/>
            <w:b w:val="false"/>
            <w:i w:val="false"/>
            <w:color w:val="000000"/>
            <w:sz w:val="24"/>
          </w:rPr>
          <w:t>567—135.7</w:t>
        </w:r>
      </w:hyperlink>
      <w:r>
        <w:rPr>
          <w:rFonts w:ascii="Times New Roman" w:hAnsi="Times New Roman"/>
          <w:b w:val="false"/>
          <w:i w:val="false"/>
          <w:color w:val="000000"/>
          <w:sz w:val="24"/>
        </w:rPr>
        <w:t xml:space="preserve">(455B). If the owner or operator elects to complete the Tier 2 site assessment without doing a Tier 1 assessment, all the Tier 1 requirements as provided in </w:t>
      </w:r>
      <w:hyperlink r:id="rId430">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(455B) must be met in addition to requirements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Guidance. </w:t>
      </w:r>
      <w:r>
        <w:rPr>
          <w:rFonts w:ascii="Times New Roman" w:hAnsi="Times New Roman"/>
          <w:b w:val="false"/>
          <w:i w:val="false"/>
          <w:color w:val="000000"/>
          <w:sz w:val="24"/>
        </w:rPr>
        <w:t>The Tier 2 site assessment shall be conducted in accordance with the department’s “Tier 2 Site Assessment Guidance” and these rules. The site cleanup report shall be submitted on forms and in a format prescribed by this guidance. The Tier 2 data analysis shall be performed by using computer software or online application developed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Classification. </w:t>
      </w:r>
      <w:r>
        <w:rPr>
          <w:rFonts w:ascii="Times New Roman" w:hAnsi="Times New Roman"/>
          <w:b w:val="false"/>
          <w:i w:val="false"/>
          <w:color w:val="000000"/>
          <w:sz w:val="24"/>
        </w:rPr>
        <w:t>At Tier 2, individual pathways may be classified as high risk or low risk or no action required and separate classification criteria may apply to actual and potential receptors for any pathway. A single pathway may have multiple classifications based on actual or potential receptor evaluations. A pathway must meet both the criteria for actual and potential receptors for the pathway to obtain a classification of no action required. Sites may have multiple pathway classifications. For a site to obtain a no action required classification, all pathways must meet the individual pathway criteria for no action required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Public right-of-way. </w:t>
      </w:r>
      <w:r>
        <w:rPr>
          <w:rFonts w:ascii="Times New Roman" w:hAnsi="Times New Roman"/>
          <w:b w:val="false"/>
          <w:i w:val="false"/>
          <w:color w:val="000000"/>
          <w:sz w:val="24"/>
        </w:rPr>
        <w:t>As a general rule, public right-of-way will not be considered an area of potential receptor exposure except for potential sanitary sewer evaluation under the soil and groundwater vapor pathways (</w:t>
      </w:r>
      <w:hyperlink r:id="rId431">
        <w:r>
          <w:rPr>
            <w:rStyle w:val="Hyperlink"/>
            <w:rFonts w:ascii="Times New Roman" w:hAnsi="Times New Roman"/>
            <w:b w:val="false"/>
            <w:i w:val="false"/>
            <w:color w:val="000000"/>
            <w:sz w:val="24"/>
          </w:rPr>
          <w:t>135.10(6)</w:t>
        </w:r>
      </w:hyperlink>
      <w:r>
        <w:rPr>
          <w:rFonts w:ascii="Times New Roman" w:hAnsi="Times New Roman"/>
          <w:b w:val="false"/>
          <w:i w:val="false"/>
          <w:color w:val="000000"/>
          <w:sz w:val="24"/>
        </w:rPr>
        <w:t xml:space="preserve"> and </w:t>
      </w:r>
      <w:hyperlink r:id="rId432">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135.10(2)</w:t>
      </w:r>
      <w:r>
        <w:rPr>
          <w:rFonts w:ascii="Times New Roman" w:hAnsi="Times New Roman"/>
          <w:b w:val="false"/>
          <w:i w:val="false"/>
          <w:color w:val="000000"/>
          <w:sz w:val="24"/>
        </w:rPr>
        <w:t> </w:t>
      </w:r>
      <w:r>
        <w:rPr>
          <w:rFonts w:ascii="Times New Roman" w:hAnsi="Times New Roman"/>
          <w:b w:val="false"/>
          <w:i/>
          <w:color w:val="000000"/>
          <w:sz w:val="24"/>
        </w:rPr>
        <w:t xml:space="preserve">General Tier 2 assessment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Objectives. </w:t>
      </w:r>
      <w:r>
        <w:rPr>
          <w:rFonts w:ascii="Times New Roman" w:hAnsi="Times New Roman"/>
          <w:b w:val="false"/>
          <w:i w:val="false"/>
          <w:color w:val="000000"/>
          <w:sz w:val="24"/>
        </w:rPr>
        <w:t>The objective of a Tier 2 assessment is to collect site-specific data and with the use of Tier 2 modeling determine what actual or potential receptors could be impacted by chemicals of concern and what concentrations at the source are predicted to achieve protection of these receptors. Both Tier 1 and Tier 2 are based on achieving similar levels of protection of human health, safety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Groundwater modeling. </w:t>
      </w:r>
      <w:r>
        <w:rPr>
          <w:rFonts w:ascii="Times New Roman" w:hAnsi="Times New Roman"/>
          <w:b w:val="false"/>
          <w:i w:val="false"/>
          <w:color w:val="000000"/>
          <w:sz w:val="24"/>
        </w:rPr>
        <w:t xml:space="preserve">Tier 2 uses fate and transport models to predict the maximum distance groundwater contamination is expected to move and the distribution of concentrations of chemicals of concern within this area. The model is used for two basic purposes. One, it is used to predict at what levels of concentration contamination would be expected to impact actual and potential receptors. Two, it is used to determine a concentration at the source that if achieved, and after dispersion and degradation, would protect actual and potential receptors at the point of exposure. In predicting the transport of contaminants, the models assume the contaminant plume is at “steady state” such that concentrations throughout the plume have reached a maximum level and are steady or decreasing. The Tier 2 models are only designed to predict transport in a direct line between the source and downgradient to a receptor. In order to more reasonably define a modeled plume in all directions, </w:t>
      </w:r>
      <w:hyperlink r:id="rId433">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“i”</w:t>
      </w:r>
      <w:r>
        <w:rPr>
          <w:rFonts w:ascii="Times New Roman" w:hAnsi="Times New Roman"/>
          <w:b w:val="false"/>
          <w:i w:val="false"/>
          <w:color w:val="000000"/>
          <w:sz w:val="24"/>
        </w:rPr>
        <w:t xml:space="preserve"> defines a method of decreasing modeled concentrations as a percentage of their distance in degrees from the downgradient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Soil vapor models. </w:t>
      </w:r>
      <w:r>
        <w:rPr>
          <w:rFonts w:ascii="Times New Roman" w:hAnsi="Times New Roman"/>
          <w:b w:val="false"/>
          <w:i w:val="false"/>
          <w:color w:val="000000"/>
          <w:sz w:val="24"/>
        </w:rPr>
        <w:t>The soil vapor models are vertical transport models and do not use modeling to predict soil contaminant transport horizontally to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Soil leaching to groundwater modeling. </w:t>
      </w:r>
      <w:r>
        <w:rPr>
          <w:rFonts w:ascii="Times New Roman" w:hAnsi="Times New Roman"/>
          <w:b w:val="false"/>
          <w:i w:val="false"/>
          <w:color w:val="000000"/>
          <w:sz w:val="24"/>
        </w:rPr>
        <w:t>The soil leaching to groundwater model is a model that predicts the maximum concentrations of chemicals of concern that would be expected in groundwater due to vertical leaching from the area of maximum soil concentrations and then incorporates the groundwater transport models to predict contaminant transport through groundwater pathways.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Modeling default parameters. </w:t>
      </w:r>
      <w:r>
        <w:rPr>
          <w:rFonts w:ascii="Times New Roman" w:hAnsi="Times New Roman"/>
          <w:b w:val="false"/>
          <w:i w:val="false"/>
          <w:color w:val="000000"/>
          <w:sz w:val="24"/>
        </w:rPr>
        <w:t>The Tier 2 model formulas and applicable parameters are designated in Appendix B and must be followed unless otherwise specified in these rules. Unless otherwise specified, target levels at a point of exposure may be the Tier 1 level(s) or may be determined using site-specific parameters. The target level at a point of exposure is calculated using the Tier 1 formulas in Appendix A and either site-specific measurements or the default values for those parameters identified as “optional” and “site-specific” in Appendix 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Source width. </w:t>
      </w:r>
      <w:r>
        <w:rPr>
          <w:rFonts w:ascii="Times New Roman" w:hAnsi="Times New Roman"/>
          <w:b w:val="false"/>
          <w:i w:val="false"/>
          <w:color w:val="000000"/>
          <w:sz w:val="24"/>
        </w:rPr>
        <w:t>The source width and source length are variables used in modeling and must be determined by the following criteria and as specified in the department’s Tier 2 guidance. The following are not to be used as criteria for defining the extent of the contaminant plumes.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Source width (equals 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xml:space="preserve"> in models) for groundwater transport modeling. The sum of group one chemical (benzene, toluene, ethylbenzene, xylenes or “BTEX”) concentrations for each groundwater sample is determined and the location of the sample with the maximum total BTEX is identified. Linear interpolation is used to estimate the area where groundwater concentrations would be expected to exceed 50 percent of the maximum BTEX value, and this area is considered for the source width measurement. The same procedure is used to determine source width for group two chemicals, using TEH in groundwater. The width of the groundwater contamination perpendicular to estimated groundwater flow direction (S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is determined, and the larger of either group one or group two chemicals is used in the groundwater transport model.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Source width (S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and source length (equals W in models) for soil leaching to groundwater transport modeling. Both the source width perpendicular to the estimated groundwater flow direction (S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xml:space="preserve">) and the source length parallel to the estimated groundwater flow direction (W) are used in the soil leaching to groundwater model. The sum of BTEX concentrations for each soil sample is determined and the location of the sample with the maximum total BTEX is identified. Concentrations from both the vadose zone and the saturated zone must be considered when determining the maximum. Linear interpolation is used to estimate the area where soil concentrations would be expected to exceed 50 percent of the maximum BTEX value, and this area is considered for the source width and source length measurements. The same procedure is used to determine source width for group 2 chemicals, using TEH in soil. Source width and source length measurements for BTEX in groundwater are also taken following the same linear interpolation criteria in </w:t>
      </w:r>
      <w:hyperlink r:id="rId434">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“f”</w:t>
      </w:r>
      <w:r>
        <w:rPr>
          <w:rFonts w:ascii="Times New Roman" w:hAnsi="Times New Roman"/>
          <w:b w:val="false"/>
          <w:i w:val="false"/>
          <w:color w:val="000000"/>
          <w:sz w:val="24"/>
        </w:rPr>
        <w:t>(1). The source width value used in the model is the greatest of either the soil source width measurements or the groundwater source width measurement. The source length value used in the model is the greatest of either of the soil source length measurements or the groundwater length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Modeled simulation line. </w:t>
      </w:r>
      <w:r>
        <w:rPr>
          <w:rFonts w:ascii="Times New Roman" w:hAnsi="Times New Roman"/>
          <w:b w:val="false"/>
          <w:i w:val="false"/>
          <w:color w:val="000000"/>
          <w:sz w:val="24"/>
        </w:rPr>
        <w:t>The simulation line represents the predicted maximum extent of groundwater contamination and distribution of contaminant concentrations between the source(s) and actual or potential receptor locations. The model calculates the simulation line using maximum concentrations at the source(s) and predicting the amount of dispersion and degradation. Modeled data in the simulation line are compared with actual contaminant concentrations to verify the predictive validity of the model and to make risk classification decisions.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Modeled site-specific target level (SSTL) line. </w:t>
      </w:r>
      <w:r>
        <w:rPr>
          <w:rFonts w:ascii="Times New Roman" w:hAnsi="Times New Roman"/>
          <w:b w:val="false"/>
          <w:i w:val="false"/>
          <w:color w:val="000000"/>
          <w:sz w:val="24"/>
        </w:rPr>
        <w:t>The modeled SSTL line represents acceptable levels of contaminant concentrations at points between and including the source(s) and an applicable point(s) of exposure or other point(s) of compliance (ex. a potential receptor point of exposure). The SSTL line is calculated by assuming an applicable target level concentration at the point(s) of exposure or point(s) of compliance and modeling back to the source to determine the maximum concentrations at the source (SSTL) that must be achieved to meet the target level at the point of exposure or compliance. Comparison of contaminant concentrations from actual samples to this SSTL line is used to determine a risk classification and determine appropriate corrective action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Crossgradient and upgradient modeling. </w:t>
      </w:r>
      <w:r>
        <w:rPr>
          <w:rFonts w:ascii="Times New Roman" w:hAnsi="Times New Roman"/>
          <w:b w:val="false"/>
          <w:i w:val="false"/>
          <w:color w:val="000000"/>
          <w:sz w:val="24"/>
        </w:rPr>
        <w:t>In determining the SSTL line and the simulation line in directions other than downgradient, the modeled contaminant concentrations are applied to reduced distances as specified in the “Tier 2 Guidance.” The modeled results are applied to 100 percent of the distance within an angle of 30 degrees on either side of the range of downgradient directions as specified in Tier 2 guidance. The modeled results are applied to 20 percent of the distance in the upgradient direction and directly proportional distances between these two outer limits. If the groundwater gradient is less than 0.005 or the groundwater contaminant plume shows no definitive direction or shows directional reversals, the modeled concentrations are applied to 100 percent of the distance in all directions from the source. As the downgradient velocity increases, the upgradient modeled distance is reduced to less than 20 percent of the downgradient modeled distance.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purpose of plume definition at Tier 2 is to obtain sufficient data to determine the impact on actual and potential receptors, to determine and confirm the highest levels of contamination, to verify the validity of the models, and to determine groundwater flow direction. The number and location of borings and monitoring wells and the specificity of plume definition will depend on the pathway or pathways being assessed and the actual or potential receptors of concern. Unless otherwise specified, groundwater and soil contamination shall be defined to Tier 1 levels for the applicable pathways. Linear interpolation between two known concentrations must be used to delineate plume extent. Samples with no concentrations detected shall be considered one-half the detection limit for interpolation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Unless a pathway has obtained clearance under Tier 1, each pathway must be evaluated at Tier 2. Pathways are generally considered complete (unless otherwise specified) and receptors affected if actual receptors or potential receptor points of exposure exist within the modeled contaminant plume using the modeled simulation line calculated to the applicable target level at a point of exposure. If the actual contaminant plume exceeds the modeled plume, the pathway is complete and must be evaluated if actual or potential points of exposure exist within a distance extending 10 percent beyond the edge of the defined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Points of exposure and compliance. </w:t>
      </w:r>
      <w:r>
        <w:rPr>
          <w:rFonts w:ascii="Times New Roman" w:hAnsi="Times New Roman"/>
          <w:b w:val="false"/>
          <w:i w:val="false"/>
          <w:color w:val="000000"/>
          <w:sz w:val="24"/>
        </w:rPr>
        <w:t>For actual receptors, the point(s) of exposure is the receptor. For potential receptors, the potential receptor point(s) of exposure is determined by using actual plume definition or the modeled simulation line to determine all points that exceed the target level(s) for potential receptors. The potential receptor point(s) of exposure is the location(s) closest to the source where a receptor could reasonably exist and that is not subject to an institutional control; for example, the source is the potential receptor point of exposure if not subject to an institutional control or an adjoining property boundary line if that property is not subject to an institutional control. At Tier 2, the point(s) of exposure or potential receptor point(s) of exposure is a point of compliance unless otherwise specified. Other points of compliance are specified by rules and will generally include all points along the SSTL line for purposes of pathway and site classification and corrective action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135.10(3)</w:t>
      </w:r>
      <w:r>
        <w:rPr>
          <w:rFonts w:ascii="Times New Roman" w:hAnsi="Times New Roman"/>
          <w:b w:val="false"/>
          <w:i w:val="false"/>
          <w:color w:val="000000"/>
          <w:sz w:val="24"/>
        </w:rPr>
        <w:t> </w:t>
      </w:r>
      <w:r>
        <w:rPr>
          <w:rFonts w:ascii="Times New Roman" w:hAnsi="Times New Roman"/>
          <w:b w:val="false"/>
          <w:i/>
          <w:color w:val="000000"/>
          <w:sz w:val="24"/>
        </w:rPr>
        <w:t xml:space="preserve">Bedrock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As provided in </w:t>
      </w:r>
      <w:hyperlink r:id="rId435">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if bedrock is encountered before groundwater, special assessment procedures under this subrule apply. The Tier 2 assessment procedures apply to the extent they are not inconsistent with this subrule. The objectives of these special procedures are to avoid creating a preferential pathway for contamination through a confining layer to a bedrock aquifer; to avoid creating a preferential pathway to a fractured system, and to determine whether groundwater transport modeling can be used and, if not, what alternative procedures are required. The owner or operator may choose to conduct a Tier 3 assessment under </w:t>
      </w:r>
      <w:hyperlink r:id="rId436">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 as an alternative to proceeding under this subrule. For sites where bedrock is encountered before groundwater, there are three general categories of site conditions that determine the assessment procedures that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Nongranular bedrock. Nongranular bedrock is bedrock that is determined to not act as a granular aquifer as provided in </w:t>
      </w:r>
      <w:hyperlink r:id="rId437">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(2). Nongranular bedrock generally has some type of fractured system where groundwater transport modeling cannot be applied and that makes it difficult to define the extent of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Granular bedrock. Granular bedrock is bedrock that is determined to act as a granular aquifer and for which monitoring wells do not exist at the source. For purposes of this rule, a granular aquifer is one that shows no extraordinary variations or inconsistencies in groundwater elevations across the site, groundwater flow, hydraulic conductivities, or total dissolved solid concentrations among monitoring wells. Although the extent of contamination can be defined in granular bedrock, groundwater transport modeling cannot be used because monitoring wells shall not be installed at the source if soil contamination is present. If soil contamination above a Tier 1 level is not identified or an overexcavation of contaminated soil has successfully removed all soil contamination greater than a Tier 1 level, then monitoring wells can be installed in the source area and the site can be evaluated as exempt granular bedrock.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Exempt granular bedrock. Exempt granular bedrock is bedrock that is determined to act as a granular aquifer as provided in </w:t>
      </w:r>
      <w:hyperlink r:id="rId438">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 xml:space="preserve">(2) and for which monitoring wells exist at the source as of August 15, 1996. Sites in exempt granular bedrock shall be evaluated using regular Tier 1 and Tier 2 procedures in this rule. </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Nongranular bedrock is subject to special bedrock assessment procedures even if groundwater monitoring wells exist at the source because the flow is not predictable by the Tier 2 model.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Exempt soil pathways. </w:t>
      </w:r>
      <w:r>
        <w:rPr>
          <w:rFonts w:ascii="Times New Roman" w:hAnsi="Times New Roman"/>
          <w:b w:val="false"/>
          <w:i w:val="false"/>
          <w:color w:val="000000"/>
          <w:sz w:val="24"/>
        </w:rPr>
        <w:t xml:space="preserve">The soil vapor to enclosed space pathway and the soil to water lines pathway shall be assessed under the regular Tier 2 procedures in </w:t>
      </w:r>
      <w:hyperlink r:id="rId439">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 xml:space="preserve"> and </w:t>
      </w:r>
      <w:hyperlink r:id="rId440">
        <w:r>
          <w:rPr>
            <w:rStyle w:val="Hyperlink"/>
            <w:rFonts w:ascii="Times New Roman" w:hAnsi="Times New Roman"/>
            <w:b w:val="false"/>
            <w:i w:val="false"/>
            <w:color w:val="000000"/>
            <w:sz w:val="24"/>
          </w:rPr>
          <w:t>135.10(9)</w:t>
        </w:r>
      </w:hyperlink>
      <w:r>
        <w:rPr>
          <w:rFonts w:ascii="Times New Roman" w:hAnsi="Times New Roman"/>
          <w:b w:val="false"/>
          <w:i w:val="false"/>
          <w:color w:val="000000"/>
          <w:sz w:val="24"/>
        </w:rPr>
        <w:t xml:space="preserve">, respectively. In all cases, the assessment must comply with the policy of avoiding a preferential pathway to groundwater consistent with </w:t>
      </w:r>
      <w:hyperlink r:id="rId441">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and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Soil and groundwater assessment. </w:t>
      </w:r>
      <w:r>
        <w:rPr>
          <w:rFonts w:ascii="Times New Roman" w:hAnsi="Times New Roman"/>
          <w:b w:val="false"/>
          <w:i w:val="false"/>
          <w:color w:val="000000"/>
          <w:sz w:val="24"/>
        </w:rPr>
        <w:t>The vertical and horizontal extent of soil contamination shall first be defined to Tier 1 levels for the soil leaching to groundwater pathway without drilling into bedrock. A minimum of three groundwater monitoring wells shall be located and installed between 50 to 100 feet beyond the soil contamination Tier 1 levels to avoid creating a preferential pathway. Analytical data as normally required by these rules and guidance must be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Soil contamination remediation. </w:t>
      </w:r>
      <w:r>
        <w:rPr>
          <w:rFonts w:ascii="Times New Roman" w:hAnsi="Times New Roman"/>
          <w:b w:val="false"/>
          <w:i w:val="false"/>
          <w:color w:val="000000"/>
          <w:sz w:val="24"/>
        </w:rPr>
        <w:t xml:space="preserve">For all sites where soil contamination exceeds the soil leaching to groundwater Tier 1 levels, soil excavation or other active soil remediation technology must be conducted in accordance with department guidance to reduce concentrations to below this Tier 1 level. Soil remediation monitoring must be conducted in accordance with </w:t>
      </w:r>
      <w:hyperlink r:id="rId442">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Groundwater plume definition. </w:t>
      </w:r>
      <w:r>
        <w:rPr>
          <w:rFonts w:ascii="Times New Roman" w:hAnsi="Times New Roman"/>
          <w:b w:val="false"/>
          <w:i w:val="false"/>
          <w:color w:val="000000"/>
          <w:sz w:val="24"/>
        </w:rPr>
        <w:t xml:space="preserve">If it is determined the groundwater acts in a manner consistent with a granular aquifer as provided in </w:t>
      </w:r>
      <w:hyperlink r:id="rId443">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 xml:space="preserve">(2) and guidance but does not meet the criteria for exemption under </w:t>
      </w:r>
      <w:hyperlink r:id="rId444">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 xml:space="preserve">(3), the plume must be defined. The policy of avoiding the creation of a preferential pathway to the bedrock aquifer in accordance with </w:t>
      </w:r>
      <w:hyperlink r:id="rId445">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must be followed.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Soil leaching to groundwater ingestion pathway. </w:t>
      </w:r>
      <w:r>
        <w:rPr>
          <w:rFonts w:ascii="Times New Roman" w:hAnsi="Times New Roman"/>
          <w:b w:val="false"/>
          <w:i w:val="false"/>
          <w:color w:val="000000"/>
          <w:sz w:val="24"/>
        </w:rPr>
        <w:t xml:space="preserve">Under this subrule, the soil leaching to groundwater pathway only need be evaluated in combination with the groundwater ingestion pathway. Because of the policies requiring soil remediation to the soil leaching to groundwater Tier 1 levels under </w:t>
      </w:r>
      <w:hyperlink r:id="rId446">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the soil leaching pathway target levels applicable to other groundwater transport pathways and other soil pathways would not be exceeded. If a soil leaching to groundwater Tier 1 level is exceeded, the pathway is high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Special procedures for the groundwater ingestion pathway.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protected groundwater source is assumed without measurements of hydraulic conductivity for all sites designated as granular or nongranular bedrock.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well receptor evaluation for granular and nongranular bedrock designations. All drinking and non-drinking water wells within 1,000 feet of the source must be identified and tested for chemicals of concern. All public water supply systems within one mile of the source must be identified and raw water tested for chemicals of concern. All area within 1,000 feet of the source is considered a potential receptor point of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Target levels. The following target levels apply regardless of granular aquifer designation. If drinking water wells are within 1,000 feet of the source, the applicable target level is the groundwater ingestion pathway Tier 1 level for actual receptors. If non-drinking water wells are within 1,000 feet of the source, the applicable target level is the groundwater ingestion pathway Tier 1 level for potential receptors. For potential wells, the applicable target level is the groundwater ingestion pathway Tier 1 level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Sentry well. If the Tier 1 level for actual receptors is exceeded at sites designated as granular bedrock and the receptor has not yet been impacted, a monitoring well shall be placed between the source and an actual receptor, outside the defined plume and approximately 200 feet from the actual receptor. For alternative well placement, the certified groundwater professional must provide justification and obtain department approval. This monitoring well is to be used for monitoring potential groundwater contamination of the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High risk classification. A site where bedrock is encountered before groundwater shall be classified high risk for this pathway if any of the following conditions exist regardless of granular aquifer determination: The target level at any actual receptor is exceeded; drinking water well receptors are present within 1,000 feet and groundwater concentrations in any monitoring well exceed the groundwater ingestion Tier 1 level for actual receptors; non-drinking water wells are within 1,000 feet and groundwater concentrations in any monitoring well exceed the groundwater ingestion pathway Tier 1 level for potential receptors; or for sites designated nongranular bedrock, if groundwater concentrations for chemicals of concern from any public water system well within one mile of the source exceed 40 percent of the Tier 1 level for actual receptors, and groundwater concentrations in any monitoring well exceed the groundwater ingestion Tier 1 level for actual receptors. Corrective action shall be undertaken as provided in </w:t>
      </w:r>
      <w:hyperlink r:id="rId447">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Low risk classification. Sites without an actual receptor within 1,000 feet shall be classified as low risk for this pathway if no high risk conditions exist and the Tier 1 level for potential receptors is exceeded. The site is subject to monitoring as provided in </w:t>
      </w:r>
      <w:hyperlink r:id="rId448">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“l.”</w:t>
      </w:r>
      <w:r>
        <w:rPr>
          <w:rFonts w:ascii="Times New Roman" w:hAnsi="Times New Roman"/>
          <w:b w:val="false"/>
          <w:i w:val="false"/>
          <w:color w:val="000000"/>
          <w:sz w:val="24"/>
        </w:rPr>
        <w:t xml:space="preserve"> If an actual receptor exists within 1,000 feet, a site designated as granular or nongranular bedrock shall be classified low risk for this pathway when soil contamination has been removed or remediated to below the soil leaching to groundwater Tier 1 levels and all groundwater monitoring wells are non-detect or below the applicable target level for actual and potential receptors. A site may be reclassified to no action required for this pathway after all monitoring wells meet the exit monitoring criteria as specified in </w:t>
      </w:r>
      <w:hyperlink r:id="rId449">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“l.”</w:t>
      </w:r>
      <w:r>
        <w:rPr>
          <w:rFonts w:ascii="Times New Roman" w:hAnsi="Times New Roman"/>
          <w:b w:val="false"/>
          <w:i w:val="false"/>
          <w:color w:val="000000"/>
          <w:sz w:val="24"/>
        </w:rPr>
        <w:t xml:space="preserve"> (</w:t>
      </w:r>
      <w:r>
        <w:rPr>
          <w:rFonts w:ascii="Times New Roman" w:hAnsi="Times New Roman"/>
          <w:b w:val="false"/>
          <w:i w:val="false"/>
          <w:color w:val="000000"/>
          <w:sz w:val="24"/>
        </w:rPr>
        <w:t>NOTE</w:t>
      </w:r>
      <w:r>
        <w:rPr>
          <w:rFonts w:ascii="Times New Roman" w:hAnsi="Times New Roman"/>
          <w:b w:val="false"/>
          <w:i w:val="false"/>
          <w:color w:val="000000"/>
          <w:sz w:val="24"/>
        </w:rPr>
        <w:t xml:space="preserve">: Exit monitoring is required because groundwater monitoring wells are not located at the source or if they are, the data is highly unreliable given the nature of bedrock.) If actual receptors do not exist or have been properly plugged and concentrations exceed the Tier 1 level for potential receptors, institutional controls and notification to permitting authorities may be employed in accordance with </w:t>
      </w:r>
      <w:hyperlink r:id="rId450">
        <w:r>
          <w:rPr>
            <w:rStyle w:val="Hyperlink"/>
            <w:rFonts w:ascii="Times New Roman" w:hAnsi="Times New Roman"/>
            <w:b w:val="false"/>
            <w:i w:val="false"/>
            <w:color w:val="000000"/>
            <w:sz w:val="24"/>
          </w:rPr>
          <w:t>135.10(4)</w:t>
        </w:r>
      </w:hyperlink>
      <w:r>
        <w:rPr>
          <w:rFonts w:ascii="Times New Roman" w:hAnsi="Times New Roman"/>
          <w:b w:val="false"/>
          <w:i/>
          <w:color w:val="000000"/>
          <w:sz w:val="24"/>
        </w:rPr>
        <w:t>“h.”</w:t>
      </w:r>
      <w:r>
        <w:rPr>
          <w:rFonts w:ascii="Times New Roman" w:hAnsi="Times New Roman"/>
          <w:b w:val="false"/>
          <w:i w:val="false"/>
          <w:color w:val="000000"/>
          <w:sz w:val="24"/>
        </w:rPr>
        <w:t xml:space="preserve"> The institutional control must prohibit use of groundwater for 1,000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Special procedures for the groundwater vapor to enclosed space pathway.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Soil gas plume. Soil gas measurements must be taken regardless of granular aquifer determination and in accordance with Tier 2 guidance to determine a soil gas plume. Soil gas where practical should be measured at the soil-bedrock interface. At a minimum, soil gas must be measured at the suspected area of maximum contamination and near the three monitoring wells with the highest concentrations that exceed the Tier 1 level for the groundwater to enclosed space pathway. Where the plume has been defined, soil gas measurements should be taken near wells exceeding the Tier 1 level. Other soil gas measurements must be taken as needed to define the extent of contamination where soil gas measurements exceed the soil gas vapor target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soil gas target levels are those defined in </w:t>
      </w:r>
      <w:hyperlink r:id="rId451">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High risk classification. A site designated as granular or nongranular bedrock shall be classified high risk for this pathway if an actual confined space receptor exists within 50 feet of the soil gas plume based on the soil gas target level as defined in </w:t>
      </w:r>
      <w:hyperlink r:id="rId452">
        <w:r>
          <w:rPr>
            <w:rStyle w:val="Hyperlink"/>
            <w:rFonts w:ascii="Times New Roman" w:hAnsi="Times New Roman"/>
            <w:b w:val="false"/>
            <w:i w:val="false"/>
            <w:color w:val="000000"/>
            <w:sz w:val="24"/>
          </w:rPr>
          <w:t>135.10(6)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Low risk classification. A site designated as granular or nongranular bedrock shall be classified as low risk for this pathway if the soil gas exceeds the vapor target level at any point and no actual confined space receptors exist within 50 feet of the soil gas contaminant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Special procedure for the groundwater to water line pathway.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Target level. The applicable target level is the Tier 1 level for the specific type of water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High risk classification. A site designated as granular or nongranular bedrock shall be classified high risk for this pathway if the highest groundwater elevation is within three feet of the bottom of a water line as provided in </w:t>
      </w:r>
      <w:hyperlink r:id="rId453">
        <w:r>
          <w:rPr>
            <w:rStyle w:val="Hyperlink"/>
            <w:rFonts w:ascii="Times New Roman" w:hAnsi="Times New Roman"/>
            <w:b w:val="false"/>
            <w:i w:val="false"/>
            <w:color w:val="000000"/>
            <w:sz w:val="24"/>
          </w:rPr>
          <w:t>135.10(8)</w:t>
        </w:r>
      </w:hyperlink>
      <w:r>
        <w:rPr>
          <w:rFonts w:ascii="Times New Roman" w:hAnsi="Times New Roman"/>
          <w:b w:val="false"/>
          <w:i/>
          <w:color w:val="000000"/>
          <w:sz w:val="24"/>
        </w:rPr>
        <w:t>“a”</w:t>
      </w:r>
      <w:r>
        <w:rPr>
          <w:rFonts w:ascii="Times New Roman" w:hAnsi="Times New Roman"/>
          <w:b w:val="false"/>
          <w:i w:val="false"/>
          <w:color w:val="000000"/>
          <w:sz w:val="24"/>
        </w:rPr>
        <w:t xml:space="preserve">(1), risk classification cannot be determined as provided in </w:t>
      </w:r>
      <w:hyperlink r:id="rId454">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due to limitations on placement of monitoring wells, and water lines exist within 200 feet of a monitoring well that exceeds the Tier 1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Special procedures for the surface water pathway. </w:t>
      </w:r>
      <w:r>
        <w:rPr>
          <w:rFonts w:ascii="Times New Roman" w:hAnsi="Times New Roman"/>
          <w:b w:val="false"/>
          <w:i w:val="false"/>
          <w:color w:val="000000"/>
          <w:sz w:val="24"/>
        </w:rPr>
        <w:t xml:space="preserve">Any surface water body within 200 feet of the source must be evaluated under the following for sites designated as granular or nongranular bedrock. The provisions of </w:t>
      </w:r>
      <w:hyperlink r:id="rId455">
        <w:r>
          <w:rPr>
            <w:rStyle w:val="Hyperlink"/>
            <w:rFonts w:ascii="Times New Roman" w:hAnsi="Times New Roman"/>
            <w:b w:val="false"/>
            <w:i w:val="false"/>
            <w:color w:val="000000"/>
            <w:sz w:val="24"/>
          </w:rPr>
          <w:t>135.10(10)</w:t>
        </w:r>
      </w:hyperlink>
      <w:r>
        <w:rPr>
          <w:rFonts w:ascii="Times New Roman" w:hAnsi="Times New Roman"/>
          <w:b w:val="false"/>
          <w:i w:val="false"/>
          <w:color w:val="000000"/>
          <w:sz w:val="24"/>
        </w:rPr>
        <w:t xml:space="preserve"> apply to the extent they are not inconsistent with the following, including the visual inspection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Point of compliance. The monitoring well closest to the surface water body must be used as the point of compliance to evaluate impacts to designated use segments as described in </w:t>
      </w:r>
      <w:hyperlink r:id="rId456">
        <w:r>
          <w:rPr>
            <w:rStyle w:val="Hyperlink"/>
            <w:rFonts w:ascii="Times New Roman" w:hAnsi="Times New Roman"/>
            <w:b w:val="false"/>
            <w:i w:val="false"/>
            <w:color w:val="000000"/>
            <w:sz w:val="24"/>
          </w:rPr>
          <w:t>135.10(10)</w:t>
        </w:r>
      </w:hyperlink>
      <w:r>
        <w:rPr>
          <w:rFonts w:ascii="Times New Roman" w:hAnsi="Times New Roman"/>
          <w:b w:val="false"/>
          <w:i w:val="false"/>
          <w:color w:val="000000"/>
          <w:sz w:val="24"/>
        </w:rPr>
        <w:t xml:space="preserve"> and for general use segments that fail the visual inspection criteria of </w:t>
      </w:r>
      <w:hyperlink r:id="rId457">
        <w:r>
          <w:rPr>
            <w:rStyle w:val="Hyperlink"/>
            <w:rFonts w:ascii="Times New Roman" w:hAnsi="Times New Roman"/>
            <w:b w:val="false"/>
            <w:i w:val="false"/>
            <w:color w:val="000000"/>
            <w:sz w:val="24"/>
          </w:rPr>
          <w:t>135.10(10)</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surface water criteria are exceeded for a designated use segment, an allowable discharge concentration must be calculated and met at the point of compliance. For general use segments failing the visual inspection criteria, the acutely toxic target level must be met at the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High risk classification. A site designated as granular or nongranular bedrock shall be classified high risk for this pathway if the surface water body is within 200 feet of the source, risk classification cannot be determined as per </w:t>
      </w:r>
      <w:hyperlink r:id="rId458">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due to limitations on placement of monitoring wells, and the monitoring well closest to the designated use segment exceeds the allowable discharge concentration. A general use segment failing the visual inspection criteria is high risk if, after the sheen is removed, the monitoring well closest to the general use segment exceeds the acutely toxic target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Low risk classification. If the allowable discharge concentration is not exceeded at the point of compliance, the site shall be classified as low risk for this pathway and subject to monitoring under </w:t>
      </w:r>
      <w:hyperlink r:id="rId459">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 xml:space="preserve">“l.” </w:t>
      </w:r>
      <w:r>
        <w:rPr>
          <w:rFonts w:ascii="Times New Roman" w:hAnsi="Times New Roman"/>
          <w:b w:val="false"/>
          <w:i w:val="false"/>
          <w:color w:val="000000"/>
          <w:sz w:val="24"/>
        </w:rPr>
        <w:t>The monitoring well closest to the receptor shall serve as the sentry well for monitoring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High risk corrective action response. </w:t>
      </w:r>
      <w:r>
        <w:rPr>
          <w:rFonts w:ascii="Times New Roman" w:hAnsi="Times New Roman"/>
          <w:b w:val="false"/>
          <w:i w:val="false"/>
          <w:color w:val="000000"/>
          <w:sz w:val="24"/>
        </w:rPr>
        <w:t xml:space="preserve">Owners and operators have the option to conduct a Tier 3 assessment in accordance with </w:t>
      </w:r>
      <w:hyperlink r:id="rId460">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ingestion pathway. For high risk sites, where soil exceeds the soil leaching to groundwater Tier 1 level for actual receptors, soil excavation or other active remediation of soils must be conducted in accordance with department guidance to reduce soil concentrations to below the soil leaching Tier 1 level. Corrective action other than monitoring of groundwater is required at sites designated as nongranular bedrock if the actual receptor has been or is likely to be impacted. Corrective action other than monitoring of groundwater is required at sites designated as granular bedrock if the actual receptor has been impacted or the sentry well required by </w:t>
      </w:r>
      <w:hyperlink r:id="rId461">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“g”</w:t>
      </w:r>
      <w:r>
        <w:rPr>
          <w:rFonts w:ascii="Times New Roman" w:hAnsi="Times New Roman"/>
          <w:b w:val="false"/>
          <w:i w:val="false"/>
          <w:color w:val="000000"/>
          <w:sz w:val="24"/>
        </w:rPr>
        <w:t>(4) has been impacted above Tier 1 levels. Acceptable corrective action for impacted or vulnerable groundwater wells may include active remediation, technological controls, institutional controls, well plugging, relocation, and well reinstallation with construction measures sufficient to prevent contaminant infiltration to the well and to prevent formation of a preferential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ingestion pathway high risk monitoring. For high risk sites designated as nongranular or granular bedrock, if the soil concentrations do not exceed the soil leaching to groundwater Tier 1 levels or have been reduced to this level by corrective action, and corrective action of groundwater is not required as in </w:t>
      </w:r>
      <w:hyperlink r:id="rId462">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“k”</w:t>
      </w:r>
      <w:r>
        <w:rPr>
          <w:rFonts w:ascii="Times New Roman" w:hAnsi="Times New Roman"/>
          <w:b w:val="false"/>
          <w:i w:val="false"/>
          <w:color w:val="000000"/>
          <w:sz w:val="24"/>
        </w:rPr>
        <w:t xml:space="preserve">(1), these sites shall be subject to groundwater monitoring as provided in </w:t>
      </w:r>
      <w:hyperlink r:id="rId463">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“l.”</w:t>
      </w:r>
      <w:r>
        <w:rPr>
          <w:rFonts w:ascii="Times New Roman" w:hAnsi="Times New Roman"/>
          <w:b w:val="false"/>
          <w:i w:val="false"/>
          <w:color w:val="000000"/>
          <w:sz w:val="24"/>
        </w:rPr>
        <w:t xml:space="preserve"> Corrective action other than monitoring of groundwater is required at sites designated as granular bedrock if groundwater concentrations exceed the applicable target level less than 200 feet from an actual receptor. Reevaluation of the potential for impact to actual receptors is required at sites designated as nongranular bedrock if concentrations from monitoring wells increase more than 20 percent of the previous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water line pathways. For high risk sites, active remediation must be conducted to reduce concentrations below the applicable target levels, or water lines and gaskets must be replaced or relocated, including the use of institutional and technological controls. If lines are polybutylene, polyethylene, or asbestos-cement, the lines must be removed or relocated. All water lines that are replaced must be replaced with water line materials and gasket materials of appropriate construction in accordance with current department standards set forth in </w:t>
      </w:r>
      <w:hyperlink r:id="rId464">
        <w:r>
          <w:rPr>
            <w:rStyle w:val="Hyperlink"/>
            <w:rFonts w:ascii="Times New Roman" w:hAnsi="Times New Roman"/>
            <w:b w:val="false"/>
            <w:i w:val="false"/>
            <w:color w:val="000000"/>
            <w:sz w:val="24"/>
          </w:rPr>
          <w:t>567—Chapter 43</w:t>
        </w:r>
      </w:hyperlink>
      <w:r>
        <w:rPr>
          <w:rFonts w:ascii="Times New Roman" w:hAnsi="Times New Roman"/>
          <w:b w:val="false"/>
          <w:i w:val="false"/>
          <w:color w:val="000000"/>
          <w:sz w:val="24"/>
        </w:rPr>
        <w:t xml:space="preserve"> and with no less than nitrile or FKM gaskets or as otherwise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pathways. For high risk sites other than groundwater ingestion and water lines, active remediation must be conducted to reduce concentrations below the applicable target levels, including the use of institutional and technological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Monitoring. </w:t>
      </w:r>
      <w:r>
        <w:rPr>
          <w:rFonts w:ascii="Times New Roman" w:hAnsi="Times New Roman"/>
          <w:b w:val="false"/>
          <w:i w:val="false"/>
          <w:color w:val="000000"/>
          <w:sz w:val="24"/>
        </w:rPr>
        <w:t xml:space="preserve">For high and low risk sites, annual monitoring at a minimum is required as specified below, and potential receptor status for low risk sites must be confirmed. Annual monitoring may be used to meet the exit requirements for no action required classification in accordance with </w:t>
      </w:r>
      <w:hyperlink r:id="rId465">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Groundwater in nongranular bedrock designations. All groundwater monitoring wells must be monitored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in granular bedrock designations. The following monitoring wells must be monitored at least annually: a well with detected levels of contamination closest to the leading edge of the groundwater plume between the source and the receptor, and a sentry well with concentrations below the applicable target level consistent with </w:t>
      </w:r>
      <w:hyperlink r:id="rId466">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“g”</w:t>
      </w:r>
      <w:r>
        <w:rPr>
          <w:rFonts w:ascii="Times New Roman" w:hAnsi="Times New Roman"/>
          <w:b w:val="false"/>
          <w:i w:val="false"/>
          <w:color w:val="000000"/>
          <w:sz w:val="24"/>
        </w:rPr>
        <w:t xml:space="preserve">(4) and </w:t>
      </w:r>
      <w:hyperlink r:id="rId467">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“j.”</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Soil gas. For sites where the soil gas target level is exceeded, annual monitoring of soil gas is required at the suspected area of maximum contamination and between the soil gas plume and any actual receptors within 100 feet of the soil gas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No action required classification. </w:t>
      </w:r>
      <w:r>
        <w:rPr>
          <w:rFonts w:ascii="Times New Roman" w:hAnsi="Times New Roman"/>
          <w:b w:val="false"/>
          <w:i w:val="false"/>
          <w:color w:val="000000"/>
          <w:sz w:val="24"/>
        </w:rPr>
        <w:t>A site may be given a no action required classification after conducting a Tier 2 assessment as provided in this subrule if maximum soil concentrations do not exceed the Tier 1 levels for the soil leaching pathway, and if groundwater exit monitoring criteria and soil gas confirmation sampling are met as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Groundwater in nongranular bedrock designations. Exit monitoring requires that samples from all groundwater monitoring wells must not exceed the applicable target levels for annual sampling for three consecutive years. If soil contamination above a Tier 1 level is not identified or if an overexcavation has successfully removed all soil contamination greater than a Tier 1 level and monitoring wells are installed in the source area, exit monitoring criteria are met when two consecutive samples collected at least six months apart from all monitoring wells show concentrations less than the lowest target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in granular bedrock designations. Exit monitoring must be met in two ways: A monitoring well between the source and the receptor must not exceed applicable target levels for three sampling events, and samples must be separated by at least six months; and the three most recent consecutive groundwater samples from a monitoring well between the source and the receptor with detected levels of contamination must show a steady or declining trend and meet the following criteria: The first of the three samples must be greater than detection limits, concentrations cannot increase more than 20 percent from the first of the three samples to the third sample; concentrations cannot increase more than 20 percent from the previous sample; and samples must be collected at least six months apart.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Soil gas. Confirmation sampling for soil gas must be conducted as specified in </w:t>
      </w:r>
      <w:hyperlink r:id="rId468">
        <w:r>
          <w:rPr>
            <w:rStyle w:val="Hyperlink"/>
            <w:rFonts w:ascii="Times New Roman" w:hAnsi="Times New Roman"/>
            <w:b w:val="false"/>
            <w:i w:val="false"/>
            <w:color w:val="000000"/>
            <w:sz w:val="24"/>
          </w:rPr>
          <w:t>135.12(6)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color w:val="000000"/>
          <w:sz w:val="24"/>
        </w:rPr>
        <w:t xml:space="preserve">Properly plugged monitoring wells. </w:t>
      </w:r>
      <w:r>
        <w:rPr>
          <w:rFonts w:ascii="Times New Roman" w:hAnsi="Times New Roman"/>
          <w:b w:val="false"/>
          <w:i w:val="false"/>
          <w:color w:val="000000"/>
          <w:sz w:val="24"/>
        </w:rPr>
        <w:t xml:space="preserve">After receiving a no action required classification, all monitoring wells must be properly plugged in accordance with </w:t>
      </w:r>
      <w:hyperlink r:id="rId469">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470">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135.10(4)</w:t>
      </w:r>
      <w:r>
        <w:rPr>
          <w:rFonts w:ascii="Times New Roman" w:hAnsi="Times New Roman"/>
          <w:b w:val="false"/>
          <w:i w:val="false"/>
          <w:color w:val="000000"/>
          <w:sz w:val="24"/>
        </w:rPr>
        <w:t> </w:t>
      </w:r>
      <w:r>
        <w:rPr>
          <w:rFonts w:ascii="Times New Roman" w:hAnsi="Times New Roman"/>
          <w:b w:val="false"/>
          <w:i/>
          <w:color w:val="000000"/>
          <w:sz w:val="24"/>
        </w:rPr>
        <w:t xml:space="preserve">Groundwater ingestion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 xml:space="preserve">Unless cleared at Tier 1, this pathway is complete and must be evaluated under any of the following conditions: (1) the first encountered groundwater is a protected groundwater source; or (2) there is a drinking water well or a non-drinking water well within the modeled groundwater plume or the actual plume as provided in </w:t>
      </w:r>
      <w:hyperlink r:id="rId471">
        <w:r>
          <w:rPr>
            <w:rStyle w:val="Hyperlink"/>
            <w:rFonts w:ascii="Times New Roman" w:hAnsi="Times New Roman"/>
            <w:b w:val="false"/>
            <w:i w:val="false"/>
            <w:color w:val="000000"/>
            <w:sz w:val="24"/>
          </w:rPr>
          <w:t>135.10(2)</w:t>
        </w:r>
        <w:r>
          <w:rPr>
            <w:rFonts w:ascii="Times New Roman" w:hAnsi="Times New Roman"/>
            <w:b w:val="false"/>
            <w:i/>
            <w:color w:val="000000"/>
            <w:sz w:val="24"/>
          </w:rPr>
          <w:t>“j”</w:t>
        </w:r>
      </w:hyperlink>
      <w:r>
        <w:rPr>
          <w:rFonts w:ascii="Times New Roman" w:hAnsi="Times New Roman"/>
          <w:b w:val="false"/>
          <w:i w:val="false"/>
          <w:color w:val="000000"/>
          <w:sz w:val="24"/>
        </w:rPr>
        <w:t xml:space="preserve"> and </w:t>
      </w:r>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All drinking and non-drinking water wells located within 100 feet of the largest actual plume (defined to the appropriate target level for the receptor type) must be tested, at a minimum, for chemicals of concern as part of the receptor evaluation. Actual plumes refer to groundwater plumes for all chemicals of concern. Untreated or raw water must be collected for analysis unless it is determined to be infeasible or impracticable.</w:t>
      </w:r>
    </w:p>
    <w:p>
      <w:pPr>
        <w:spacing w:before="0" w:after="0" w:line="480"/>
        <w:ind w:left="120"/>
        <w:jc w:val="both"/>
      </w:pPr>
      <w:r>
        <w:rPr>
          <w:rFonts w:ascii="Times New Roman" w:hAnsi="Times New Roman"/>
          <w:b w:val="false"/>
          <w:i w:val="false"/>
          <w:color w:val="000000"/>
          <w:sz w:val="24"/>
        </w:rPr>
        <w:t xml:space="preserve">All existing drinking water wells and non-drinking water wells within the modeled plume or the actual plume as provided in </w:t>
      </w:r>
      <w:hyperlink r:id="rId472">
        <w:r>
          <w:rPr>
            <w:rStyle w:val="Hyperlink"/>
            <w:rFonts w:ascii="Times New Roman" w:hAnsi="Times New Roman"/>
            <w:b w:val="false"/>
            <w:i w:val="false"/>
            <w:color w:val="000000"/>
            <w:sz w:val="24"/>
          </w:rPr>
          <w:t>135.10(4)</w:t>
        </w:r>
      </w:hyperlink>
      <w:r>
        <w:rPr>
          <w:rFonts w:ascii="Times New Roman" w:hAnsi="Times New Roman"/>
          <w:b w:val="false"/>
          <w:i/>
          <w:color w:val="000000"/>
          <w:sz w:val="24"/>
        </w:rPr>
        <w:t>“a”</w:t>
      </w:r>
      <w:r>
        <w:rPr>
          <w:rFonts w:ascii="Times New Roman" w:hAnsi="Times New Roman"/>
          <w:b w:val="false"/>
          <w:i w:val="false"/>
          <w:color w:val="000000"/>
          <w:sz w:val="24"/>
        </w:rPr>
        <w:t xml:space="preserve"> must be evaluated as actual receptors. Potential receptors only exist if the groundwater is a protected groundwater source. Potential receptor points of exposure are those points within the modeled plume or actual plume that exceed the potential point of exposure target level. The point(s) of compliance for actual receptor(s) is the receptor. The point(s) of compliance for potential receptor(s) is the potential receptor point of exposure as provided in </w:t>
      </w:r>
      <w:hyperlink r:id="rId473">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For drinking water wells, the target level at the point(s) of exposure is the Tier 1 level for actual receptors. For non-drinking water wells, the target level at the point(s) of exposure is the Tier 1 levels for potential receptors. For potential receptors, the target level at the potential receptor point(s) of exposure is the Tier 1 level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w:t>
      </w:r>
      <w:r>
        <w:rPr>
          <w:rFonts w:ascii="Times New Roman" w:hAnsi="Times New Roman"/>
          <w:b w:val="false"/>
          <w:i w:val="false"/>
          <w:color w:val="000000"/>
          <w:sz w:val="24"/>
        </w:rPr>
        <w:t xml:space="preserve">The soil leaching to groundwater pathway must be evaluated in accordance with </w:t>
      </w:r>
      <w:hyperlink r:id="rId474">
        <w:r>
          <w:rPr>
            <w:rStyle w:val="Hyperlink"/>
            <w:rFonts w:ascii="Times New Roman" w:hAnsi="Times New Roman"/>
            <w:b w:val="false"/>
            <w:i w:val="false"/>
            <w:color w:val="000000"/>
            <w:sz w:val="24"/>
          </w:rPr>
          <w:t>135.9(5)</w:t>
        </w:r>
      </w:hyperlink>
      <w:r>
        <w:rPr>
          <w:rFonts w:ascii="Times New Roman" w:hAnsi="Times New Roman"/>
          <w:b w:val="false"/>
          <w:i w:val="false"/>
          <w:color w:val="000000"/>
          <w:sz w:val="24"/>
        </w:rPr>
        <w:t xml:space="preserve"> if this pathway is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Modeling. </w:t>
      </w:r>
      <w:r>
        <w:rPr>
          <w:rFonts w:ascii="Times New Roman" w:hAnsi="Times New Roman"/>
          <w:b w:val="false"/>
          <w:i w:val="false"/>
          <w:color w:val="000000"/>
          <w:sz w:val="24"/>
        </w:rPr>
        <w:t xml:space="preserve">At Tier 2, the groundwater well located within the modeled plume is assumed to be drawing from the contaminated aquifer, and the groundwater transport model is designed to predict horizontal movement to the well. If the groundwater professional determines that assessment of the vertical movement of contamination is advisable to determine the potential or actual impact to the well source, a Tier 3 assessment of this vertical pathway may be conducted. The groundwater professional shall submit a work plan to the department specifying the assessment methods and objectives for approval in accordance with </w:t>
      </w:r>
      <w:hyperlink r:id="rId475">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 Factors that should be addressed include but are not limited to well depth and construction, radius of influence, hydrogeologic separation of aquifer, preferential pathways, and differing water quality characteristics.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groundwater plume shall be defined to the applicable Tier 1 level for actual receptors except, where there are no actual receptors and the groundwater is a protected groundwater source, the plume shall be defined to the Tier 1 level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Pathway classification. </w:t>
      </w:r>
      <w:r>
        <w:rPr>
          <w:rFonts w:ascii="Times New Roman" w:hAnsi="Times New Roman"/>
          <w:b w:val="false"/>
          <w:i w:val="false"/>
          <w:color w:val="000000"/>
          <w:sz w:val="24"/>
        </w:rPr>
        <w:t xml:space="preserve">This pathway shall be classified as high risk, low risk or no action required in accordance with </w:t>
      </w:r>
      <w:hyperlink r:id="rId47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Corrective action must be conducted in accordance with </w:t>
      </w:r>
      <w:hyperlink r:id="rId477">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Abandonment and plugging of wells in accordance with </w:t>
      </w:r>
      <w:hyperlink r:id="rId478">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479">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is an acceptable corrective action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 xml:space="preserve">Institutional controls may be used to obtain no action required pathway classification. If the pathway is complete and the concentrations exceed the applicable Tier 1 level(s) for actual receptors, the drinking or non-drinking water well must be properly plugged in accordance with </w:t>
      </w:r>
      <w:hyperlink r:id="rId480">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481">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and the institutional control must prohibit the use of a protected groundwater source (if one exists) within the actual or modeled plume as provided in </w:t>
      </w:r>
      <w:hyperlink r:id="rId482">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If the Tier 1 level is exceeded for potential receptors, the institutional control must prohibit the use of a protected groundwater source within the actual or modeled plume, whichever is greater. If concentrations exceed the Tier 1 level for drinking water wells and the groundwater is a protected groundwater source, the owner or operator must provide notification of the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483">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484">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well owners. </w:t>
      </w:r>
      <w:r>
        <w:rPr>
          <w:rFonts w:ascii="Times New Roman" w:hAnsi="Times New Roman"/>
          <w:b w:val="false"/>
          <w:i w:val="false"/>
          <w:color w:val="000000"/>
          <w:sz w:val="24"/>
        </w:rPr>
        <w:t>Upon receipt of a Tier 2 site cleanup report and as soon as practicable, the department shall notify the owner of any public water supply well identified within the Tier 2 site cleanup report that a leaking underground storage tank site is within 2,500 feet and an assessment has been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135.10(5)</w:t>
      </w:r>
      <w:r>
        <w:rPr>
          <w:rFonts w:ascii="Times New Roman" w:hAnsi="Times New Roman"/>
          <w:b w:val="false"/>
          <w:i w:val="false"/>
          <w:color w:val="000000"/>
          <w:sz w:val="24"/>
        </w:rPr>
        <w:t> </w:t>
      </w:r>
      <w:r>
        <w:rPr>
          <w:rFonts w:ascii="Times New Roman" w:hAnsi="Times New Roman"/>
          <w:b w:val="false"/>
          <w:i/>
          <w:color w:val="000000"/>
          <w:sz w:val="24"/>
        </w:rPr>
        <w:t xml:space="preserve">Soil leaching to groundwater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soil leaching to groundwater pathway is evaluated using a one-dimensional model that predicts vertical movement of contamination through soil to groundwater and transported by the groundwater to a receptor. The model is used to predict the maximum concentrations of chemicals of concern that would be present in groundwater beneath a source that is representative of residual soil contamination and maximum soil concentrations. The predicted groundwater concentrations then must be used as a groundwater source concentration to evaluate its impact on other groundwater transport pathways, including the groundwater ingestion pathway, the groundwater vapor pathway, the groundwater water line pathway and the surface water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This pathway is complete whenever a groundwater transport pathway is complete as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soil plume shall be defined to the Tier 1 levels for the soil leaching to groundwater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Receptors for this pathway are the same as the receptors for each complete groundwater transport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Modeling and target levels. </w:t>
      </w:r>
      <w:r>
        <w:rPr>
          <w:rFonts w:ascii="Times New Roman" w:hAnsi="Times New Roman"/>
          <w:b w:val="false"/>
          <w:i w:val="false"/>
          <w:color w:val="000000"/>
          <w:sz w:val="24"/>
        </w:rPr>
        <w:t xml:space="preserve">The soil and groundwater parameters shall be measured as provided in </w:t>
      </w:r>
      <w:hyperlink r:id="rId485">
        <w:r>
          <w:rPr>
            <w:rStyle w:val="Hyperlink"/>
            <w:rFonts w:ascii="Times New Roman" w:hAnsi="Times New Roman"/>
            <w:b w:val="false"/>
            <w:i w:val="false"/>
            <w:color w:val="000000"/>
            <w:sz w:val="24"/>
          </w:rPr>
          <w:t>135.10(2)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soil leaching to groundwater model shall be used to calculate the predicted groundwater source concentration. Each applicable groundwater transport pathway model shall then be used in accordance with the rules for that pathway to predict potential impact to actual receptors, the location of potential receptor points of exposure and the SSTL in groundwater at the source. This SSTL then is used to calculate a SSTL for soil at the source. If the soil concentrations exceed the SSTL for soil, corrective action response shall be 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If the maximum soil concentration at the source exceeds the SSTL for soil for actual or potential receptors, corrective action must be taken in accordance with </w:t>
      </w:r>
      <w:hyperlink r:id="rId48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135.10(6)</w:t>
      </w:r>
      <w:r>
        <w:rPr>
          <w:rFonts w:ascii="Times New Roman" w:hAnsi="Times New Roman"/>
          <w:b w:val="false"/>
          <w:i w:val="false"/>
          <w:color w:val="000000"/>
          <w:sz w:val="24"/>
        </w:rPr>
        <w:t> </w:t>
      </w:r>
      <w:r>
        <w:rPr>
          <w:rFonts w:ascii="Times New Roman" w:hAnsi="Times New Roman"/>
          <w:b w:val="false"/>
          <w:i/>
          <w:color w:val="000000"/>
          <w:sz w:val="24"/>
        </w:rPr>
        <w:t xml:space="preserve">Groundwater vapor to enclosed space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Unless cleared at Tier 1, this pathway is always considered complete for purposes of Tier 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Explosive vapor survey. </w:t>
      </w:r>
      <w:r>
        <w:rPr>
          <w:rFonts w:ascii="Times New Roman" w:hAnsi="Times New Roman"/>
          <w:b w:val="false"/>
          <w:i w:val="false"/>
          <w:color w:val="000000"/>
          <w:sz w:val="24"/>
        </w:rPr>
        <w:t xml:space="preserve">If an explosive vapor survey has not been conducted as part of a Tier 1 assessment, an explosive vapor survey of enclosed spaces must be conducted during the Tier 2 assessment in accordance with </w:t>
      </w:r>
      <w:hyperlink r:id="rId487">
        <w:r>
          <w:rPr>
            <w:rStyle w:val="Hyperlink"/>
            <w:rFonts w:ascii="Times New Roman" w:hAnsi="Times New Roman"/>
            <w:b w:val="false"/>
            <w:i w:val="false"/>
            <w:color w:val="000000"/>
            <w:sz w:val="24"/>
          </w:rPr>
          <w:t>135.9(6)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procedures outlined in the department’s Tier 1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Confined space receptor evaluation. </w:t>
      </w:r>
      <w:r>
        <w:rPr>
          <w:rFonts w:ascii="Times New Roman" w:hAnsi="Times New Roman"/>
          <w:b w:val="false"/>
          <w:i w:val="false"/>
          <w:color w:val="000000"/>
          <w:sz w:val="24"/>
        </w:rPr>
        <w:t>Actual and potential receptors are evaluated at Tier 2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Actual receptors. An existing confined space within the modeled groundwater plume or the actual groundwater plume as provided in </w:t>
      </w:r>
      <w:hyperlink r:id="rId488">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is an actual receptor. For the purpose of Tier 2, a confined space is a basement in a building occupied by humans. Buildings constructed with a concrete slab on grade or buildings constructed without a concrete slab, but with a crawl space are not considered confined spaces. Sanitary sewers are considered confined space receptors and preferential pathways if an occupied building exists within 200 feet of where the sewer line crosses over or through actual or modeled groundwater contamination that exceeds the target levels calculated for sewers. The sanitary sewer includes its utility envelope. The point of exposure is the receptor and points of compliance include the locations where target level measurements may be taken as provided in </w:t>
      </w:r>
      <w:hyperlink r:id="rId489">
        <w:r>
          <w:rPr>
            <w:rStyle w:val="Hyperlink"/>
            <w:rFonts w:ascii="Times New Roman" w:hAnsi="Times New Roman"/>
            <w:b w:val="false"/>
            <w:i w:val="false"/>
            <w:color w:val="000000"/>
            <w:sz w:val="24"/>
          </w:rPr>
          <w:t>135.10(6)</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Potential receptors. Potential receptors are confined spaces that do not presently exist but could exist in the future. Areas within the actual groundwater plume perimeter or modeled groundwater plume perimeter are considered potential receptor points of exposure. Potential receptors are evaluated and target levels established based on the current zoning as provided in </w:t>
      </w:r>
      <w:hyperlink r:id="rId490">
        <w:r>
          <w:rPr>
            <w:rStyle w:val="Hyperlink"/>
            <w:rFonts w:ascii="Times New Roman" w:hAnsi="Times New Roman"/>
            <w:b w:val="false"/>
            <w:i w:val="false"/>
            <w:color w:val="000000"/>
            <w:sz w:val="24"/>
          </w:rPr>
          <w:t>135.10(6)</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potential receptor point of exposure is a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Vapor inhalation hazards. </w:t>
      </w:r>
      <w:r>
        <w:rPr>
          <w:rFonts w:ascii="Times New Roman" w:hAnsi="Times New Roman"/>
          <w:b w:val="false"/>
          <w:i w:val="false"/>
          <w:color w:val="000000"/>
          <w:sz w:val="24"/>
        </w:rPr>
        <w:t>Owners and operators may be required to address vapor inhalation hazards in occupied spaces other than confined spaces as defined in these rules when evidence arises that would give the department a reasonable basis to believe vapor hazards are present or may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soil plume must be defined in accordance with </w:t>
      </w:r>
      <w:hyperlink r:id="rId491">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“f”</w:t>
      </w:r>
      <w:r>
        <w:rPr>
          <w:rFonts w:ascii="Times New Roman" w:hAnsi="Times New Roman"/>
          <w:b w:val="false"/>
          <w:i w:val="false"/>
          <w:color w:val="000000"/>
          <w:sz w:val="24"/>
        </w:rPr>
        <w:t xml:space="preserve"> for the purposes of estimating source width and source length used in soil leaching to groundwater and groundwater transport models.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groundwater plume must be defined to the target levels derived from site-specific data as provided in </w:t>
      </w:r>
      <w:hyperlink r:id="rId492">
        <w:r>
          <w:rPr>
            <w:rStyle w:val="Hyperlink"/>
            <w:rFonts w:ascii="Times New Roman" w:hAnsi="Times New Roman"/>
            <w:b w:val="false"/>
            <w:i w:val="false"/>
            <w:color w:val="000000"/>
            <w:sz w:val="24"/>
          </w:rPr>
          <w:t>135.10(6)</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Target levels can be based on groundwater concentrations, soil gas measurements, and indoor vapor measurements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and potential receptors, groundwater modeling as provided in </w:t>
      </w:r>
      <w:hyperlink r:id="rId493">
        <w:r>
          <w:rPr>
            <w:rStyle w:val="Hyperlink"/>
            <w:rFonts w:ascii="Times New Roman" w:hAnsi="Times New Roman"/>
            <w:b w:val="false"/>
            <w:i w:val="false"/>
            <w:color w:val="000000"/>
            <w:sz w:val="24"/>
          </w:rPr>
          <w:t>135.10(2)</w:t>
        </w:r>
      </w:hyperlink>
      <w:r>
        <w:rPr>
          <w:rFonts w:ascii="Times New Roman" w:hAnsi="Times New Roman"/>
          <w:b w:val="false"/>
          <w:i w:val="false"/>
          <w:color w:val="000000"/>
          <w:sz w:val="24"/>
        </w:rPr>
        <w:t xml:space="preserve"> is used to calculate the groundwater concentration target level at the point of exposure. Default residential exposure factors, default residential building parameters, and a target risk of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are used to determine target levels for actual receptors and potential receptor points of exposure in residential areas and areas with no zoning. Default nonresidential exposure factors, default nonresidential building parameters, and a target risk of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are used to determine target levels for actual receptors and potential receptor points of exposure in nonresidential areas. Default values are provided in Appendices A and 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the indoor vapor target levels are designated in </w:t>
      </w:r>
      <w:hyperlink r:id="rId494">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For actual and potential receptors, the soil gas target levels are designated in </w:t>
      </w:r>
      <w:hyperlink r:id="rId495">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Sanitary sewers are treated as human health receptors, and groundwater concentration target levels at the point of exposure are based on the application of a target risk of 2 x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for carcinogens and a hazard quotient of 2 for noncarcinogens.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and classification. </w:t>
      </w:r>
      <w:r>
        <w:rPr>
          <w:rFonts w:ascii="Times New Roman" w:hAnsi="Times New Roman"/>
          <w:b w:val="false"/>
          <w:i w:val="false"/>
          <w:color w:val="000000"/>
          <w:sz w:val="24"/>
        </w:rPr>
        <w:t xml:space="preserve">Upon completion of evaluation of analytical results of appropriate samples and modeled data, the pathway must be classified high risk, low risk or no further action as provided in </w:t>
      </w:r>
      <w:hyperlink r:id="rId49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Actual receptors. If it can be demonstrated that the groundwater plume has reached steady state concentrations under a confined space, indoor vapor measurements at the point(s) of exposure and soil gas measurements at an alternative point(s) of compliance may be used for the pathway evaluation. When assessing sanitary sewers for pathway clearance, soil gas measurements may be evaluated against the soil gas target levels; however, indoor vapor cannot be used as criteria for pathway clearance. Soil gas measurements shall be taken and analyzed in accordance with </w:t>
      </w:r>
      <w:hyperlink r:id="rId497">
        <w:r>
          <w:rPr>
            <w:rStyle w:val="Hyperlink"/>
            <w:rFonts w:ascii="Times New Roman" w:hAnsi="Times New Roman"/>
            <w:b w:val="false"/>
            <w:i w:val="false"/>
            <w:color w:val="000000"/>
            <w:sz w:val="24"/>
          </w:rPr>
          <w:t>135.16(5)</w:t>
        </w:r>
      </w:hyperlink>
      <w:r>
        <w:rPr>
          <w:rFonts w:ascii="Times New Roman" w:hAnsi="Times New Roman"/>
          <w:b w:val="false"/>
          <w:i w:val="false"/>
          <w:color w:val="000000"/>
          <w:sz w:val="24"/>
        </w:rPr>
        <w:t xml:space="preserve"> and the department’s Tier 2 guidance, and at locations in the plume where measured groundwater concentrations exceed the levels that are projected by modeling to exist beneath the actual receptor. If measured groundwater concentrations beneath the actual receptor exceed the levels projected from modeling, then the soil gas measurements may be taken either adjacent to the actual receptor in areas expected to exhibit the greatest soil gas measurements or at an alternative point of compliance between the source and receptor where the actual groundwater concentrations exceed the groundwater concentrations that exist beneath the confined space. If the soil gas measurements and confirmation samples taken in accordance with </w:t>
      </w:r>
      <w:hyperlink r:id="rId498">
        <w:r>
          <w:rPr>
            <w:rStyle w:val="Hyperlink"/>
            <w:rFonts w:ascii="Times New Roman" w:hAnsi="Times New Roman"/>
            <w:b w:val="false"/>
            <w:i w:val="false"/>
            <w:color w:val="000000"/>
            <w:sz w:val="24"/>
          </w:rPr>
          <w:t>135.12(6)</w:t>
        </w:r>
        <w:r>
          <w:rPr>
            <w:rFonts w:ascii="Times New Roman" w:hAnsi="Times New Roman"/>
            <w:b w:val="false"/>
            <w:i/>
            <w:color w:val="000000"/>
            <w:sz w:val="24"/>
          </w:rPr>
          <w:t>“c”</w:t>
        </w:r>
      </w:hyperlink>
      <w:r>
        <w:rPr>
          <w:rFonts w:ascii="Times New Roman" w:hAnsi="Times New Roman"/>
          <w:b w:val="false"/>
          <w:i w:val="false"/>
          <w:color w:val="000000"/>
          <w:sz w:val="24"/>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confined space receptors shall be classified no action required. If the Tier 1 indoor vapor target levels are exceeded, the pathway shall be classified high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Potential receptors. If the potential receptor groundwater concentration target level(s) is exceeded at any potential receptor point of exposure based on actual data or modeling, the pathway shall be classified low risk. However, if soil gas measurements taken at the potential receptor point(s) of exposure and alternate point(s) of compliance and confirmation samples do not exceed the target levels in </w:t>
      </w:r>
      <w:hyperlink r:id="rId499">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pathway, as to potential receptors, shall be classified no action required.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Unless the pathway is classified as no action required, corrective action for this pathway must be conducted as provided in </w:t>
      </w:r>
      <w:hyperlink r:id="rId500">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Actual receptors are subject to corrective actions that (1) reduce groundwater concentrations beneath the enclosed space to below the target level; (2) reduce the measured soil gas levels to below the soil gas target levels; (3) reduce the indoor vapor concentrations to below the indoor vapor target level; or (4) reduce the vapor level to below 10 percent of the lower explosive limit (LEL), if applicable. Potential receptors are subject to the monitoring requirements in </w:t>
      </w:r>
      <w:hyperlink r:id="rId501">
        <w:r>
          <w:rPr>
            <w:rStyle w:val="Hyperlink"/>
            <w:rFonts w:ascii="Times New Roman" w:hAnsi="Times New Roman"/>
            <w:b w:val="false"/>
            <w:i w:val="false"/>
            <w:color w:val="000000"/>
            <w:sz w:val="24"/>
          </w:rPr>
          <w:t>135.12(5)</w:t>
        </w:r>
      </w:hyperlink>
      <w:r>
        <w:rPr>
          <w:rFonts w:ascii="Times New Roman" w:hAnsi="Times New Roman"/>
          <w:b w:val="false"/>
          <w:i w:val="false"/>
          <w:color w:val="000000"/>
          <w:sz w:val="24"/>
        </w:rPr>
        <w:t xml:space="preserve">. Soil vapor monitoring may be conducted in lieu of groundwater monitoring for this pathway. Institutional or technological controls as provided in </w:t>
      </w:r>
      <w:hyperlink r:id="rId502">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Municipal authority notification for potential sewer receptors. </w:t>
      </w:r>
      <w:r>
        <w:rPr>
          <w:rFonts w:ascii="Times New Roman" w:hAnsi="Times New Roman"/>
          <w:b w:val="false"/>
          <w:i w:val="false"/>
          <w:color w:val="000000"/>
          <w:sz w:val="24"/>
        </w:rPr>
        <w:t>The municipal authority responsible for sewer construction must be notified of the environmental conditions whenever target level(s) is exceeded for potential sanitary sewers. The notification must show the area where groundwater concentrations and soil gas samples exceed target levels. The owner or operator must acknowledge what plans, if any, exist for construction of sanitary sewers through the area of potential receptor exposure.</w:t>
      </w:r>
    </w:p>
    <w:p>
      <w:pPr>
        <w:spacing w:before="0" w:after="0" w:line="480"/>
        <w:ind w:left="120"/>
        <w:jc w:val="both"/>
      </w:pPr>
      <w:r>
        <w:rPr>
          <w:rFonts w:ascii="Times New Roman" w:hAnsi="Times New Roman"/>
          <w:b/>
          <w:i w:val="false"/>
          <w:color w:val="000000"/>
          <w:sz w:val="24"/>
        </w:rPr>
        <w:t>135.10(7)</w:t>
      </w:r>
      <w:r>
        <w:rPr>
          <w:rFonts w:ascii="Times New Roman" w:hAnsi="Times New Roman"/>
          <w:b w:val="false"/>
          <w:i w:val="false"/>
          <w:color w:val="000000"/>
          <w:sz w:val="24"/>
        </w:rPr>
        <w:t> </w:t>
      </w:r>
      <w:r>
        <w:rPr>
          <w:rFonts w:ascii="Times New Roman" w:hAnsi="Times New Roman"/>
          <w:b w:val="false"/>
          <w:i/>
          <w:color w:val="000000"/>
          <w:sz w:val="24"/>
        </w:rPr>
        <w:t xml:space="preserve">Soil vapor to enclosed space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Unless cleared at Tier 1, this pathway is always considered complete for purposes of Tier 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Explosive vapor survey. </w:t>
      </w:r>
      <w:r>
        <w:rPr>
          <w:rFonts w:ascii="Times New Roman" w:hAnsi="Times New Roman"/>
          <w:b w:val="false"/>
          <w:i w:val="false"/>
          <w:color w:val="000000"/>
          <w:sz w:val="24"/>
        </w:rPr>
        <w:t xml:space="preserve">If an explosive vapor survey has not been conducted as part of a Tier 1 assessment, an explosive vapor survey of enclosed spaces must be conducted during the Tier 2 assessment in accordance with </w:t>
      </w:r>
      <w:hyperlink r:id="rId503">
        <w:r>
          <w:rPr>
            <w:rStyle w:val="Hyperlink"/>
            <w:rFonts w:ascii="Times New Roman" w:hAnsi="Times New Roman"/>
            <w:b w:val="false"/>
            <w:i w:val="false"/>
            <w:color w:val="000000"/>
            <w:sz w:val="24"/>
          </w:rPr>
          <w:t>135.9(6)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procedures outlined in the department’s Tier 1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Confined space receptor evaluation. </w:t>
      </w:r>
      <w:r>
        <w:rPr>
          <w:rFonts w:ascii="Times New Roman" w:hAnsi="Times New Roman"/>
          <w:b w:val="false"/>
          <w:i w:val="false"/>
          <w:color w:val="000000"/>
          <w:sz w:val="24"/>
        </w:rPr>
        <w:t>Actual and potential receptors are evaluated at Tier 2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Actual receptors. An existing confined space within 50 feet of the edge of the plume is an actual receptor. For the purpose of Tier 2, a confined space is a basement in a building occupied by humans. Buildings constructed with a concrete slab on grade or buildings constructed without a concrete slab, but with a crawl space are not considered receptors. Sanitary sewers are considered confined space receptors and preferential pathways if an occupied building exists within 200 feet of where the sewer line crosses over or through soil contamination that exceeds the target levels calculated for sewers. The sanitary sewer includes its utility envelope. The point of exposure is the receptor and points of compliance include the locations where target level measurements may be taken as provided in </w:t>
      </w:r>
      <w:hyperlink r:id="rId504">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Potential receptors. Potential receptors are confined spaces that do not presently exist but could exist in the future. Areas where soil concentrations are greater than the Tier 1 level applicable to residential areas or alternative target levels for nonresidential areas as specified in </w:t>
      </w:r>
      <w:hyperlink r:id="rId505">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are considered potential receptor points of exposure. Potential receptors are evaluated and target levels established based on the current zoning. An area with no zoning is considered residential. The potential receptor point of exposure is a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Vapor inhalation hazards. </w:t>
      </w:r>
      <w:r>
        <w:rPr>
          <w:rFonts w:ascii="Times New Roman" w:hAnsi="Times New Roman"/>
          <w:b w:val="false"/>
          <w:i w:val="false"/>
          <w:color w:val="000000"/>
          <w:sz w:val="24"/>
        </w:rPr>
        <w:t>Owners and operators may be required to address vapor inhalation hazards in occupied spaces other than confined spaces as defined in these rules when evidence arises that would give the department a reasonable basis to believe vapor hazards are present or may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 xml:space="preserve">The soil plume must be defined to the Tier 1 level for this pathway unless vapor measurements taken at the area(s) with the maximum levels of soil contamination do not exceed the soil gas target level in </w:t>
      </w:r>
      <w:hyperlink r:id="rId506">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If soil gas measurements taken from the area(s) of maximum soil concentration do not exceed target levels, confirmation sampling must be conducted in accordance with </w:t>
      </w:r>
      <w:hyperlink r:id="rId507">
        <w:r>
          <w:rPr>
            <w:rStyle w:val="Hyperlink"/>
            <w:rFonts w:ascii="Times New Roman" w:hAnsi="Times New Roman"/>
            <w:b w:val="false"/>
            <w:i w:val="false"/>
            <w:color w:val="000000"/>
            <w:sz w:val="24"/>
          </w:rPr>
          <w:t>135.12(6)</w:t>
        </w:r>
      </w:hyperlink>
      <w:r>
        <w:rPr>
          <w:rFonts w:ascii="Times New Roman" w:hAnsi="Times New Roman"/>
          <w:b w:val="false"/>
          <w:i/>
          <w:color w:val="000000"/>
          <w:sz w:val="24"/>
        </w:rPr>
        <w:t>“c”</w:t>
      </w:r>
      <w:r>
        <w:rPr>
          <w:rFonts w:ascii="Times New Roman" w:hAnsi="Times New Roman"/>
          <w:b w:val="false"/>
          <w:i w:val="false"/>
          <w:color w:val="000000"/>
          <w:sz w:val="24"/>
        </w:rPr>
        <w:t xml:space="preserve"> prior to proposing a no action pathway classification.</w:t>
      </w:r>
    </w:p>
    <w:p>
      <w:pPr>
        <w:spacing w:before="0" w:after="0" w:line="480"/>
        <w:ind w:left="120"/>
        <w:jc w:val="both"/>
      </w:pP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Target levels can be based on soil concentrations, soil gas measurements, and indoor vapor measurements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actual receptors, the soil concentration target level is the Tier 1 level. For potential receptors, the soil concentration target level for residential areas and areas with no zoning is the Tier 1 level. For areas zoned nonresidential, the target level is calculated using the default nonresidential exposure factors and building parameters from Appendix A and a target risk of 10</w:t>
      </w:r>
      <w:r>
        <w:rPr>
          <w:rFonts w:ascii="Times New Roman" w:hAnsi="Times New Roman"/>
          <w:b w:val="false"/>
          <w:i w:val="false"/>
          <w:color w:val="000000"/>
          <w:sz w:val="24"/>
          <w:vertAlign w:val="superscript"/>
        </w:rPr>
        <w:t xml:space="preserve">-4 </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following indoor vapor target levels apply to actual receptors other than sanitary sewers and the soil gas target levels apply to all actual and potential receptors. These levels were derived from the ASTM indoor air inhalation and the soil vapor to enclosed space models designated in Appendix A.</w:t>
      </w:r>
    </w:p>
    <w:tbl>
      <w:tblPr>
        <w:tblW w:w="0" w:type="auto"/>
        <w:tblCellSpacing w:w="0" w:type="auto"/>
        <w:tblBorders>
          <w:top w:val="none"/>
          <w:left w:val="none"/>
          <w:bottom w:val="none"/>
          <w:right w:val="none"/>
          <w:insideH w:val="none"/>
          <w:insideV w:val="none"/>
        </w:tblBorders>
        <w:tblLayout w:type="fixed"/>
      </w:tblPr>
      <w:tblGrid>
        <w:gridCol w:w="1896"/>
        <w:gridCol w:w="3816"/>
        <w:gridCol w:w="3240"/>
      </w:tblGrid>
      <w:tr>
        <w:trPr>
          <w:trHeight w:val="315"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Indoor Vapor (</w:t>
            </w:r>
            <w:r>
              <w:rPr>
                <w:rFonts w:ascii="Times New Roman" w:hAnsi="Times New Roman"/>
                <w:b w:val="false"/>
                <w:i w:val="false"/>
                <w:color w:val="000000"/>
                <w:sz w:val="14"/>
              </w:rPr>
              <w:t>µ</w:t>
            </w:r>
            <w:r>
              <w:rPr>
                <w:rFonts w:ascii="Times New Roman" w:hAnsi="Times New Roman"/>
                <w:b/>
                <w:i w:val="false"/>
                <w:color w:val="000000"/>
                <w:sz w:val="14"/>
              </w:rPr>
              <w:t>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vertAlign w:val="subscript"/>
              </w:rPr>
              <w:t>air</w:t>
            </w:r>
            <w:r>
              <w:rPr>
                <w:rFonts w:ascii="Times New Roman" w:hAnsi="Times New Roman"/>
                <w:b/>
                <w:i w:val="false"/>
                <w:color w:val="000000"/>
                <w:sz w:val="14"/>
              </w:rPr>
              <w:t>)</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Soil Gas (</w:t>
            </w:r>
            <w:r>
              <w:rPr>
                <w:rFonts w:ascii="Times New Roman" w:hAnsi="Times New Roman"/>
                <w:b w:val="false"/>
                <w:i w:val="false"/>
                <w:color w:val="000000"/>
                <w:sz w:val="14"/>
              </w:rPr>
              <w:t>µ</w:t>
            </w:r>
            <w:r>
              <w:rPr>
                <w:rFonts w:ascii="Times New Roman" w:hAnsi="Times New Roman"/>
                <w:b/>
                <w:i w:val="false"/>
                <w:color w:val="000000"/>
                <w:sz w:val="14"/>
              </w:rPr>
              <w:t>g/m</w:t>
            </w:r>
            <w:r>
              <w:rPr>
                <w:rFonts w:ascii="Times New Roman" w:hAnsi="Times New Roman"/>
                <w:b w:val="false"/>
                <w:i w:val="false"/>
                <w:color w:val="000000"/>
                <w:sz w:val="14"/>
                <w:vertAlign w:val="superscript"/>
              </w:rPr>
              <w:t>3</w:t>
            </w:r>
            <w:r>
              <w:rPr>
                <w:rFonts w:ascii="Times New Roman" w:hAnsi="Times New Roman"/>
                <w:b/>
                <w:i w:val="false"/>
                <w:color w:val="000000"/>
                <w:sz w:val="14"/>
              </w:rPr>
              <w:t>)</w:t>
            </w:r>
          </w:p>
        </w:tc>
      </w:tr>
      <w:tr>
        <w:trPr>
          <w:trHeight w:val="180"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39.2</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600,000</w:t>
            </w:r>
          </w:p>
        </w:tc>
      </w:tr>
      <w:tr>
        <w:trPr>
          <w:trHeight w:val="180"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555</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9,250,000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Sanitary sewers are treated as human health receptors, and soil concentration target levels at the point of exposure are based on application of a target risk of 2 x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for carcinogens and hazard quotient of 2 for noncarcinogens.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and classification.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Actual receptors. Confined space receptors may be evaluated using soil gas measurements and indoor vapor measurements. When assessing sanitary sewers for pathway clearance, soil gas measurements may be evaluated against the soil gas target levels, however, indoor vapor cannot be used as criteria for pathway clearance. Soil gas measurements shall be taken adjacent to the actual receptor or at an alternative point of compliance between the source and receptor such as the property boundary and in accordance with </w:t>
      </w:r>
      <w:hyperlink r:id="rId508">
        <w:r>
          <w:rPr>
            <w:rStyle w:val="Hyperlink"/>
            <w:rFonts w:ascii="Times New Roman" w:hAnsi="Times New Roman"/>
            <w:b w:val="false"/>
            <w:i w:val="false"/>
            <w:color w:val="000000"/>
            <w:sz w:val="24"/>
          </w:rPr>
          <w:t>135.16(5)</w:t>
        </w:r>
      </w:hyperlink>
      <w:r>
        <w:rPr>
          <w:rFonts w:ascii="Times New Roman" w:hAnsi="Times New Roman"/>
          <w:b w:val="false"/>
          <w:i w:val="false"/>
          <w:color w:val="000000"/>
          <w:sz w:val="24"/>
        </w:rPr>
        <w:t xml:space="preserve"> and the department’s Tier 2 guidance. If the soil gas measurements and confirmation samples taken in accordance with </w:t>
      </w:r>
      <w:hyperlink r:id="rId509">
        <w:r>
          <w:rPr>
            <w:rStyle w:val="Hyperlink"/>
            <w:rFonts w:ascii="Times New Roman" w:hAnsi="Times New Roman"/>
            <w:b w:val="false"/>
            <w:i w:val="false"/>
            <w:color w:val="000000"/>
            <w:sz w:val="24"/>
          </w:rPr>
          <w:t>135.12(6)</w:t>
        </w:r>
        <w:r>
          <w:rPr>
            <w:rFonts w:ascii="Times New Roman" w:hAnsi="Times New Roman"/>
            <w:b w:val="false"/>
            <w:i/>
            <w:color w:val="000000"/>
            <w:sz w:val="24"/>
          </w:rPr>
          <w:t>“c”</w:t>
        </w:r>
      </w:hyperlink>
      <w:r>
        <w:rPr>
          <w:rFonts w:ascii="Times New Roman" w:hAnsi="Times New Roman"/>
          <w:b w:val="false"/>
          <w:i w:val="false"/>
          <w:color w:val="000000"/>
          <w:sz w:val="24"/>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receptors shall be classified no action required. If the indoor vapor target levels are exceeded, the pathway shall be classified high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Potential receptors. If the potential receptor target level(s) based on soil concentrations is exceeded at any potential receptor point of exposure, the pathway shall be classified low risk. However, if soil gas measurements taken at the potential receptor point(s) of exposure and alternate point(s) of compliance and confirmation samples do not exceed the target levels in </w:t>
      </w:r>
      <w:hyperlink r:id="rId510">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pathway shall be classified no action required as to potential receptors.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Unless the pathway is classified as no action required, corrective action for this pathway must be conducted as provided in </w:t>
      </w:r>
      <w:hyperlink r:id="rId511">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and in accordance with department Tier 2 guidance. Actual receptors are subject to corrective actions that (1) reduce the indoor vapor concentrations to below the target level; (2) reduce measured soil gas levels to below the soil gas target levels; and (3) if applicable, reduce the vapor level to below 10 percent of the lower explosive limit (LEL). Potential receptors are subject to monitoring requirements as provided in </w:t>
      </w:r>
      <w:hyperlink r:id="rId512">
        <w:r>
          <w:rPr>
            <w:rStyle w:val="Hyperlink"/>
            <w:rFonts w:ascii="Times New Roman" w:hAnsi="Times New Roman"/>
            <w:b w:val="false"/>
            <w:i w:val="false"/>
            <w:color w:val="000000"/>
            <w:sz w:val="24"/>
          </w:rPr>
          <w:t>135.12(5)</w:t>
        </w:r>
      </w:hyperlink>
      <w:r>
        <w:rPr>
          <w:rFonts w:ascii="Times New Roman" w:hAnsi="Times New Roman"/>
          <w:b w:val="false"/>
          <w:i w:val="false"/>
          <w:color w:val="000000"/>
          <w:sz w:val="24"/>
        </w:rPr>
        <w:t xml:space="preserve">. Soil vapor monitoring may be conducted in lieu of soil monitoring for this pathway. Institutional or technological controls as provided in </w:t>
      </w:r>
      <w:hyperlink r:id="rId513">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Municipal authority notification for potential sewer receptors. </w:t>
      </w:r>
      <w:r>
        <w:rPr>
          <w:rFonts w:ascii="Times New Roman" w:hAnsi="Times New Roman"/>
          <w:b w:val="false"/>
          <w:i w:val="false"/>
          <w:color w:val="000000"/>
          <w:sz w:val="24"/>
        </w:rPr>
        <w:t>The municipal authority responsible for sewer construction must be notified of the environmental conditions whenever target level(s) is exceeded for potential sanitary sewers. The notification must show the area where soil concentrations and soil gas samples exceed target levels. The owner or operator must acknowledge what plans, if any, exist for construction of sanitary sewers through the area of potential receptor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135.10(8)</w:t>
      </w:r>
      <w:r>
        <w:rPr>
          <w:rFonts w:ascii="Times New Roman" w:hAnsi="Times New Roman"/>
          <w:b w:val="false"/>
          <w:i w:val="false"/>
          <w:color w:val="000000"/>
          <w:sz w:val="24"/>
        </w:rPr>
        <w:t> </w:t>
      </w:r>
      <w:r>
        <w:rPr>
          <w:rFonts w:ascii="Times New Roman" w:hAnsi="Times New Roman"/>
          <w:b w:val="false"/>
          <w:i/>
          <w:color w:val="000000"/>
          <w:sz w:val="24"/>
        </w:rPr>
        <w:t xml:space="preserve">Groundwater to water line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and 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Actual receptors include all water lines where the highest groundwater elevation is higher than three feet below the bottom of the water line at the measured or predicted points of exposure. The highest groundwater elevation is the estimated average of the highest measured groundwater elevations for each year. All water lines must be evaluated for this pathway regardless of distance from the source and regardless of the Tier 1 evaluation, if the lines are in areas with actual data above the applicable Tier 1 level and modeled data above the SSTL line. If actual data exceeds modeled data, then all water lines are considered actual receptors if they are within a distance extending 10 percent beyond the edge of the contaminant plume defined by the actual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Potential receptors include all areas where the first encountered groundwater is less than 20 feet deep and where actual data or modeled data are above Tier 1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point(s) of exposure is the water line, and the points of compliance are monitoring wells between the source and the water line that would be effective in monitoring whether the line has been or may be impacted by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If this pathway is complete for an actual receptor, the groundwater plume must be defined to the Tier 1 levels, with an emphasis between the source and any actual water lines. The water inside the water lines shall be analyzed for all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 xml:space="preserve">Groundwater modeling as provided in </w:t>
      </w:r>
      <w:hyperlink r:id="rId514">
        <w:r>
          <w:rPr>
            <w:rStyle w:val="Hyperlink"/>
            <w:rFonts w:ascii="Times New Roman" w:hAnsi="Times New Roman"/>
            <w:b w:val="false"/>
            <w:i w:val="false"/>
            <w:color w:val="000000"/>
            <w:sz w:val="24"/>
          </w:rPr>
          <w:t>135.10(2)</w:t>
        </w:r>
      </w:hyperlink>
      <w:r>
        <w:rPr>
          <w:rFonts w:ascii="Times New Roman" w:hAnsi="Times New Roman"/>
          <w:b w:val="false"/>
          <w:i w:val="false"/>
          <w:color w:val="000000"/>
          <w:sz w:val="24"/>
        </w:rPr>
        <w:t xml:space="preserve"> must be used to calculate the projected concentrations of chemicals of concern and site-specific target levels. The soil leaching to groundwater pathway must be evaluated to ensure contaminated soil will not cause future groundwater concentrations to exceed site-specific target levels. The target level at the point(s) of exposure is the Tier 1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and classification. </w:t>
      </w:r>
      <w:r>
        <w:rPr>
          <w:rFonts w:ascii="Times New Roman" w:hAnsi="Times New Roman"/>
          <w:b w:val="false"/>
          <w:i w:val="false"/>
          <w:color w:val="000000"/>
          <w:sz w:val="24"/>
        </w:rPr>
        <w:t xml:space="preserve">Upon completion of evaluation of analytical results of appropriate samples and modeled data, the pathway must be classified high risk, low risk or no further action as provided in </w:t>
      </w:r>
      <w:hyperlink r:id="rId515">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The water quality inside the water lines is not a criterion for clearance of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Utility company notification. </w:t>
      </w:r>
      <w:r>
        <w:rPr>
          <w:rFonts w:ascii="Times New Roman" w:hAnsi="Times New Roman"/>
          <w:b w:val="false"/>
          <w:i w:val="false"/>
          <w:color w:val="000000"/>
          <w:sz w:val="24"/>
        </w:rPr>
        <w:t>The utility company that supplies water service to the area must be notified of all actual and potential water line impacts as soon as knowledge of a potential risk is determined. If the extent of contamination has been defined, this information must be included in utility company notification, and any previous notification made at Tier 1 must be amended to include this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unless the pathway is classified as no further action, corrective action for this pathway must be conducted as provided in </w:t>
      </w:r>
      <w:hyperlink r:id="rId51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If the concentrations of chemicals of concern in a water line exceed the Tier 1 levels for actual receptors for the groundwater ingestion pathway, immediate corrective action must be conducted to eliminate exposure to the water, including but not limited to replacement of the line with an approved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potential receptors, upon utility company notification, no further action will be required for this pathway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135.10(9)</w:t>
      </w:r>
      <w:r>
        <w:rPr>
          <w:rFonts w:ascii="Times New Roman" w:hAnsi="Times New Roman"/>
          <w:b w:val="false"/>
          <w:i w:val="false"/>
          <w:color w:val="000000"/>
          <w:sz w:val="24"/>
        </w:rPr>
        <w:t> </w:t>
      </w:r>
      <w:r>
        <w:rPr>
          <w:rFonts w:ascii="Times New Roman" w:hAnsi="Times New Roman"/>
          <w:b w:val="false"/>
          <w:i/>
          <w:color w:val="000000"/>
          <w:sz w:val="24"/>
        </w:rPr>
        <w:t xml:space="preserve">Soil to water line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and 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water lines must be evaluated for this pathway regardless of distance from the source if the lines are in areas where Tier 1 levels are exceeded. Actual receptors include all water lines within ten feet of the soil plume defined to the Tier 1 level unless it can be demonstrated that the water line inside the soil plume is not in contact with the soil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Potential receptors include all areas where Tier 1 levels are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extent of soil contamination must be defined to Tier 1 levels for the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Target level. </w:t>
      </w:r>
      <w:r>
        <w:rPr>
          <w:rFonts w:ascii="Times New Roman" w:hAnsi="Times New Roman"/>
          <w:b w:val="false"/>
          <w:i w:val="false"/>
          <w:color w:val="000000"/>
          <w:sz w:val="24"/>
        </w:rPr>
        <w:t>The point(s) of exposure includes all areas within ten feet of the water line. The target level at the point(s) of exposure is the Tier 1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classification. </w:t>
      </w:r>
      <w:r>
        <w:rPr>
          <w:rFonts w:ascii="Times New Roman" w:hAnsi="Times New Roman"/>
          <w:b w:val="false"/>
          <w:i w:val="false"/>
          <w:color w:val="000000"/>
          <w:sz w:val="24"/>
        </w:rPr>
        <w:t xml:space="preserve">Upon completion of evaluation of analytical results of appropriate samples, the pathway must be classified high risk, low risk or no further action as provided in </w:t>
      </w:r>
      <w:hyperlink r:id="rId517">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Measurements of water quality inside the water lines may be required, but are not allowed as criteria to clear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Utility company notification. </w:t>
      </w:r>
      <w:r>
        <w:rPr>
          <w:rFonts w:ascii="Times New Roman" w:hAnsi="Times New Roman"/>
          <w:b w:val="false"/>
          <w:i w:val="false"/>
          <w:color w:val="000000"/>
          <w:sz w:val="24"/>
        </w:rPr>
        <w:t>The utility company that supplies water service to the area must be notified of all actual and potential water line impacts as soon as knowledge of the potential risk is determined. If the extent of contamination has been defined, this information must be included in utility company notification, and any previous notification made at Tier 1 must be amended to include this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unless the pathway is classified as no further action, corrective action for this pathway must be conducted as provided in </w:t>
      </w:r>
      <w:hyperlink r:id="rId518">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potential receptors, upon utility company notification, no further action will be required for this pathway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135.10(10)</w:t>
      </w:r>
      <w:r>
        <w:rPr>
          <w:rFonts w:ascii="Times New Roman" w:hAnsi="Times New Roman"/>
          <w:b w:val="false"/>
          <w:i w:val="false"/>
          <w:color w:val="000000"/>
          <w:sz w:val="24"/>
        </w:rPr>
        <w:t> </w:t>
      </w:r>
      <w:r>
        <w:rPr>
          <w:rFonts w:ascii="Times New Roman" w:hAnsi="Times New Roman"/>
          <w:b w:val="false"/>
          <w:i/>
          <w:color w:val="000000"/>
          <w:sz w:val="24"/>
        </w:rPr>
        <w:t xml:space="preserve">Surface water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 xml:space="preserve">Unless maximum concentrations are less than the applicable Tier 1 levels, this pathway is complete and must be evaluated under any of the following conditions: (1) there is a designated use surface water within the modeled groundwater plume or the actual plume as provided in </w:t>
      </w:r>
      <w:hyperlink r:id="rId519">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or (2) any surface water body that failed the Tier 1 visual inspection as provided in </w:t>
      </w:r>
      <w:hyperlink r:id="rId520">
        <w:r>
          <w:rPr>
            <w:rStyle w:val="Hyperlink"/>
            <w:rFonts w:ascii="Times New Roman" w:hAnsi="Times New Roman"/>
            <w:b w:val="false"/>
            <w:i w:val="false"/>
            <w:color w:val="000000"/>
            <w:sz w:val="24"/>
          </w:rPr>
          <w:t>135.9(10)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Visual inspection. </w:t>
      </w:r>
      <w:r>
        <w:rPr>
          <w:rFonts w:ascii="Times New Roman" w:hAnsi="Times New Roman"/>
          <w:b w:val="false"/>
          <w:i w:val="false"/>
          <w:color w:val="000000"/>
          <w:sz w:val="24"/>
        </w:rPr>
        <w:t xml:space="preserve">A visual inspection must be conducted according to </w:t>
      </w:r>
      <w:hyperlink r:id="rId521">
        <w:r>
          <w:rPr>
            <w:rStyle w:val="Hyperlink"/>
            <w:rFonts w:ascii="Times New Roman" w:hAnsi="Times New Roman"/>
            <w:b w:val="false"/>
            <w:i w:val="false"/>
            <w:color w:val="000000"/>
            <w:sz w:val="24"/>
          </w:rPr>
          <w:t>135.9(10)</w:t>
        </w:r>
      </w:hyperlink>
      <w:r>
        <w:rPr>
          <w:rFonts w:ascii="Times New Roman" w:hAnsi="Times New Roman"/>
          <w:b w:val="false"/>
          <w:i/>
          <w:color w:val="000000"/>
          <w:sz w:val="24"/>
        </w:rPr>
        <w:t>“c.”</w:t>
      </w:r>
      <w:r>
        <w:rPr>
          <w:rFonts w:ascii="Times New Roman" w:hAnsi="Times New Roman"/>
          <w:b w:val="false"/>
          <w:i w:val="false"/>
          <w:color w:val="000000"/>
          <w:sz w:val="24"/>
        </w:rPr>
        <w:t xml:space="preserve"> If a sheen or residue from a petroleum-regulated substance is present, soil and groundwater sampling must be conducted to identify the source of the release and to define the extent of the contaminant plume to the levels acutely toxic to aquatic life as provided in </w:t>
      </w:r>
      <w:hyperlink r:id="rId522">
        <w:r>
          <w:rPr>
            <w:rStyle w:val="Hyperlink"/>
            <w:rFonts w:ascii="Times New Roman" w:hAnsi="Times New Roman"/>
            <w:b w:val="false"/>
            <w:i w:val="false"/>
            <w:color w:val="000000"/>
            <w:sz w:val="24"/>
          </w:rPr>
          <w:t>567—subrule 61.3(2)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Surface water criteria apply only to designated use segments of surface water bodies as provided in </w:t>
      </w:r>
      <w:hyperlink r:id="rId523">
        <w:r>
          <w:rPr>
            <w:rStyle w:val="Hyperlink"/>
            <w:rFonts w:ascii="Times New Roman" w:hAnsi="Times New Roman"/>
            <w:b w:val="false"/>
            <w:i w:val="false"/>
            <w:color w:val="000000"/>
            <w:sz w:val="24"/>
          </w:rPr>
          <w:t>567—subrules 61.3(1)</w:t>
        </w:r>
      </w:hyperlink>
      <w:r>
        <w:rPr>
          <w:rFonts w:ascii="Times New Roman" w:hAnsi="Times New Roman"/>
          <w:b w:val="false"/>
          <w:i w:val="false"/>
          <w:color w:val="000000"/>
          <w:sz w:val="24"/>
        </w:rPr>
        <w:t xml:space="preserve"> and </w:t>
      </w:r>
      <w:hyperlink r:id="rId524">
        <w:r>
          <w:rPr>
            <w:rStyle w:val="Hyperlink"/>
            <w:rFonts w:ascii="Times New Roman" w:hAnsi="Times New Roman"/>
            <w:b w:val="false"/>
            <w:i w:val="false"/>
            <w:color w:val="000000"/>
            <w:sz w:val="24"/>
          </w:rPr>
          <w:t>61.3(5)</w:t>
        </w:r>
      </w:hyperlink>
      <w:r>
        <w:rPr>
          <w:rFonts w:ascii="Times New Roman" w:hAnsi="Times New Roman"/>
          <w:b w:val="false"/>
          <w:i w:val="false"/>
          <w:color w:val="000000"/>
          <w:sz w:val="24"/>
        </w:rPr>
        <w:t xml:space="preserve">. If the surface water body is a designated use segment and if maximum groundwater concentrations exceed applicable surface water criteria, the extent of contamination must be defined as provided in </w:t>
      </w:r>
      <w:hyperlink r:id="rId525">
        <w:r>
          <w:rPr>
            <w:rStyle w:val="Hyperlink"/>
            <w:rFonts w:ascii="Times New Roman" w:hAnsi="Times New Roman"/>
            <w:b w:val="false"/>
            <w:i w:val="false"/>
            <w:color w:val="000000"/>
            <w:sz w:val="24"/>
          </w:rPr>
          <w:t>135.10(10)</w:t>
        </w:r>
      </w:hyperlink>
      <w:r>
        <w:rPr>
          <w:rFonts w:ascii="Times New Roman" w:hAnsi="Times New Roman"/>
          <w:b w:val="false"/>
          <w:i/>
          <w:color w:val="000000"/>
          <w:sz w:val="24"/>
        </w:rPr>
        <w:t>“d.”</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24"/>
        </w:rPr>
        <w:t>The point of compliance for measuring chemicals of concern at the point of exposure is the groundwater adjacent to the surface water body because surface water must be protected for low flow conditions. In-stream measurements of concentrations are not allowed as a basis for no further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visual inspection indicates the presence of a petroleum sheen in a general use segment within 200 feet of the source, as defined in </w:t>
      </w:r>
      <w:hyperlink r:id="rId526">
        <w:r>
          <w:rPr>
            <w:rStyle w:val="Hyperlink"/>
            <w:rFonts w:ascii="Times New Roman" w:hAnsi="Times New Roman"/>
            <w:b w:val="false"/>
            <w:i w:val="false"/>
            <w:color w:val="000000"/>
            <w:sz w:val="24"/>
          </w:rPr>
          <w:t>567—paragraph 61.3(1)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segment must be evaluated as an actual receptor. The point of compliance for measuring chemicals of concern at the point of exposure is the groundwater adjacent to the general use segment.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groundwater plume must be defined to the surface water criteria levels for designated use segment receptors and to the acutely toxic levels for general use segment receptors, with an emphasis between the source and the surface water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Determining target levels for this pathway involves a two-step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modeling as provided in </w:t>
      </w:r>
      <w:hyperlink r:id="rId527">
        <w:r>
          <w:rPr>
            <w:rStyle w:val="Hyperlink"/>
            <w:rFonts w:ascii="Times New Roman" w:hAnsi="Times New Roman"/>
            <w:b w:val="false"/>
            <w:i w:val="false"/>
            <w:color w:val="000000"/>
            <w:sz w:val="24"/>
          </w:rPr>
          <w:t>135.10(2)</w:t>
        </w:r>
      </w:hyperlink>
      <w:r>
        <w:rPr>
          <w:rFonts w:ascii="Times New Roman" w:hAnsi="Times New Roman"/>
          <w:b w:val="false"/>
          <w:i w:val="false"/>
          <w:color w:val="000000"/>
          <w:sz w:val="24"/>
        </w:rPr>
        <w:t xml:space="preserve"> must be used to calculate the projected concentrations of chemicals of concern at the point of compliance. If the modeled concentrations or field data at the point of compliance exceed surface water criteria for designated use segments, an allowable discharge concentration must be calculated. If the projected concentrations and actual concentrations at the point of compliance do not exceed surface water criteria, no further action is required to assess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water quality section will calculate the allowable discharge concentration using information provided by the certified groundwater professional on a department form. Required information includes, at a minimum, the site location and a discharge flow rate calculated according to the department’s Tier 2 guidance. The allowable discharge concentration is the target level that must be met adjacent to the surface water body that is the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target level at the point of exposure/compliance for general use segments subject to evaluation is the acutely toxic levels established by the department under </w:t>
      </w:r>
      <w:hyperlink r:id="rId528">
        <w:r>
          <w:rPr>
            <w:rStyle w:val="Hyperlink"/>
            <w:rFonts w:ascii="Times New Roman" w:hAnsi="Times New Roman"/>
            <w:b w:val="false"/>
            <w:i w:val="false"/>
            <w:color w:val="000000"/>
            <w:sz w:val="24"/>
          </w:rPr>
          <w:t>567—Chapter 61</w:t>
        </w:r>
      </w:hyperlink>
      <w:r>
        <w:rPr>
          <w:rFonts w:ascii="Times New Roman" w:hAnsi="Times New Roman"/>
          <w:b w:val="false"/>
          <w:i w:val="false"/>
          <w:color w:val="000000"/>
          <w:sz w:val="24"/>
        </w:rPr>
        <w:t xml:space="preserve"> and </w:t>
      </w:r>
      <w:hyperlink r:id="rId529">
        <w:r>
          <w:rPr>
            <w:rStyle w:val="Hyperlink"/>
            <w:rFonts w:ascii="Times New Roman" w:hAnsi="Times New Roman"/>
            <w:b w:val="false"/>
            <w:i w:val="false"/>
            <w:color w:val="000000"/>
            <w:sz w:val="24"/>
          </w:rPr>
          <w:t>567—subrule 62.8(2)</w:t>
        </w:r>
      </w:hyperlink>
      <w:r>
        <w:rPr>
          <w:rFonts w:ascii="Times New Roman" w:hAnsi="Times New Roman"/>
          <w:b w:val="false"/>
          <w:i w:val="false"/>
          <w:color w:val="000000"/>
          <w:sz w:val="24"/>
        </w:rPr>
        <w:t xml:space="preserve">. If the modeled concentrations of contaminant concentrations at the point of exposure/compliance exceed the acutely toxic levels, modeling must be used to determine site classifications and corrective action in accordance with </w:t>
      </w:r>
      <w:hyperlink r:id="rId530">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and classification. </w:t>
      </w:r>
      <w:r>
        <w:rPr>
          <w:rFonts w:ascii="Times New Roman" w:hAnsi="Times New Roman"/>
          <w:b w:val="false"/>
          <w:i w:val="false"/>
          <w:color w:val="000000"/>
          <w:sz w:val="24"/>
        </w:rPr>
        <w:t xml:space="preserve">Upon completion of evaluation of analytical results of appropriate samples and modeled data, the pathway must be classified high risk, low risk or no further action as provided in </w:t>
      </w:r>
      <w:hyperlink r:id="rId531">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general use segments, as defined in </w:t>
      </w:r>
      <w:hyperlink r:id="rId532">
        <w:r>
          <w:rPr>
            <w:rStyle w:val="Hyperlink"/>
            <w:rFonts w:ascii="Times New Roman" w:hAnsi="Times New Roman"/>
            <w:b w:val="false"/>
            <w:i w:val="false"/>
            <w:color w:val="000000"/>
            <w:sz w:val="24"/>
          </w:rPr>
          <w:t>567—subrule 61.3(1)</w:t>
        </w:r>
      </w:hyperlink>
      <w:r>
        <w:rPr>
          <w:rFonts w:ascii="Times New Roman" w:hAnsi="Times New Roman"/>
          <w:b w:val="false"/>
          <w:i w:val="false"/>
          <w:color w:val="000000"/>
          <w:sz w:val="24"/>
        </w:rPr>
        <w:t xml:space="preserve">, if the groundwater professional determines there is no sheen or residue present or if the site is not the source of the sheen or residue or if the sheen does not consist of petroleum-regulated substances, no further action is required for assessment of this pathway. If a petroleum-regulated substance sheen is present, the pathway is high risk and subject to classification in accordance with </w:t>
      </w:r>
      <w:hyperlink r:id="rId533">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designated use segments, as provided in </w:t>
      </w:r>
      <w:hyperlink r:id="rId534">
        <w:r>
          <w:rPr>
            <w:rStyle w:val="Hyperlink"/>
            <w:rFonts w:ascii="Times New Roman" w:hAnsi="Times New Roman"/>
            <w:b w:val="false"/>
            <w:i w:val="false"/>
            <w:color w:val="000000"/>
            <w:sz w:val="24"/>
          </w:rPr>
          <w:t>567—subrules 61.3(1)</w:t>
        </w:r>
      </w:hyperlink>
      <w:r>
        <w:rPr>
          <w:rFonts w:ascii="Times New Roman" w:hAnsi="Times New Roman"/>
          <w:b w:val="false"/>
          <w:i w:val="false"/>
          <w:color w:val="000000"/>
          <w:sz w:val="24"/>
        </w:rPr>
        <w:t xml:space="preserve"> and </w:t>
      </w:r>
      <w:hyperlink r:id="rId535">
        <w:r>
          <w:rPr>
            <w:rStyle w:val="Hyperlink"/>
            <w:rFonts w:ascii="Times New Roman" w:hAnsi="Times New Roman"/>
            <w:b w:val="false"/>
            <w:i w:val="false"/>
            <w:color w:val="000000"/>
            <w:sz w:val="24"/>
          </w:rPr>
          <w:t>61.3(5)</w:t>
        </w:r>
      </w:hyperlink>
      <w:r>
        <w:rPr>
          <w:rFonts w:ascii="Times New Roman" w:hAnsi="Times New Roman"/>
          <w:b w:val="false"/>
          <w:i w:val="false"/>
          <w:color w:val="000000"/>
          <w:sz w:val="24"/>
        </w:rPr>
        <w:t xml:space="preserve">, if projected concentrations of chemicals of concern and actual contaminant concentrations at the point of compliance do not exceed the target level adjacent to the surface water, and the groundwater professional determines there is no sheen or residue present, no further action is required for assessment of this pathway.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Unless the pathway is classified as no further action, corrective action for this pathway must be conducted as provided in </w:t>
      </w:r>
      <w:hyperlink r:id="rId53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For surface water bodies failing the visual inspection criteria, corrective action must eliminate the sheen and reduce concentrations to below the site specific target level in accordance with </w:t>
      </w:r>
      <w:hyperlink r:id="rId537">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135.10(11)</w:t>
      </w:r>
      <w:r>
        <w:rPr>
          <w:rFonts w:ascii="Times New Roman" w:hAnsi="Times New Roman"/>
          <w:b w:val="false"/>
          <w:i w:val="false"/>
          <w:color w:val="000000"/>
          <w:sz w:val="24"/>
        </w:rPr>
        <w:t> </w:t>
      </w:r>
      <w:r>
        <w:rPr>
          <w:rFonts w:ascii="Times New Roman" w:hAnsi="Times New Roman"/>
          <w:b w:val="false"/>
          <w:i/>
          <w:color w:val="000000"/>
          <w:sz w:val="24"/>
        </w:rPr>
        <w:t xml:space="preserve">Tier 2 submission and review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submit a Tier 2 site cleanup report within 180 days of the date the department approves or is deemed to approve a Tier 1 assessment report under </w:t>
      </w:r>
      <w:hyperlink r:id="rId538">
        <w:r>
          <w:rPr>
            <w:rStyle w:val="Hyperlink"/>
            <w:rFonts w:ascii="Times New Roman" w:hAnsi="Times New Roman"/>
            <w:b w:val="false"/>
            <w:i w:val="false"/>
            <w:color w:val="000000"/>
            <w:sz w:val="24"/>
          </w:rPr>
          <w:t>135.9(12)</w:t>
        </w:r>
      </w:hyperlink>
      <w:r>
        <w:rPr>
          <w:rFonts w:ascii="Times New Roman" w:hAnsi="Times New Roman"/>
          <w:b w:val="false"/>
          <w:i w:val="false"/>
          <w:color w:val="000000"/>
          <w:sz w:val="24"/>
        </w:rPr>
        <w:t xml:space="preserve">. If the owner or operator has elected to conduct a Tier 2 assessment instead of a Tier 1, or a Tier 2 assessment is required due to the presence of free product under </w:t>
      </w:r>
      <w:hyperlink r:id="rId539">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 the Tier 2 site cleanup report must be submitted within 180 days of the date the release was confirmed. The department may establish an alternative schedule for submittal.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Site cleanup report completeness and accuracy. A Tier 2 site cleanup report is considered to be complete if it contains all the information and data required by this rule and the department’s Tier 2 guidance. The report is considered accurate if the information and data are reasonably reliable based first on the standards in these rules and department guidance, and second, on generally accepted industry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certified groundwater professional responsible for completion of the Tier 2 site assessment and preparation of the report must accompany each Tier 2 site cleanup report with a certification as set out below:</w:t>
      </w:r>
    </w:p>
    <w:p>
      <w:pPr>
        <w:spacing w:before="0" w:after="0" w:line="480"/>
        <w:ind w:left="120"/>
        <w:jc w:val="both"/>
      </w:pPr>
      <w:r>
        <w:rPr>
          <w:rFonts w:ascii="Times New Roman" w:hAnsi="Times New Roman"/>
          <w:b w:val="false"/>
          <w:i w:val="false"/>
          <w:color w:val="000000"/>
          <w:sz w:val="24"/>
        </w:rPr>
        <w:t xml:space="preserve">I, __________________________________, groundwater professional certification number __________________, am familiar with all applicable requirements of Iowa Code section </w:t>
      </w:r>
      <w:hyperlink r:id="rId540">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 xml:space="preserve"> and all rules and procedures adopted thereunder including, but not limited to, the Department of Natural Resources’ Tier 2 guidance. Based on my knowledge of those documents and the information I have prepared and reviewed regarding this site, UST registration number __________________, LUST No.____________, I certify that this document is complete and accurate as provided in </w:t>
      </w:r>
      <w:hyperlink r:id="rId541">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 xml:space="preserve"> and meets the applicable requirements of the Tier 2 site cleanup report.</w:t>
      </w:r>
    </w:p>
    <w:p>
      <w:pPr>
        <w:spacing w:before="0" w:after="0" w:line="480"/>
        <w:ind w:left="120"/>
        <w:jc w:val="both"/>
      </w:pPr>
      <w:r>
        <w:rPr>
          <w:rFonts w:ascii="Times New Roman" w:hAnsi="Times New Roman"/>
          <w:b w:val="false"/>
          <w:i w:val="false"/>
          <w:color w:val="000000"/>
          <w:sz w:val="24"/>
        </w:rPr>
        <w:t>Signature</w:t>
      </w:r>
    </w:p>
    <w:p>
      <w:pPr>
        <w:spacing w:before="0" w:after="0" w:line="480"/>
        <w:ind w:left="120"/>
        <w:jc w:val="both"/>
      </w:pPr>
      <w:r>
        <w:rPr>
          <w:rFonts w:ascii="Times New Roman" w:hAnsi="Times New Roman"/>
          <w:b w:val="false"/>
          <w:i w:val="false"/>
          <w:color w:val="000000"/>
          <w:sz w:val="24"/>
        </w:rPr>
        <w:t>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the groundwater professional’s certified Tier 2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that, if accurate and complete, would result in a different site or pathway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3, the groundwater professional’s site classification and any pathway classification recommendations subject to or influenced by a Tier 3 assessment shall not be considered determinative until the Tier 3 report is submitted for review as provided in </w:t>
      </w:r>
      <w:hyperlink r:id="rId542">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a “no action required” site classification is proposed, the department shall review the report in accordance with </w:t>
      </w:r>
      <w:hyperlink r:id="rId543">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 xml:space="preserve"> and the review standards in </w:t>
      </w:r>
      <w:hyperlink r:id="rId544">
        <w:r>
          <w:rPr>
            <w:rStyle w:val="Hyperlink"/>
            <w:rFonts w:ascii="Times New Roman" w:hAnsi="Times New Roman"/>
            <w:b w:val="false"/>
            <w:i w:val="false"/>
            <w:color w:val="000000"/>
            <w:sz w:val="24"/>
          </w:rPr>
          <w:t>135.10(11)</w:t>
        </w:r>
        <w:r>
          <w:rPr>
            <w:rFonts w:ascii="Times New Roman" w:hAnsi="Times New Roman"/>
            <w:b w:val="false"/>
            <w:i/>
            <w:color w:val="000000"/>
            <w:sz w:val="24"/>
          </w:rPr>
          <w:t>“d.”</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in the interest of minimizing environmental or public health risks and promoting a more effective cleanup, require owners and operators to begin cleanup of soil and groundwater before the Tier 2 site cleanup report is approved.</w:t>
      </w:r>
    </w:p>
    <w:p>
      <w:pPr>
        <w:spacing w:before="0" w:after="0" w:line="480"/>
        <w:ind w:left="120"/>
        <w:jc w:val="both"/>
      </w:pPr>
      <w:r>
        <w:rPr>
          <w:rFonts w:ascii="Times New Roman" w:hAnsi="Times New Roman"/>
          <w:b/>
          <w:i w:val="false"/>
          <w:color w:val="000000"/>
          <w:sz w:val="24"/>
        </w:rPr>
        <w:t>567—135.11</w:t>
      </w:r>
      <w:r>
        <w:rPr>
          <w:rFonts w:ascii="Times New Roman" w:hAnsi="Times New Roman"/>
          <w:b/>
          <w:i w:val="false"/>
          <w:color w:val="000000"/>
          <w:sz w:val="24"/>
        </w:rPr>
        <w:t xml:space="preserve">(455B) </w:t>
      </w:r>
      <w:r>
        <w:rPr>
          <w:rFonts w:ascii="Times New Roman" w:hAnsi="Times New Roman"/>
          <w:b/>
          <w:i w:val="false"/>
          <w:color w:val="000000"/>
          <w:sz w:val="24"/>
        </w:rPr>
        <w:t xml:space="preserve">Tier 3 site assessment policy and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135.11(1)</w:t>
      </w:r>
      <w:r>
        <w:rPr>
          <w:rFonts w:ascii="Times New Roman" w:hAnsi="Times New Roman"/>
          <w:b w:val="false"/>
          <w:i w:val="false"/>
          <w:color w:val="000000"/>
          <w:sz w:val="24"/>
        </w:rPr>
        <w:t> </w:t>
      </w:r>
      <w:r>
        <w:rPr>
          <w:rFonts w:ascii="Times New Roman" w:hAnsi="Times New Roman"/>
          <w:b w:val="false"/>
          <w:i/>
          <w:color w:val="000000"/>
          <w:sz w:val="24"/>
        </w:rPr>
        <w:t xml:space="preserve"> General. </w:t>
      </w:r>
      <w:r>
        <w:rPr>
          <w:rFonts w:ascii="Times New Roman" w:hAnsi="Times New Roman"/>
          <w:b w:val="false"/>
          <w:i w:val="false"/>
          <w:color w:val="000000"/>
          <w:sz w:val="24"/>
        </w:rPr>
        <w:t xml:space="preserve">Tier 3 site assessment. Unless specifically limited by rule or an imminent hazard exists, an owner or operator may choose to prepare a Tier 3 site assessment as an alternative to completion of a Tier 2 assessment under </w:t>
      </w:r>
      <w:hyperlink r:id="rId545">
        <w:r>
          <w:rPr>
            <w:rStyle w:val="Hyperlink"/>
            <w:rFonts w:ascii="Times New Roman" w:hAnsi="Times New Roman"/>
            <w:b w:val="false"/>
            <w:i w:val="false"/>
            <w:color w:val="000000"/>
            <w:sz w:val="24"/>
          </w:rPr>
          <w:t>567—135.10(455B)</w:t>
        </w:r>
      </w:hyperlink>
      <w:r>
        <w:rPr>
          <w:rFonts w:ascii="Times New Roman" w:hAnsi="Times New Roman"/>
          <w:b w:val="false"/>
          <w:i w:val="false"/>
          <w:color w:val="000000"/>
          <w:sz w:val="24"/>
        </w:rPr>
        <w:t xml:space="preserve"> or as an alternative to completion of a corrective action design report under </w:t>
      </w:r>
      <w:hyperlink r:id="rId54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Prior to conducting a Tier 3 site assessment, a groundwater professional must submit a work plan to the department for approval. The work plan must contain an evaluation of the specific site conditions that justify the use of a Tier 3 assessment, an outline of the proposed Tier 3 assessment procedures, a reporting format and a method for determining a risk classification consistent with the provisions underlying the risk classification system in </w:t>
      </w:r>
      <w:hyperlink r:id="rId547">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Upon approval, the groundwater professional may implement the assessment plan and submit a report within a reasonable time designated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135.11(2)</w:t>
      </w:r>
      <w:r>
        <w:rPr>
          <w:rFonts w:ascii="Times New Roman" w:hAnsi="Times New Roman"/>
          <w:b w:val="false"/>
          <w:i w:val="false"/>
          <w:color w:val="000000"/>
          <w:sz w:val="24"/>
        </w:rPr>
        <w:t> </w:t>
      </w:r>
      <w:r>
        <w:rPr>
          <w:rFonts w:ascii="Times New Roman" w:hAnsi="Times New Roman"/>
          <w:b w:val="false"/>
          <w:i/>
          <w:color w:val="000000"/>
          <w:sz w:val="24"/>
        </w:rPr>
        <w:t xml:space="preserve">Tier 3 site assessment. </w:t>
      </w:r>
      <w:r>
        <w:rPr>
          <w:rFonts w:ascii="Times New Roman" w:hAnsi="Times New Roman"/>
          <w:b w:val="false"/>
          <w:i w:val="false"/>
          <w:color w:val="000000"/>
          <w:sz w:val="24"/>
        </w:rPr>
        <w:t xml:space="preserve">A Tier 3 assessment may include but is not limited to the use of more site-specific or multidimensional models and assessment data, methods for calibrating Tier 2 models to make them more predictive of actual site conditions, and more extensive assessment of receptor construction and vulnerability to contaminant impacts. If use of Tier 2 models is proposed with substitution of other site-specific data (as opposed to the Tier 2 default parameters), the groundwater professional must adequately justify how site-specific data is to be measured and why it is necessary. The groundwater professional must demonstrate that the proposal has a proven applicability to underground storage tank sites or similar conditions or has a strong theoretical basis for applicability and is not biased toward underestimating assessment results. The Tier 3 assessment report shall make a recommendation for site classification as high risk, low risk or no action required, at least two corrective action response technologies and provide justification consistent with the standards and policies underlying risk classification and corrective action response under </w:t>
      </w:r>
      <w:hyperlink r:id="rId548">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and Iowa Code chapter </w:t>
      </w:r>
      <w:hyperlink r:id="rId549">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part 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135.11(3)</w:t>
      </w:r>
      <w:r>
        <w:rPr>
          <w:rFonts w:ascii="Times New Roman" w:hAnsi="Times New Roman"/>
          <w:b w:val="false"/>
          <w:i w:val="false"/>
          <w:color w:val="000000"/>
          <w:sz w:val="24"/>
        </w:rPr>
        <w:t> </w:t>
      </w:r>
      <w:r>
        <w:rPr>
          <w:rFonts w:ascii="Times New Roman" w:hAnsi="Times New Roman"/>
          <w:b w:val="false"/>
          <w:i/>
          <w:color w:val="000000"/>
          <w:sz w:val="24"/>
        </w:rPr>
        <w:t xml:space="preserve">Review and submittal. </w:t>
      </w:r>
      <w:r>
        <w:rPr>
          <w:rFonts w:ascii="Times New Roman" w:hAnsi="Times New Roman"/>
          <w:b w:val="false"/>
          <w:i w:val="false"/>
          <w:color w:val="000000"/>
          <w:sz w:val="24"/>
        </w:rPr>
        <w:t xml:space="preserve">The department will review the Tier 3 assessment for compliance with the terms of the approved work plan and based on principles consistent with these rules and Iowa Code chapter </w:t>
      </w:r>
      <w:hyperlink r:id="rId550">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subchapter IV, part 8. Upon approval of the Tier 3 assessment, the department may require corrective action in accordance with </w:t>
      </w:r>
      <w:hyperlink r:id="rId551">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567—135.12</w:t>
      </w:r>
      <w:r>
        <w:rPr>
          <w:rFonts w:ascii="Times New Roman" w:hAnsi="Times New Roman"/>
          <w:b/>
          <w:i w:val="false"/>
          <w:color w:val="000000"/>
          <w:sz w:val="24"/>
        </w:rPr>
        <w:t xml:space="preserve">(455B) </w:t>
      </w:r>
      <w:r>
        <w:rPr>
          <w:rFonts w:ascii="Times New Roman" w:hAnsi="Times New Roman"/>
          <w:b/>
          <w:i w:val="false"/>
          <w:color w:val="000000"/>
          <w:sz w:val="24"/>
        </w:rPr>
        <w:t xml:space="preserve">Tier 2 and 3 site classification and 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Iowa Code section </w:t>
      </w:r>
      <w:hyperlink r:id="rId552">
        <w:r>
          <w:rPr>
            <w:rStyle w:val="Hyperlink"/>
            <w:rFonts w:ascii="Times New Roman" w:hAnsi="Times New Roman"/>
            <w:b w:val="false"/>
            <w:i w:val="false"/>
            <w:color w:val="000000"/>
            <w:sz w:val="24"/>
          </w:rPr>
          <w:t>455B.474(1)</w:t>
        </w:r>
      </w:hyperlink>
      <w:r>
        <w:rPr>
          <w:rFonts w:ascii="Times New Roman" w:hAnsi="Times New Roman"/>
          <w:b w:val="false"/>
          <w:i/>
          <w:color w:val="000000"/>
          <w:sz w:val="24"/>
        </w:rPr>
        <w:t>“a”</w:t>
      </w:r>
      <w:r>
        <w:rPr>
          <w:rFonts w:ascii="Times New Roman" w:hAnsi="Times New Roman"/>
          <w:b w:val="false"/>
          <w:i w:val="false"/>
          <w:color w:val="000000"/>
          <w:sz w:val="24"/>
        </w:rPr>
        <w:t>(4)(b) provides that sites shall be classified as high risk, low risk and no action required. Risk classification is accomplished by comparing actual contaminate concentrations to the concentrations that are predicted by the use of models. Concentrations must be compared to the simulation model that uses the maximum concentrations at a source and predicts at what levels actual or potential receptors could be impacted in the future. Concentrations must also be compared to the site-specific target level line that assumes a target level concentration at the point of exposure and is used to predict the reduction in concentration that must be achieved at the source in order to meet the applicable target level at the point of exposure. These models not only predict concentrations at points of exposure or a point of compliance at a source but also predict a distribution of concentrations between the source and the point of exposure, which may also be points of compliance. The comparison of contaminate concentrations with these distribution curves primarily is considered for purposes of judging whether the modeled data is reasonably predictive and what measures such as monitoring are prudent to determine the reliability of modeled data and actual contaminate concentrations.</w:t>
      </w:r>
    </w:p>
    <w:p>
      <w:pPr>
        <w:spacing w:before="0" w:after="0" w:line="480"/>
        <w:ind w:left="120"/>
        <w:jc w:val="both"/>
      </w:pPr>
      <w:r>
        <w:rPr>
          <w:rFonts w:ascii="Times New Roman" w:hAnsi="Times New Roman"/>
          <w:b w:val="false"/>
          <w:i w:val="false"/>
          <w:color w:val="000000"/>
          <w:sz w:val="24"/>
        </w:rPr>
        <w:t xml:space="preserve">For the soil vapor to enclosed space and soil to water line pathways, there are no horizontal transport models to use for predicting future impacts. Therefore, for these pathways, sites are classified as high risk, low risk or no action required based on specified criteria below and in </w:t>
      </w:r>
      <w:hyperlink r:id="rId553">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135.12(2)</w:t>
      </w:r>
      <w:r>
        <w:rPr>
          <w:rFonts w:ascii="Times New Roman" w:hAnsi="Times New Roman"/>
          <w:b w:val="false"/>
          <w:i w:val="false"/>
          <w:color w:val="000000"/>
          <w:sz w:val="24"/>
        </w:rPr>
        <w:t> </w:t>
      </w:r>
      <w:r>
        <w:rPr>
          <w:rFonts w:ascii="Times New Roman" w:hAnsi="Times New Roman"/>
          <w:b w:val="false"/>
          <w:i/>
          <w:color w:val="000000"/>
          <w:sz w:val="24"/>
        </w:rPr>
        <w:t xml:space="preserve">High risk classification. </w:t>
      </w:r>
      <w:r>
        <w:rPr>
          <w:rFonts w:ascii="Times New Roman" w:hAnsi="Times New Roman"/>
          <w:b w:val="false"/>
          <w:i w:val="false"/>
          <w:color w:val="000000"/>
          <w:sz w:val="24"/>
        </w:rPr>
        <w:t>Except as provided below, sites shall be classified as high risk if, for any pathway, any actual contaminate concentrations exceed the site-specific target level line at any point for an actual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vapor to enclosed space and soil to water line pathways, sites shall be classified as high risk if the target levels for actual receptors are exceeded as provided in </w:t>
      </w:r>
      <w:hyperlink r:id="rId554">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 xml:space="preserve"> and </w:t>
      </w:r>
      <w:hyperlink r:id="rId555">
        <w:r>
          <w:rPr>
            <w:rStyle w:val="Hyperlink"/>
            <w:rFonts w:ascii="Times New Roman" w:hAnsi="Times New Roman"/>
            <w:b w:val="false"/>
            <w:i w:val="false"/>
            <w:color w:val="000000"/>
            <w:sz w:val="24"/>
          </w:rPr>
          <w:t>135.10(9)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vapor or groundwater vapor to enclosed space pathways, sites shall be classified as high risk if the explosivity levels at applicable points of compliance are exceeded as provided in </w:t>
      </w:r>
      <w:hyperlink r:id="rId556">
        <w:r>
          <w:rPr>
            <w:rStyle w:val="Hyperlink"/>
            <w:rFonts w:ascii="Times New Roman" w:hAnsi="Times New Roman"/>
            <w:b w:val="false"/>
            <w:i w:val="false"/>
            <w:color w:val="000000"/>
            <w:sz w:val="24"/>
          </w:rPr>
          <w:t>135.10(6)</w:t>
        </w:r>
      </w:hyperlink>
      <w:r>
        <w:rPr>
          <w:rFonts w:ascii="Times New Roman" w:hAnsi="Times New Roman"/>
          <w:b w:val="false"/>
          <w:i w:val="false"/>
          <w:color w:val="000000"/>
          <w:sz w:val="24"/>
        </w:rPr>
        <w:t xml:space="preserve"> and </w:t>
      </w:r>
      <w:hyperlink r:id="rId557">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Generally, sites are classified as low risk if only potential receptor points of compliance are exceeded. The following is an exception. For the soil leaching to groundwater ingestion pathway for potential receptor conditions, the site shall be classified as high risk if the groundwater concentration(s) exceeds the groundwater Tier 1 level for potential receptor and the soil concentration exceeds the soil leaching site-specific target level at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135.12(3)</w:t>
      </w:r>
      <w:r>
        <w:rPr>
          <w:rFonts w:ascii="Times New Roman" w:hAnsi="Times New Roman"/>
          <w:b w:val="false"/>
          <w:i w:val="false"/>
          <w:color w:val="000000"/>
          <w:sz w:val="24"/>
        </w:rPr>
        <w:t> </w:t>
      </w:r>
      <w:r>
        <w:rPr>
          <w:rFonts w:ascii="Times New Roman" w:hAnsi="Times New Roman"/>
          <w:b w:val="false"/>
          <w:i/>
          <w:color w:val="000000"/>
          <w:sz w:val="24"/>
        </w:rPr>
        <w:t xml:space="preserve">High risk 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Objectives. The primary objectives of corrective action in response to a high risk classification are both short-term and long-term. The short-term goal is to eliminate or reduce the risk of exposure at actual receptors that have been or are imminently threatened with exposure above target levels. The longer term goal is to prevent exposure to actual receptors that are not currently impacted or are not imminently threatened with exposure. To achieve these objectives, it is the intent of these rules that concentrations of applicable chemicals of concern be reduced by active remediation to levels below the site-specific target level line at all points between the source(s) and the point(s) of exposure as well as to undertake such interim corrective action as necessary to eliminate or prevent exposure until concentrations below the SSTL line are achieved. If it is shown that concentrations at all applicable points have been reduced to below the SSTL line, the secondary objective is to establish that the actual chemical concentrations can be reasonably relied upon to predict future conditions at points of exposure rather than reliance on the modeled data. Reliance on actual contaminant concentrations is achieved by establishing through monitoring that concentrations within the contaminant plume are steady or declining. Institutional controls and technological controls may be used to sever pathways or control the risk of receptor impacts.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groundwater to water line and soil to water line receptors, these objectives are achieved by active remediation, replacement or relocation of high risk water line receptors in the actual and modeled plume areas. If water lines and gaskets are replaced in an area of contamination, they must be replaced with water line materials and gasket materials of appropriate construction in accordance with current department standards set forth in </w:t>
      </w:r>
      <w:hyperlink r:id="rId558">
        <w:r>
          <w:rPr>
            <w:rStyle w:val="Hyperlink"/>
            <w:rFonts w:ascii="Times New Roman" w:hAnsi="Times New Roman"/>
            <w:b w:val="false"/>
            <w:i w:val="false"/>
            <w:color w:val="000000"/>
            <w:sz w:val="24"/>
          </w:rPr>
          <w:t>567—Chapter 43</w:t>
        </w:r>
      </w:hyperlink>
      <w:r>
        <w:rPr>
          <w:rFonts w:ascii="Times New Roman" w:hAnsi="Times New Roman"/>
          <w:b w:val="false"/>
          <w:i w:val="false"/>
          <w:color w:val="000000"/>
          <w:sz w:val="24"/>
        </w:rPr>
        <w:t xml:space="preserve"> and with no less than nitrile or FKM gaskets or as otherwise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 areas of free product, all water lines, regardless of construction material, must be relocated unless there is no other option and the department has approved an alternate plan of construction. Refer to </w:t>
      </w:r>
      <w:hyperlink r:id="rId559">
        <w:r>
          <w:rPr>
            <w:rStyle w:val="Hyperlink"/>
            <w:rFonts w:ascii="Times New Roman" w:hAnsi="Times New Roman"/>
            <w:b w:val="false"/>
            <w:i w:val="false"/>
            <w:color w:val="000000"/>
            <w:sz w:val="24"/>
          </w:rPr>
          <w:t>135.7(4)</w:t>
        </w:r>
      </w:hyperlink>
      <w:r>
        <w:rPr>
          <w:rFonts w:ascii="Times New Roman" w:hAnsi="Times New Roman"/>
          <w:b w:val="false"/>
          <w:i/>
          <w:color w:val="000000"/>
          <w:sz w:val="24"/>
        </w:rPr>
        <w:t>“d”</w:t>
      </w:r>
      <w:r>
        <w:rPr>
          <w:rFonts w:ascii="Times New Roman" w:hAnsi="Times New Roman"/>
          <w:b w:val="false"/>
          <w:i w:val="false"/>
          <w:color w:val="000000"/>
          <w:sz w:val="24"/>
        </w:rPr>
        <w:t>(11). If a service line remains in the area of LNAPL, a backflow preventer shall be installed to prevent impacts to the larger water distribution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vapor pathway, these objectives are achieved by active remediation of soil contamination below the target level at the point(s) of exposure or other designated point(s) of compliance using the same measurement methods for receptor evaluation under </w:t>
      </w:r>
      <w:hyperlink r:id="rId560">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 xml:space="preserve"> and </w:t>
      </w:r>
      <w:hyperlink r:id="rId561">
        <w:r>
          <w:rPr>
            <w:rStyle w:val="Hyperlink"/>
            <w:rFonts w:ascii="Times New Roman" w:hAnsi="Times New Roman"/>
            <w:b w:val="false"/>
            <w:i w:val="false"/>
            <w:color w:val="000000"/>
            <w:sz w:val="24"/>
          </w:rPr>
          <w:t>135.10(9)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 site classified as high risk or reclassified as high risk for the soil leaching to groundwater ingestion pathway, these objectives are achieved by active remediation of soil contamination to reduce the soil concentration to below the site-specific target level at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corrective action design report (CADR) must be submitted by a certified groundwater professional for all high risk sites unless the terms of a corrective action plan are formalized in a memorandum of agreement within a reasonable time frame specified by the department. The CADR must be submitted on a form provided by the department and in accordance with department CADR guidance within 60 days of site classification approval as provided in </w:t>
      </w:r>
      <w:hyperlink r:id="rId562">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 xml:space="preserve">. The CADR must identify at least two principally applicable corrective action options designed to meet the objectives in </w:t>
      </w:r>
      <w:hyperlink r:id="rId563">
        <w:r>
          <w:rPr>
            <w:rStyle w:val="Hyperlink"/>
            <w:rFonts w:ascii="Times New Roman" w:hAnsi="Times New Roman"/>
            <w:b w:val="false"/>
            <w:i w:val="false"/>
            <w:color w:val="000000"/>
            <w:sz w:val="24"/>
          </w:rPr>
          <w:t>135.12(3)</w:t>
        </w:r>
      </w:hyperlink>
      <w:r>
        <w:rPr>
          <w:rFonts w:ascii="Times New Roman" w:hAnsi="Times New Roman"/>
          <w:b w:val="false"/>
          <w:i w:val="false"/>
          <w:color w:val="000000"/>
          <w:sz w:val="24"/>
        </w:rPr>
        <w:t xml:space="preserve">, an outline of the projected timetable and critical performance benchmarks, and a specific monitoring proposal designed to verify its effectiveness and must provide sufficient supporting documentation consistent with industry standards that the technology is effective to accomplish site-specific objectives. The CADR must contain an analysis of its cost-effectiveness in relation to other options. The department will review the CADR in accordance with </w:t>
      </w:r>
      <w:hyperlink r:id="rId564">
        <w:r>
          <w:rPr>
            <w:rStyle w:val="Hyperlink"/>
            <w:rFonts w:ascii="Times New Roman" w:hAnsi="Times New Roman"/>
            <w:b w:val="false"/>
            <w:i w:val="false"/>
            <w:color w:val="000000"/>
            <w:sz w:val="24"/>
          </w:rPr>
          <w:t>135.12(9)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monitoring. From the time a Tier 2 site cleanup report is submitted and until the department determines a site is classified as no action required, interim monitoring is required at least annually for all sites classified as high risk. Groundwater samples must be taken: (1) from a monitoring well at the maximum source concentration; (2) from a transition well, meaning a monitoring well with detected levels of contamination closest to the leading edge of the groundwater plume as defined to the pathway-specific target level, and between the source(s) and the point(s) of exposure; and (3) from a guard well, meaning a monitoring well between the source(s) and the point(s) of exposure with concentrations below the SSTL line. If a receptor is located within an actual plume contoured to the applicable target level for that receptor, the point of exposure must be monitored. If concentrations at the receptor already exceed the applicable target level for that receptor, corrective actions must be implemented as soon as practicable. Monitoring conducted as part of remediation or as a condition of establishing a no action required classification may be used to the extent it meets these criteria. Soil monitoring is required at least annually for all applicable pathways in accordance with </w:t>
      </w:r>
      <w:hyperlink r:id="rId565">
        <w:r>
          <w:rPr>
            <w:rStyle w:val="Hyperlink"/>
            <w:rFonts w:ascii="Times New Roman" w:hAnsi="Times New Roman"/>
            <w:b w:val="false"/>
            <w:i w:val="false"/>
            <w:color w:val="000000"/>
            <w:sz w:val="24"/>
          </w:rPr>
          <w:t>135.12(5)</w:t>
        </w:r>
      </w:hyperlink>
      <w:r>
        <w:rPr>
          <w:rFonts w:ascii="Times New Roman" w:hAnsi="Times New Roman"/>
          <w:b w:val="false"/>
          <w:i/>
          <w:color w:val="000000"/>
          <w:sz w:val="24"/>
        </w:rPr>
        <w:t>“d.”</w:t>
      </w:r>
      <w:r>
        <w:rPr>
          <w:rFonts w:ascii="Times New Roman" w:hAnsi="Times New Roman"/>
          <w:b w:val="false"/>
          <w:i w:val="false"/>
          <w:color w:val="000000"/>
          <w:sz w:val="24"/>
        </w:rPr>
        <w:t xml:space="preserve"> All drinking water wells and non-drinking water wells within 100 feet of the largest actual plume (defined to the appropriate target level for the receptor type) must be tested annually for chemicals of concern. Actual plumes refer to groundwater plumes for all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Remediation monitoring. Remediation monitoring during operation of a remediation system is required at least four times each year to evaluate effectiveness of the system. A remediation monitoring schedule and plan must be specified in the corrective action design report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Technological controls. The purpose of a technological control is to effectively sever a pathway by use of technologies such that an applicable receptor could not be exposed to chemicals of concern above an applicable target risk level. Technological controls are an acceptable corrective action response either alone or in combination with other remediation systems. The purpose of technological controls may be to control plume migration through use of containment technologies, barriers, etc., both as an interim or permanent corrective action response or to permanently sever a pathway to a receptor. Controls may also be appropriate to treat or control contamination at the point of exposure. Any technological control proposed as a permanent corrective action option without meeting the reduction in contaminant concentrations objectives must establish that the pathway to a receptor will be permanently severed or controlled. The effectiveness of a technological control must be monitored under a department approved plan until concentrations fall below the site-specific target level line or its effectiveness as a permanent response is established and no adverse effects are created.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completion of corrective action, the site must meet exit monitoring criteria to be reclassified as no action required as specified in </w:t>
      </w:r>
      <w:hyperlink r:id="rId566">
        <w:r>
          <w:rPr>
            <w:rStyle w:val="Hyperlink"/>
            <w:rFonts w:ascii="Times New Roman" w:hAnsi="Times New Roman"/>
            <w:b w:val="false"/>
            <w:i w:val="false"/>
            <w:color w:val="000000"/>
            <w:sz w:val="24"/>
          </w:rPr>
          <w:t>135.12(6)</w:t>
        </w:r>
      </w:hyperlink>
      <w:r>
        <w:rPr>
          <w:rFonts w:ascii="Times New Roman" w:hAnsi="Times New Roman"/>
          <w:b w:val="false"/>
          <w:i/>
          <w:color w:val="000000"/>
          <w:sz w:val="24"/>
        </w:rPr>
        <w:t>“c.”</w:t>
      </w:r>
      <w:r>
        <w:rPr>
          <w:rFonts w:ascii="Times New Roman" w:hAnsi="Times New Roman"/>
          <w:b w:val="false"/>
          <w:i w:val="false"/>
          <w:color w:val="000000"/>
          <w:sz w:val="24"/>
        </w:rPr>
        <w:t xml:space="preserve"> At any point where an institutional or technological control is implemented and approved by the department, the site may be reclassified as no action required consistent with </w:t>
      </w:r>
      <w:hyperlink r:id="rId567">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135.12(4)</w:t>
      </w:r>
      <w:r>
        <w:rPr>
          <w:rFonts w:ascii="Times New Roman" w:hAnsi="Times New Roman"/>
          <w:b w:val="false"/>
          <w:i w:val="false"/>
          <w:color w:val="000000"/>
          <w:sz w:val="24"/>
        </w:rPr>
        <w:t> </w:t>
      </w:r>
      <w:r>
        <w:rPr>
          <w:rFonts w:ascii="Times New Roman" w:hAnsi="Times New Roman"/>
          <w:b w:val="false"/>
          <w:i/>
          <w:color w:val="000000"/>
          <w:sz w:val="24"/>
        </w:rPr>
        <w:t xml:space="preserve">Low risk classification. </w:t>
      </w:r>
      <w:r>
        <w:rPr>
          <w:rFonts w:ascii="Times New Roman" w:hAnsi="Times New Roman"/>
          <w:b w:val="false"/>
          <w:i w:val="false"/>
          <w:color w:val="000000"/>
          <w:sz w:val="24"/>
        </w:rPr>
        <w:t>A site shall be classified as low risk if none of the pathways are high risk and if any of the pathways are low risk. A pathway shall be classified low risk if it meets one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actual and potential receptors, if the modeled data and the actual concentrations are less than the site-specific target level line, and any of the actual concentrations are greater than the simulation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potential receptors, if any actual concentrations exceed the site-specific target level line at any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leaching to groundwater ingestion pathway where modeling predicts that the Tier 1 levels for potential receptors would be exceeded in groundwater at applicable potential receptor points of compliance and the soil concentration exceeds the soil leaching to groundwater site-specific target level but groundwater concentrations are currently below the Tier 1 level for potential receptors, the site shall be initially classified as low risk and subject to monitoring under </w:t>
      </w:r>
      <w:hyperlink r:id="rId568">
        <w:r>
          <w:rPr>
            <w:rStyle w:val="Hyperlink"/>
            <w:rFonts w:ascii="Times New Roman" w:hAnsi="Times New Roman"/>
            <w:b w:val="false"/>
            <w:i w:val="false"/>
            <w:color w:val="000000"/>
            <w:sz w:val="24"/>
          </w:rPr>
          <w:t>135.12(5)</w:t>
        </w:r>
      </w:hyperlink>
      <w:r>
        <w:rPr>
          <w:rFonts w:ascii="Times New Roman" w:hAnsi="Times New Roman"/>
          <w:b w:val="false"/>
          <w:i/>
          <w:color w:val="000000"/>
          <w:sz w:val="24"/>
        </w:rPr>
        <w:t>“d”</w:t>
      </w:r>
      <w:r>
        <w:rPr>
          <w:rFonts w:ascii="Times New Roman" w:hAnsi="Times New Roman"/>
          <w:b w:val="false"/>
          <w:i w:val="false"/>
          <w:color w:val="000000"/>
          <w:sz w:val="24"/>
        </w:rPr>
        <w:t xml:space="preserve">(2). If at any time during the three-year monitoring period, groundwater concentrations exceed the Tier 1 level for potential receptors, the site shall be classified as high risk requiring soil remediation in accordance with </w:t>
      </w:r>
      <w:hyperlink r:id="rId569">
        <w:r>
          <w:rPr>
            <w:rStyle w:val="Hyperlink"/>
            <w:rFonts w:ascii="Times New Roman" w:hAnsi="Times New Roman"/>
            <w:b w:val="false"/>
            <w:i w:val="false"/>
            <w:color w:val="000000"/>
            <w:sz w:val="24"/>
          </w:rPr>
          <w:t>135.12(3)</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135.12(5)</w:t>
      </w:r>
      <w:r>
        <w:rPr>
          <w:rFonts w:ascii="Times New Roman" w:hAnsi="Times New Roman"/>
          <w:b w:val="false"/>
          <w:i w:val="false"/>
          <w:color w:val="000000"/>
          <w:sz w:val="24"/>
        </w:rPr>
        <w:t> </w:t>
      </w:r>
      <w:r>
        <w:rPr>
          <w:rFonts w:ascii="Times New Roman" w:hAnsi="Times New Roman"/>
          <w:b w:val="false"/>
          <w:i/>
          <w:color w:val="000000"/>
          <w:sz w:val="24"/>
        </w:rPr>
        <w:t xml:space="preserve">Low risk 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Purpose. For sites or pathways classified as low risk, the purpose of monitoring is to determine if concentrations are decreasing such that reclassification to no action required may be appropriate or if the contaminant plume is stable such that reclassification to no action required can be achieved with implementation of an institutional control in accordance with </w:t>
      </w:r>
      <w:hyperlink r:id="rId570">
        <w:r>
          <w:rPr>
            <w:rStyle w:val="Hyperlink"/>
            <w:rFonts w:ascii="Times New Roman" w:hAnsi="Times New Roman"/>
            <w:b w:val="false"/>
            <w:i w:val="false"/>
            <w:color w:val="000000"/>
            <w:sz w:val="24"/>
          </w:rPr>
          <w:t>135.12(8)</w:t>
        </w:r>
      </w:hyperlink>
      <w:r>
        <w:rPr>
          <w:rFonts w:ascii="Times New Roman" w:hAnsi="Times New Roman"/>
          <w:b w:val="false"/>
          <w:i w:val="false"/>
          <w:color w:val="000000"/>
          <w:sz w:val="24"/>
        </w:rPr>
        <w:t>, or if concentrations are increasing above the site-specific target level line such that reclassification to high risk is appropriate. Monitoring is necessary to evaluate impacts to actual receptors and assess the continued status of potential receptor conditions. Low risk monitoring shall be conducted and reported by a certified groundwater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sites or pathways classified as low risk, provide a best management practices plan. The plan must include maintenance procedures, schedule of activities, prohibition of practices, and other management practices, or a combination thereof, which, after problem assessment, are determined to be the most effective means of monitoring and preventing additional contamination of the groundwater and soil. The plan will also contain a contamination monitoring proposal containing sufficient sampling points to ensure the detection of any significant movement of or increase in contaminant concentration.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Groundwater monitoring. For groundwater pathways, samples must be taken at a minimum of once per year: (1) from a monitoring well at the maximum source concentration; (2) a transitional well meaning a well with detected levels of contamination closest to the leading edge of the groundwater plume as defined to the pathway-specific target level and between the source and the receptor; and (3) a guard well meaning a monitoring well between the source and the point of exposure with concentrations below the SSTL line. (</w:t>
      </w:r>
      <w:r>
        <w:rPr>
          <w:rFonts w:ascii="Times New Roman" w:hAnsi="Times New Roman"/>
          <w:b w:val="false"/>
          <w:i w:val="false"/>
          <w:color w:val="000000"/>
          <w:sz w:val="24"/>
        </w:rPr>
        <w:t>NOTE</w:t>
      </w:r>
      <w:r>
        <w:rPr>
          <w:rFonts w:ascii="Times New Roman" w:hAnsi="Times New Roman"/>
          <w:b w:val="false"/>
          <w:i w:val="false"/>
          <w:color w:val="000000"/>
          <w:sz w:val="24"/>
        </w:rPr>
        <w:t xml:space="preserve">: Monitoring under this provision may be used to satisfy exit monitoring if it otherwise meets the criteria in </w:t>
      </w:r>
      <w:hyperlink r:id="rId571">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Soil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the soil vapor to enclosed space pathway potential receptors, soil gas samples must be taken at a minimum of once per year in the area(s) of expected maximum vapor concentrations where an institutional control is not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leaching to groundwater pathway potential receptors, annual groundwater monitoring is required for a minimum of three years as provided in </w:t>
      </w:r>
      <w:hyperlink r:id="rId572">
        <w:r>
          <w:rPr>
            <w:rStyle w:val="Hyperlink"/>
            <w:rFonts w:ascii="Times New Roman" w:hAnsi="Times New Roman"/>
            <w:b w:val="false"/>
            <w:i w:val="false"/>
            <w:color w:val="000000"/>
            <w:sz w:val="24"/>
          </w:rPr>
          <w:t>135.12(5)</w:t>
        </w:r>
      </w:hyperlink>
      <w:r>
        <w:rPr>
          <w:rFonts w:ascii="Times New Roman" w:hAnsi="Times New Roman"/>
          <w:b w:val="false"/>
          <w:i/>
          <w:color w:val="000000"/>
          <w:sz w:val="24"/>
        </w:rPr>
        <w:t>“c.”</w:t>
      </w:r>
      <w:r>
        <w:rPr>
          <w:rFonts w:ascii="Times New Roman" w:hAnsi="Times New Roman"/>
          <w:b w:val="false"/>
          <w:i w:val="false"/>
          <w:color w:val="000000"/>
          <w:sz w:val="24"/>
        </w:rPr>
        <w:t xml:space="preserve"> If groundwater concentrations are below the applicable SSTL line for all three years, no further action is required. If groundwater concentrations exceed the applicable SSTL line in any of the three years, corrective action is required to reduce soil concentrations to below the Tier 1 levels for soil leaching to groundwater. Therefore, annual monitoring of soil is not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the soil to water line pathway potential receptors, notification of the utility company is required. Notification will result in reclassification to no action required. Therefore, annual monitoring of soil is not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Receptors must be evaluated at least annually to ensure no actual or modeled data are above the site-specific target level line for any actual receptors. Potential receptor areas of concern must be evaluated at least annually and the presence of no actual receptors confirmed. If actual receptors are present or reasonably expected to be brought into existence, the owner or operator must report this fact to the department as soon as practicable. Annual monitoring that also meets the exit criteria under </w:t>
      </w:r>
      <w:hyperlink r:id="rId573">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 xml:space="preserve"> may be used for that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site or pathway must meet exit monitoring criteria to be reclassified as no action required as specified in </w:t>
      </w:r>
      <w:hyperlink r:id="rId574">
        <w:r>
          <w:rPr>
            <w:rStyle w:val="Hyperlink"/>
            <w:rFonts w:ascii="Times New Roman" w:hAnsi="Times New Roman"/>
            <w:b w:val="false"/>
            <w:i w:val="false"/>
            <w:color w:val="000000"/>
            <w:sz w:val="24"/>
          </w:rPr>
          <w:t>135.12(6)</w:t>
        </w:r>
      </w:hyperlink>
      <w:r>
        <w:rPr>
          <w:rFonts w:ascii="Times New Roman" w:hAnsi="Times New Roman"/>
          <w:b w:val="false"/>
          <w:i/>
          <w:color w:val="000000"/>
          <w:sz w:val="24"/>
        </w:rPr>
        <w:t>“b.”</w:t>
      </w:r>
      <w:r>
        <w:rPr>
          <w:rFonts w:ascii="Times New Roman" w:hAnsi="Times New Roman"/>
          <w:b w:val="false"/>
          <w:i w:val="false"/>
          <w:color w:val="000000"/>
          <w:sz w:val="24"/>
        </w:rPr>
        <w:t xml:space="preserve"> If concentrations for actual receptors increase above the site-specific target level line or potential receptor status changes to actual receptor status, the site must be reclassified as high risk and further corrective action required in accordance with </w:t>
      </w:r>
      <w:hyperlink r:id="rId575">
        <w:r>
          <w:rPr>
            <w:rStyle w:val="Hyperlink"/>
            <w:rFonts w:ascii="Times New Roman" w:hAnsi="Times New Roman"/>
            <w:b w:val="false"/>
            <w:i w:val="false"/>
            <w:color w:val="000000"/>
            <w:sz w:val="24"/>
          </w:rPr>
          <w:t>135.12(3)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135.12(6)</w:t>
      </w:r>
      <w:r>
        <w:rPr>
          <w:rFonts w:ascii="Times New Roman" w:hAnsi="Times New Roman"/>
          <w:b w:val="false"/>
          <w:i w:val="false"/>
          <w:color w:val="000000"/>
          <w:sz w:val="24"/>
        </w:rPr>
        <w:t> </w:t>
      </w:r>
      <w:r>
        <w:rPr>
          <w:rFonts w:ascii="Times New Roman" w:hAnsi="Times New Roman"/>
          <w:b w:val="false"/>
          <w:i/>
          <w:color w:val="000000"/>
          <w:sz w:val="24"/>
        </w:rPr>
        <w:t xml:space="preserve">No action required classification. </w:t>
      </w:r>
      <w:r>
        <w:rPr>
          <w:rFonts w:ascii="Times New Roman" w:hAnsi="Times New Roman"/>
          <w:b w:val="false"/>
          <w:i w:val="false"/>
          <w:color w:val="000000"/>
          <w:sz w:val="24"/>
        </w:rPr>
        <w:t>A site shall be classified as no action required if all of the pathways are classified as no action required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Soil pathways shall be classified as no action required if samples are less than the applicable target levels as defined for each pathway and confirmational sampling requirements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initial classification, groundwater pathways shall be classified as no action required if the contaminant concentrations are below the site-specific target level line and all concentrations are at or less than the simulation line, and confirmation monitoring has been completed successfully. Confirmation sampling for groundwater is a second sample that confirms the no action required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groundwater pathway shall be reclassified from high risk to no action required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contaminant concentrations are below the site-specific target level and if exit monitoring criteria have been met. Exit monitoring criteria means that the three most recent consecutive groundwater samples from all monitoring wells must show a steady or declining trend and the most recent samples are below the site-specific target level. A steady and declining trend includes the following: the first of the three samples for the source well and transition well must be more than detection limits, concentrations cannot increase more than 20 percent from the first of the three samples to the third sample, concentrations cannot increase more than 20 percent of the previous sample, and samples must be separated by at least six months;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are no actual receptors within the actual groundwater plume defined to the applicable target level and plume stability has been documented to show that the actual plume is not migrating to actual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low risk site shall be reclassified as “no action required” if contaminant concentrations are below the site-specific target level and if exit monitoring criteria have been met pursuant to </w:t>
      </w:r>
      <w:hyperlink r:id="rId576">
        <w:r>
          <w:rPr>
            <w:rStyle w:val="Hyperlink"/>
            <w:rFonts w:ascii="Times New Roman" w:hAnsi="Times New Roman"/>
            <w:b w:val="false"/>
            <w:i w:val="false"/>
            <w:color w:val="000000"/>
            <w:sz w:val="24"/>
          </w:rPr>
          <w:t>135.12(6)</w:t>
        </w:r>
        <w:r>
          <w:rPr>
            <w:rFonts w:ascii="Times New Roman" w:hAnsi="Times New Roman"/>
            <w:b w:val="false"/>
            <w:i/>
            <w:color w:val="000000"/>
            <w:sz w:val="24"/>
          </w:rPr>
          <w:t>“c”</w:t>
        </w:r>
      </w:hyperlink>
      <w:r>
        <w:rPr>
          <w:rFonts w:ascii="Times New Roman" w:hAnsi="Times New Roman"/>
          <w:b w:val="false"/>
          <w:i w:val="false"/>
          <w:color w:val="000000"/>
          <w:sz w:val="24"/>
        </w:rPr>
        <w:t xml:space="preserve"> or if the site has maintained less than the applicable target level for four consecutive sampling events separated by at least six months as defined in the monitoring plan regardless of exit monitoring criteria and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Confirmation sampling for soil gas and indoor vapor. For the enclosed space pathways, confirmation sampling is required to reasonably establish that the soil gas and indoor vapor samples represent the highest expected levels. A groundwater professional must obtain two samples taken at least two weeks apart. One of the samples should be collected beneath the frost line depth during a seasonal period of lowest groundwater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As a condition of obtaining site classification as no action required, all groundwater monitoring wells must be properly plugged in accordance with </w:t>
      </w:r>
      <w:hyperlink r:id="rId577">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578">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unless the department requires selected wells to be maintained or a written request with justification and a plan for properly maintaining the wells are submitted to the department for approval. Approval to maintain wells shall be deemed granted if not disapproved with reason within 30 days of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Prior to acceptance of a request to classify the site as no action required, and in the event there is a question of validity of the data or sampling methods, laboratory analysis procedures, indication of plume movement, or the department obtains information about new conditions at the site, the department may conduct or require the owner to conduct confirmation sampling of the soil, groundwater, soil gas, or indoor vapor to confirm that the no action required criteria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department may waive, at its discretion, the exit monitoring criteria based on a certified groundwater professional’s written justification to support a no action required classification for the site based on a reasoned assessment of data, trends, receptor status, and corrective actions performed. One example is when steady and declining criteria have not been met due solely to variations among a laboratory’s lowest achievable detection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135.12(7)</w:t>
      </w:r>
      <w:r>
        <w:rPr>
          <w:rFonts w:ascii="Times New Roman" w:hAnsi="Times New Roman"/>
          <w:b w:val="false"/>
          <w:i w:val="false"/>
          <w:color w:val="000000"/>
          <w:sz w:val="24"/>
        </w:rPr>
        <w:t> </w:t>
      </w:r>
      <w:r>
        <w:rPr>
          <w:rFonts w:ascii="Times New Roman" w:hAnsi="Times New Roman"/>
          <w:b w:val="false"/>
          <w:i/>
          <w:color w:val="000000"/>
          <w:sz w:val="24"/>
        </w:rPr>
        <w:t xml:space="preserve">Reclassification. </w:t>
      </w:r>
      <w:r>
        <w:rPr>
          <w:rFonts w:ascii="Times New Roman" w:hAnsi="Times New Roman"/>
          <w:b w:val="false"/>
          <w:i w:val="false"/>
          <w:color w:val="000000"/>
          <w:sz w:val="24"/>
        </w:rPr>
        <w:t>Any site or pathway that is classified as high risk may be reclassified to low risk if in the course of corrective action the criteria for low risk classification are established. Any site or pathway that is classified as low risk may be reclassified to high risk if in the course of monitoring the conditions for high risk classification are established. Sites subject to department-approved institutional or technological controls are classified as no action required if all other criteria for no action required classification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135.12(8)</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and technological controls.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Purpose. The purpose of an institutional control is to restrict access to or use of property such that an applicable receptor could not be exposed to chemicals of concern for as long as the target level is exceeded at applicable points of exposure and compliance. Institutional controls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law of the United States or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regulation issued pursuant to federal or state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ordinance or regulation of a political subdivision in which real estate subject to the institutional control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environmental covenant as provided in Iowa Code chapter </w:t>
      </w:r>
      <w:hyperlink r:id="rId579">
        <w:r>
          <w:rPr>
            <w:rStyle w:val="Hyperlink"/>
            <w:rFonts w:ascii="Times New Roman" w:hAnsi="Times New Roman"/>
            <w:b w:val="false"/>
            <w:i w:val="false"/>
            <w:color w:val="000000"/>
            <w:sz w:val="24"/>
          </w:rPr>
          <w:t>455I</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other institutional control the owner or operator can reasonably demonstrate to the department will reduce the risk from a release throughout the period necessary to ensure that no applicable target level is likely to be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Modification or termination of institutional and technological controls. At a point when the department determines that an institutional or technological control has been removed or is no longer effective for the purpose intended, regardless of the issuance of a no further action certification or previous site classification, it may require owners and operators to undertake such reevaluation of the site conditions as necessary to determine an appropriate site classification and corrective action response. If the owner or operator is in control of the affected property, the department may require reimplementation of the institutional or technological control or may require a Tier 2 assessment of the affected pathway(s) be conducted to reevaluate the site conditions and determine alternative corrective action response. An owner or operator subject to an institutional or technological control may request modification or termination of the control by conducting a Tier 2 assessment of the affected pathway or conduct such other assessment as required by the department to establish that the control is no longer required given current site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owner or operator is not in control of the affected property or cannot obtain control and the party in control refuses to continue implementation of an institutional control, the department may require the owner or operator to take such legal action as available to enforce institution of the control or may require the owner or operator to undertake a Tier 2 assessment to determine site classification and an alternative corrective action response. If a person in control of the affected property appears to be contractually obligated to maintain an institutional or technological control, the department may, but is not required to, attempt enforcement of the contractual obligation as an alternative to requiring corrective action by the owner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a site is classified no action required, subject to the existence of an institutional control or technological control, the holder of the fee interest in the real estate subject to the institutional control or technological control may request, at any time, that the department terminate the institutional control or technological control requirement. The department shall terminate the requirement for an institutional control if the holder demonstrates by completion of a Tier 2 assessment of the applicable pathway or other assessment as required by the department that the site conditions warranting the control no longer exist and that the site or pathway has met exit criteria for no action required classification under </w:t>
      </w:r>
      <w:hyperlink r:id="rId580">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135.12(9)</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design report submission and review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submit a CADR within 60 days of the date the department approves or is deemed to approve a Tier 2 assessment report under </w:t>
      </w:r>
      <w:hyperlink r:id="rId581">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 xml:space="preserve"> or a Tier 3 assessment is to be conducted. The department may establish an alternative schedule for submittal. As an alternative to submitting a CADR, owners or operators may participate in a corrective action meeting process to develop a corrective action plan that would be incorporated into a memorandum of agreement or other written agreement approved by the department. Owners or operators shall implement the terms of an approved CADR, memorandum of agreement or other corrective action plan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Corrective action design report completeness and accuracy. A CADR is considered to be complete if it contains all the information and data required by this rule and the department’s guidance. The report is considered accurate if the information and data are reasonably reliable based first on the standards in these rules and department guidance, and second, on generally accepted industry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certified groundwater professional responsible for completion of the CADR must provide the following certification with the CADR:</w:t>
      </w:r>
    </w:p>
    <w:p>
      <w:pPr>
        <w:spacing w:before="0" w:after="0" w:line="480"/>
        <w:ind w:left="120"/>
        <w:jc w:val="both"/>
      </w:pPr>
      <w:r>
        <w:rPr>
          <w:rFonts w:ascii="Times New Roman" w:hAnsi="Times New Roman"/>
          <w:b w:val="false"/>
          <w:i w:val="false"/>
          <w:color w:val="000000"/>
          <w:sz w:val="24"/>
        </w:rPr>
        <w:t xml:space="preserve">I, ___________________, groundwater professional certification number _____________, am familiar with all applicable requirements of Iowa Code section </w:t>
      </w:r>
      <w:hyperlink r:id="rId582">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 xml:space="preserve"> and all rules and procedures adopted thereunder including, but not limited to, the Department of Natural Resources’ guidance and specifications for corrective action design reports. Based on my knowledge of those documents and the information I have prepared and reviewed regarding this site, UST registration number ______________________, LUST No.____________, I certify that this document is complete and accurate as provided in </w:t>
      </w:r>
      <w:hyperlink r:id="rId583">
        <w:r>
          <w:rPr>
            <w:rStyle w:val="Hyperlink"/>
            <w:rFonts w:ascii="Times New Roman" w:hAnsi="Times New Roman"/>
            <w:b w:val="false"/>
            <w:i w:val="false"/>
            <w:color w:val="000000"/>
            <w:sz w:val="24"/>
          </w:rPr>
          <w:t>135.12(9)</w:t>
        </w:r>
      </w:hyperlink>
      <w:r>
        <w:rPr>
          <w:rFonts w:ascii="Times New Roman" w:hAnsi="Times New Roman"/>
          <w:b w:val="false"/>
          <w:i w:val="false"/>
          <w:color w:val="000000"/>
          <w:sz w:val="24"/>
        </w:rPr>
        <w:t xml:space="preserve"> and meets the applicable requirements of the corrective action design report, and that the recommended corrective action can reasonably be expected to meet its stated objectives.</w:t>
      </w:r>
    </w:p>
    <w:p>
      <w:pPr>
        <w:spacing w:before="0" w:after="0" w:line="480"/>
        <w:ind w:left="120"/>
        <w:jc w:val="both"/>
      </w:pPr>
      <w:r>
        <w:rPr>
          <w:rFonts w:ascii="Times New Roman" w:hAnsi="Times New Roman"/>
          <w:b w:val="false"/>
          <w:i w:val="false"/>
          <w:color w:val="000000"/>
          <w:sz w:val="24"/>
        </w:rPr>
        <w:t>Signature</w:t>
      </w:r>
    </w:p>
    <w:p>
      <w:pPr>
        <w:spacing w:before="0" w:after="0" w:line="480"/>
        <w:ind w:left="120"/>
        <w:jc w:val="both"/>
      </w:pPr>
      <w:r>
        <w:rPr>
          <w:rFonts w:ascii="Times New Roman" w:hAnsi="Times New Roman"/>
          <w:b w:val="false"/>
          <w:i w:val="false"/>
          <w:color w:val="000000"/>
          <w:sz w:val="24"/>
        </w:rPr>
        <w:t>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Review. A CADR submitted by a groundwater professional shall be accepted by the department and shall be primarily relied upon by the department to determine the corrective action response requirements of the site. However, if within 90 days of receipt of a CADR, the department identifies material information in the CADR that is inaccurate or incomplete, and if based upon information in the report the appropriate corrective action response cannot be reasonably determined by the department based on industry standards, the department may reject the report and require modifications. If the department does not reject the report within 90 days of receipt, the report shall be deemed approved as submitted unless changes to the report are requested by the groundwater professional. The department shall work with the groundwater professional and the owner or operator to correct any materially inaccurate information or to obtain the additional information necessary to determine the appropriate corrective action response as soon as practicable.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Memorandums of agreement. Owners or operators that fail to implement the actions or meet the activity schedule in a memorandum of agreement resulting from a corrective action meeting or other written corrective action plan agreement or that fail to implement the actions or meet the schedule outlined in an approved CADR are subject to legal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135.12(10)</w:t>
      </w:r>
      <w:r>
        <w:rPr>
          <w:rFonts w:ascii="Times New Roman" w:hAnsi="Times New Roman"/>
          <w:b w:val="false"/>
          <w:i w:val="false"/>
          <w:color w:val="000000"/>
          <w:sz w:val="24"/>
        </w:rPr>
        <w:t> </w:t>
      </w:r>
      <w:r>
        <w:rPr>
          <w:rFonts w:ascii="Times New Roman" w:hAnsi="Times New Roman"/>
          <w:b w:val="false"/>
          <w:i/>
          <w:color w:val="000000"/>
          <w:sz w:val="24"/>
        </w:rPr>
        <w:t xml:space="preserve">Monitoring certificates and no further action certificates.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Monitoring certificate. The department will issue a monitoring certificate to the owner or operator of an underground storage tank from which a release has occurred, the current property owner, or other responsible party who has undertaken the corrective action warranting issuance of the certificate. Sites classified as low risk or sites classified as high risk/monitoring shall be eligible for a monitoring certificate. The monitoring certificate will be valid until the site is reclassified to a high risk requiring active remediation or no action required site. A site that has been issued a monitoring certificate shall not be eligible to receive a certificate evidencing completion of remediation until the site is reclassified as no action required. The monitoring certificate may be invalidated and the site reclassified to high risk if it is determined by the department that the owner of the site is not in compliance with the requirements specified in the monitoring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 further action certificate. When the no action required site classification has been determined based on a recommendation of the certified groundwater professional as provided in </w:t>
      </w:r>
      <w:hyperlink r:id="rId584">
        <w:r>
          <w:rPr>
            <w:rStyle w:val="Hyperlink"/>
            <w:rFonts w:ascii="Times New Roman" w:hAnsi="Times New Roman"/>
            <w:b w:val="false"/>
            <w:i w:val="false"/>
            <w:color w:val="000000"/>
            <w:sz w:val="24"/>
          </w:rPr>
          <w:t>135.9(11)</w:t>
        </w:r>
      </w:hyperlink>
      <w:r>
        <w:rPr>
          <w:rFonts w:ascii="Times New Roman" w:hAnsi="Times New Roman"/>
          <w:b w:val="false"/>
          <w:i w:val="false"/>
          <w:color w:val="000000"/>
          <w:sz w:val="24"/>
        </w:rPr>
        <w:t xml:space="preserve">, </w:t>
      </w:r>
      <w:hyperlink r:id="rId585">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 xml:space="preserve"> and </w:t>
      </w:r>
      <w:hyperlink r:id="rId586">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 xml:space="preserve"> (see also Iowa Code section </w:t>
      </w:r>
      <w:hyperlink r:id="rId587">
        <w:r>
          <w:rPr>
            <w:rStyle w:val="Hyperlink"/>
            <w:rFonts w:ascii="Times New Roman" w:hAnsi="Times New Roman"/>
            <w:b w:val="false"/>
            <w:i w:val="false"/>
            <w:color w:val="000000"/>
            <w:sz w:val="24"/>
          </w:rPr>
          <w:t>455B.474(1)</w:t>
        </w:r>
      </w:hyperlink>
      <w:r>
        <w:rPr>
          <w:rFonts w:ascii="Times New Roman" w:hAnsi="Times New Roman"/>
          <w:b w:val="false"/>
          <w:i/>
          <w:color w:val="000000"/>
          <w:sz w:val="24"/>
        </w:rPr>
        <w:t>“a”</w:t>
      </w:r>
      <w:r>
        <w:rPr>
          <w:rFonts w:ascii="Times New Roman" w:hAnsi="Times New Roman"/>
          <w:b w:val="false"/>
          <w:i w:val="false"/>
          <w:color w:val="000000"/>
          <w:sz w:val="24"/>
        </w:rPr>
        <w:t>(8)(a) and (c)), the department shall issue a no further action certificate.</w:t>
      </w:r>
    </w:p>
    <w:p>
      <w:pPr>
        <w:spacing w:before="0" w:after="0" w:line="480"/>
        <w:ind w:left="120"/>
        <w:jc w:val="both"/>
      </w:pPr>
      <w:r>
        <w:rPr>
          <w:rFonts w:ascii="Times New Roman" w:hAnsi="Times New Roman"/>
          <w:b w:val="false"/>
          <w:i w:val="false"/>
          <w:color w:val="000000"/>
          <w:sz w:val="24"/>
        </w:rPr>
        <w:t>The department will issue a no further action certificate to an owner or operator of an underground storage tank from which a release has occurred, the current property owner, or other responsible party who has undertaken the corrective action warranting classification of the site as no action required. Prior to the issuance of a no further action certificate, an accurate legal description of the property on which the underground storage tanks are or were formerly located shall be submitted to the department. The following conditions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free product is present, the department shall not issue a no further action certificate until the department has approved termination of all free product assessment and recovery in accordance with </w:t>
      </w:r>
      <w:hyperlink r:id="rId588">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site has been determined by a certified groundwater professional not to present an unreasonable risk to the public health and safety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person issued the certificate or a subsequent purchaser of the site cannot be required to perform further corrective action because action standards are changed at a later date. Action standards refer to applicable standards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certified groundwater professional has certified that all groundwater monitoring wells have been permanently closed in accordance with </w:t>
      </w:r>
      <w:hyperlink r:id="rId589">
        <w:r>
          <w:rPr>
            <w:rStyle w:val="Hyperlink"/>
            <w:rFonts w:ascii="Times New Roman" w:hAnsi="Times New Roman"/>
            <w:b w:val="false"/>
            <w:i w:val="false"/>
            <w:color w:val="000000"/>
            <w:sz w:val="24"/>
          </w:rPr>
          <w:t>135.12(6)</w:t>
        </w:r>
        <w:r>
          <w:rPr>
            <w:rFonts w:ascii="Times New Roman" w:hAnsi="Times New Roman"/>
            <w:b w:val="false"/>
            <w:i/>
            <w:color w:val="000000"/>
            <w:sz w:val="24"/>
          </w:rPr>
          <w:t>“f”</w:t>
        </w:r>
      </w:hyperlink>
      <w:r>
        <w:rPr>
          <w:rFonts w:ascii="Times New Roman" w:hAnsi="Times New Roman"/>
          <w:b w:val="false"/>
          <w:i w:val="false"/>
          <w:color w:val="000000"/>
          <w:sz w:val="24"/>
        </w:rPr>
        <w:t xml:space="preserve"> with the exception of wells that are allowed to be maintained pursuant to </w:t>
      </w:r>
      <w:hyperlink r:id="rId590">
        <w:r>
          <w:rPr>
            <w:rStyle w:val="Hyperlink"/>
            <w:rFonts w:ascii="Times New Roman" w:hAnsi="Times New Roman"/>
            <w:b w:val="false"/>
            <w:i w:val="false"/>
            <w:color w:val="000000"/>
            <w:sz w:val="24"/>
          </w:rPr>
          <w:t>135.12(6)</w:t>
        </w:r>
        <w:r>
          <w:rPr>
            <w:rFonts w:ascii="Times New Roman" w:hAnsi="Times New Roman"/>
            <w:b w:val="false"/>
            <w:i/>
            <w:color w:val="000000"/>
            <w:sz w:val="24"/>
          </w:rPr>
          <w:t>“f.”</w:t>
        </w:r>
      </w:hyperlink>
      <w:r>
        <w:rPr>
          <w:rFonts w:ascii="Times New Roman" w:hAnsi="Times New Roman"/>
          <w:b w:val="false"/>
          <w:i w:val="false"/>
          <w:color w:val="000000"/>
          <w:sz w:val="24"/>
        </w:rPr>
        <w:t xml:space="preserve"> Wells not properly maintained shall be referred to the water supply section of the department that enforces 567—Chapters </w:t>
      </w:r>
      <w:hyperlink r:id="rId591">
        <w:r>
          <w:rPr>
            <w:rStyle w:val="Hyperlink"/>
            <w:rFonts w:ascii="Times New Roman" w:hAnsi="Times New Roman"/>
            <w:b w:val="false"/>
            <w:i w:val="false"/>
            <w:color w:val="000000"/>
            <w:sz w:val="24"/>
          </w:rPr>
          <w:t>39</w:t>
        </w:r>
      </w:hyperlink>
      <w:r>
        <w:rPr>
          <w:rFonts w:ascii="Times New Roman" w:hAnsi="Times New Roman"/>
          <w:b w:val="false"/>
          <w:i w:val="false"/>
          <w:color w:val="000000"/>
          <w:sz w:val="24"/>
        </w:rPr>
        <w:t xml:space="preserve"> and </w:t>
      </w:r>
      <w:hyperlink r:id="rId592">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certificate shall not prevent the department from ordering remediation of a release identified subsequent to the release for which the no further action certificate was issued. The certificate shall not prevent the department from requiring corrective action of a release of a regulated substance from an unregulated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certificate will not constitute a warranty of any kind to any person as to the condition, marketability or value of the described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certificate shall reflect any institutional control utilized to ensure compliance with any applicable Tier 2 level; and may include a notation that the classification is based on the fact that designated potential receptors are not in existence.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certificate shall be in a form provided by the department that is recordable in accordance with Iowa Code section </w:t>
      </w:r>
      <w:hyperlink r:id="rId593">
        <w:r>
          <w:rPr>
            <w:rStyle w:val="Hyperlink"/>
            <w:rFonts w:ascii="Times New Roman" w:hAnsi="Times New Roman"/>
            <w:b w:val="false"/>
            <w:i w:val="false"/>
            <w:color w:val="000000"/>
            <w:sz w:val="24"/>
          </w:rPr>
          <w:t>558.1</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or other persons conducting corrective action shall be responsible for recording the no further action certificate with the county recorder and return a file-stamped copy to the department within 30 days of the issue date. At its discretion, the department may record the no further action certificate with the appropriate county recorder as authorized in Iowa Code section </w:t>
      </w:r>
      <w:hyperlink r:id="rId594">
        <w:r>
          <w:rPr>
            <w:rStyle w:val="Hyperlink"/>
            <w:rFonts w:ascii="Times New Roman" w:hAnsi="Times New Roman"/>
            <w:b w:val="false"/>
            <w:i w:val="false"/>
            <w:color w:val="000000"/>
            <w:sz w:val="24"/>
          </w:rPr>
          <w:t>455B.474(1)</w:t>
        </w:r>
        <w:r>
          <w:rPr>
            <w:rFonts w:ascii="Times New Roman" w:hAnsi="Times New Roman"/>
            <w:b w:val="false"/>
            <w:i/>
            <w:color w:val="000000"/>
            <w:sz w:val="24"/>
          </w:rPr>
          <w:t>“a”</w:t>
        </w:r>
        <w:r>
          <w:rPr>
            <w:rFonts w:ascii="Times New Roman" w:hAnsi="Times New Roman"/>
            <w:b w:val="false"/>
            <w:i w:val="false"/>
            <w:color w:val="000000"/>
            <w:sz w:val="24"/>
          </w:rPr>
          <w:t>(8)(c)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modify any issued no further action certificates containing institutional controls once the owner, operator or their successor or assign has demonstrated that the institutional control is no longer necessary to meet the applicable Tier 2 level as provided in </w:t>
      </w:r>
      <w:hyperlink r:id="rId595">
        <w:r>
          <w:rPr>
            <w:rStyle w:val="Hyperlink"/>
            <w:rFonts w:ascii="Times New Roman" w:hAnsi="Times New Roman"/>
            <w:b w:val="false"/>
            <w:i w:val="false"/>
            <w:color w:val="000000"/>
            <w:sz w:val="24"/>
          </w:rPr>
          <w:t>135.12(10)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135.12(11)</w:t>
      </w:r>
      <w:r>
        <w:rPr>
          <w:rFonts w:ascii="Times New Roman" w:hAnsi="Times New Roman"/>
          <w:b w:val="false"/>
          <w:i w:val="false"/>
          <w:color w:val="000000"/>
          <w:sz w:val="24"/>
        </w:rPr>
        <w:t> </w:t>
      </w:r>
      <w:r>
        <w:rPr>
          <w:rFonts w:ascii="Times New Roman" w:hAnsi="Times New Roman"/>
          <w:b w:val="false"/>
          <w:i/>
          <w:color w:val="000000"/>
          <w:sz w:val="24"/>
        </w:rPr>
        <w:t xml:space="preserve">Expedited corrective action. </w:t>
      </w:r>
      <w:r>
        <w:rPr>
          <w:rFonts w:ascii="Times New Roman" w:hAnsi="Times New Roman"/>
          <w:b w:val="false"/>
          <w:i w:val="false"/>
          <w:color w:val="000000"/>
          <w:sz w:val="24"/>
        </w:rPr>
        <w:t>An owner, operator or responsible party of a site at which a release of regulated substance is suspected to have occurred may carry out corrective actions at the site so long as the department receives notice of the expedited cleanup activities prior to 30 calendar days of their commencement; the owner, operator, or responsible party complies with the provisions of these rules; and the corrective action does not include active treatment of groundwater other than: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 previously approved by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Free product recovery pursuant to </w:t>
      </w:r>
      <w:hyperlink r:id="rId596">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Soil overexcavation. When undertaking overexcavation of contaminated soils,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remaining concentrations are below Tier 1 levels. If the excavation is less than 400 square feet, a minimum of one sample must be analyzed for each sidewall and the base. The owner or operator must maintain adequate records of the excavation area to document compliance with this procedure unless submitted to the department and must provide it to the department upon request.</w:t>
      </w:r>
    </w:p>
    <w:p>
      <w:pPr>
        <w:spacing w:before="0" w:after="0" w:line="480"/>
        <w:ind w:left="120"/>
        <w:jc w:val="both"/>
      </w:pPr>
      <w:r>
        <w:rPr>
          <w:rFonts w:ascii="Times New Roman" w:hAnsi="Times New Roman"/>
          <w:b/>
          <w:i w:val="false"/>
          <w:color w:val="000000"/>
          <w:sz w:val="24"/>
        </w:rPr>
        <w:t>567—135.13</w:t>
      </w:r>
      <w:r>
        <w:rPr>
          <w:rFonts w:ascii="Times New Roman" w:hAnsi="Times New Roman"/>
          <w:b/>
          <w:i w:val="false"/>
          <w:color w:val="000000"/>
          <w:sz w:val="24"/>
        </w:rPr>
        <w:t xml:space="preserve">(455B) </w:t>
      </w:r>
      <w:r>
        <w:rPr>
          <w:rFonts w:ascii="Times New Roman" w:hAnsi="Times New Roman"/>
          <w:b/>
          <w:i w:val="false"/>
          <w:color w:val="000000"/>
          <w:sz w:val="24"/>
        </w:rPr>
        <w:t xml:space="preserve">Public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135.13(1)</w:t>
      </w:r>
      <w:r>
        <w:rPr>
          <w:rFonts w:ascii="Times New Roman" w:hAnsi="Times New Roman"/>
          <w:b w:val="false"/>
          <w:i w:val="false"/>
          <w:color w:val="000000"/>
          <w:sz w:val="24"/>
        </w:rPr>
        <w:t> </w:t>
      </w:r>
      <w:r>
        <w:rPr>
          <w:rFonts w:ascii="Times New Roman" w:hAnsi="Times New Roman"/>
          <w:b w:val="false"/>
          <w:i w:val="false"/>
          <w:color w:val="000000"/>
          <w:sz w:val="24"/>
        </w:rPr>
        <w:t>For each confirmed release that is classified as high or low risk, the department must provide notice to the public by means designated to reach those members of the public directly affected by the release and the recommended corrective action response. This notice may include but is not limited to public notice in local newspapers, block advertisements, public service announcements, publication in a state register, letters to individual households, or personal contacts by the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135.13(2)</w:t>
      </w:r>
      <w:r>
        <w:rPr>
          <w:rFonts w:ascii="Times New Roman" w:hAnsi="Times New Roman"/>
          <w:b w:val="false"/>
          <w:i w:val="false"/>
          <w:color w:val="000000"/>
          <w:sz w:val="24"/>
        </w:rPr>
        <w:t> </w:t>
      </w:r>
      <w:r>
        <w:rPr>
          <w:rFonts w:ascii="Times New Roman" w:hAnsi="Times New Roman"/>
          <w:b w:val="false"/>
          <w:i w:val="false"/>
          <w:color w:val="000000"/>
          <w:sz w:val="24"/>
        </w:rPr>
        <w:t>The department must ensure site release information and decisions concerning the Tier 1 assessment report, Tier 2 and Tier 3 site cleanup reports are made available to the public for inspection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135.13(3)</w:t>
      </w:r>
      <w:r>
        <w:rPr>
          <w:rFonts w:ascii="Times New Roman" w:hAnsi="Times New Roman"/>
          <w:b w:val="false"/>
          <w:i w:val="false"/>
          <w:color w:val="000000"/>
          <w:sz w:val="24"/>
        </w:rPr>
        <w:t> </w:t>
      </w:r>
      <w:r>
        <w:rPr>
          <w:rFonts w:ascii="Times New Roman" w:hAnsi="Times New Roman"/>
          <w:b w:val="false"/>
          <w:i w:val="false"/>
          <w:color w:val="000000"/>
          <w:sz w:val="24"/>
        </w:rPr>
        <w:t>Before approving the Tier 2 or Tier 3 site cleanup report, the department may hold a public meeting to consider comments on the proposed corrective action response if there is sufficient public interest, or for any other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135.13(4)</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must give a public notice that complies with </w:t>
      </w:r>
      <w:hyperlink r:id="rId597">
        <w:r>
          <w:rPr>
            <w:rStyle w:val="Hyperlink"/>
            <w:rFonts w:ascii="Times New Roman" w:hAnsi="Times New Roman"/>
            <w:b w:val="false"/>
            <w:i w:val="false"/>
            <w:color w:val="000000"/>
            <w:sz w:val="24"/>
          </w:rPr>
          <w:t>135.13(1)</w:t>
        </w:r>
      </w:hyperlink>
      <w:r>
        <w:rPr>
          <w:rFonts w:ascii="Times New Roman" w:hAnsi="Times New Roman"/>
          <w:b w:val="false"/>
          <w:i w:val="false"/>
          <w:color w:val="000000"/>
          <w:sz w:val="24"/>
        </w:rPr>
        <w:t xml:space="preserve"> above if the implementation of the approved Tier 2 or Tier 3 site cleanup report does not achieve the established cleanup levels in the report and the termination of that report is under consideration by the department.</w:t>
      </w:r>
    </w:p>
    <w:p>
      <w:pPr>
        <w:spacing w:before="0" w:after="0" w:line="480"/>
        <w:ind w:left="120"/>
        <w:jc w:val="both"/>
      </w:pPr>
      <w:r>
        <w:rPr>
          <w:rFonts w:ascii="Times New Roman" w:hAnsi="Times New Roman"/>
          <w:b/>
          <w:i w:val="false"/>
          <w:color w:val="000000"/>
          <w:sz w:val="24"/>
        </w:rPr>
        <w:t>567—135.14</w:t>
      </w:r>
      <w:r>
        <w:rPr>
          <w:rFonts w:ascii="Times New Roman" w:hAnsi="Times New Roman"/>
          <w:b/>
          <w:i w:val="false"/>
          <w:color w:val="000000"/>
          <w:sz w:val="24"/>
        </w:rPr>
        <w:t xml:space="preserve">(455B) </w:t>
      </w:r>
      <w:r>
        <w:rPr>
          <w:rFonts w:ascii="Times New Roman" w:hAnsi="Times New Roman"/>
          <w:b/>
          <w:i w:val="false"/>
          <w:color w:val="000000"/>
          <w:sz w:val="24"/>
        </w:rPr>
        <w:t xml:space="preserve">Action levels. </w:t>
      </w:r>
      <w:r>
        <w:rPr>
          <w:rFonts w:ascii="Times New Roman" w:hAnsi="Times New Roman"/>
          <w:b w:val="false"/>
          <w:i w:val="false"/>
          <w:color w:val="000000"/>
          <w:sz w:val="24"/>
        </w:rPr>
        <w:t xml:space="preserve">The following corrective action levels apply to petroleum-regulated substances as regulated by this chapter. These action levels shall be used to determine if further corrective action under </w:t>
      </w:r>
      <w:hyperlink r:id="rId598">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 xml:space="preserve"> through </w:t>
      </w:r>
      <w:hyperlink r:id="rId599">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or </w:t>
      </w:r>
      <w:hyperlink r:id="rId600">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is required as the result of tank closure sampling under </w:t>
      </w:r>
      <w:hyperlink r:id="rId601">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or other analytical results submitted to the department. The contaminant concentrations must be determined by laboratory analysis as stated in </w:t>
      </w:r>
      <w:hyperlink r:id="rId602">
        <w:r>
          <w:rPr>
            <w:rStyle w:val="Hyperlink"/>
            <w:rFonts w:ascii="Times New Roman" w:hAnsi="Times New Roman"/>
            <w:b w:val="false"/>
            <w:i w:val="false"/>
            <w:color w:val="000000"/>
            <w:sz w:val="24"/>
          </w:rPr>
          <w:t>567—135.16</w:t>
        </w:r>
      </w:hyperlink>
      <w:r>
        <w:rPr>
          <w:rFonts w:ascii="Times New Roman" w:hAnsi="Times New Roman"/>
          <w:b w:val="false"/>
          <w:i w:val="false"/>
          <w:color w:val="000000"/>
          <w:sz w:val="24"/>
        </w:rPr>
        <w:t>(455B). Final cleanup determination is not limited to these contaminants. The contamination corrective action levels are:</w:t>
      </w:r>
    </w:p>
    <w:tbl>
      <w:tblPr>
        <w:tblW w:w="0" w:type="auto"/>
        <w:tblCellSpacing w:w="0" w:type="auto"/>
        <w:tblBorders>
          <w:top w:val="none"/>
          <w:left w:val="none"/>
          <w:bottom w:val="none"/>
          <w:right w:val="none"/>
          <w:insideH w:val="none"/>
          <w:insideV w:val="none"/>
        </w:tblBorders>
        <w:tblLayout w:type="fixed"/>
      </w:tblPr>
      <w:tblGrid>
        <w:gridCol w:w="5376"/>
        <w:gridCol w:w="1920"/>
        <w:gridCol w:w="1920"/>
      </w:tblGrid>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Soil (mg/kg)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Groundwater (µg/L)</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0.54</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700</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w:t>
            </w:r>
          </w:p>
        </w:tc>
      </w:tr>
      <w:tr>
        <w:trPr>
          <w:trHeight w:val="345" w:hRule="atLeast"/>
        </w:trPr>
        <w:tc>
          <w:tcPr>
            <w:tcW w:w="537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Total Extractable</w:t>
            </w:r>
          </w:p>
          <w:p>
            <w:pPr>
              <w:spacing w:before="0" w:after="0" w:line="264"/>
              <w:ind w:left="160"/>
              <w:jc w:val="left"/>
            </w:pPr>
            <w:r>
              <w:rPr>
                <w:rFonts w:ascii="Times New Roman" w:hAnsi="Times New Roman"/>
                <w:b w:val="false"/>
                <w:i w:val="false"/>
                <w:color w:val="000000"/>
                <w:sz w:val="14"/>
              </w:rPr>
              <w:t>Hydrocarbons—Diesel</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3,800</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1,200</w:t>
            </w:r>
          </w:p>
        </w:tc>
      </w:tr>
      <w:tr>
        <w:trPr>
          <w:trHeight w:val="180" w:hRule="atLeast"/>
        </w:trPr>
        <w:tc>
          <w:tcPr>
            <w:tcW w:w="5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Extractable Hydrocarbons—Waste Oil</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400</w:t>
            </w:r>
          </w:p>
        </w:tc>
      </w:tr>
    </w:tbl>
    <w:p>
      <w:pPr>
        <w:spacing w:before="0" w:after="0" w:line="480"/>
        <w:ind w:left="120"/>
        <w:jc w:val="both"/>
      </w:pPr>
      <w:r>
        <w:rPr>
          <w:rFonts w:ascii="Times New Roman" w:hAnsi="Times New Roman"/>
          <w:b/>
          <w:i w:val="false"/>
          <w:color w:val="000000"/>
          <w:sz w:val="24"/>
        </w:rPr>
        <w:t>567—135.15</w:t>
      </w:r>
      <w:r>
        <w:rPr>
          <w:rFonts w:ascii="Times New Roman" w:hAnsi="Times New Roman"/>
          <w:b/>
          <w:i w:val="false"/>
          <w:color w:val="000000"/>
          <w:sz w:val="24"/>
        </w:rPr>
        <w:t xml:space="preserve">(455B) </w:t>
      </w:r>
      <w:r>
        <w:rPr>
          <w:rFonts w:ascii="Times New Roman" w:hAnsi="Times New Roman"/>
          <w:b/>
          <w:i w:val="false"/>
          <w:color w:val="000000"/>
          <w:sz w:val="24"/>
        </w:rPr>
        <w:t xml:space="preserve">Out-of-service UST systems, temporary closure, and permanent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135.15(1)</w:t>
      </w:r>
      <w:r>
        <w:rPr>
          <w:rFonts w:ascii="Times New Roman" w:hAnsi="Times New Roman"/>
          <w:b w:val="false"/>
          <w:i w:val="false"/>
          <w:color w:val="000000"/>
          <w:sz w:val="24"/>
        </w:rPr>
        <w:t> </w:t>
      </w:r>
      <w:r>
        <w:rPr>
          <w:rFonts w:ascii="Times New Roman" w:hAnsi="Times New Roman"/>
          <w:b w:val="false"/>
          <w:i/>
          <w:color w:val="000000"/>
          <w:sz w:val="24"/>
        </w:rPr>
        <w:t xml:space="preserve">Out-of-service UST systems and temporary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UST systems not meeting either the performance standards in </w:t>
      </w:r>
      <w:hyperlink r:id="rId603">
        <w:r>
          <w:rPr>
            <w:rStyle w:val="Hyperlink"/>
            <w:rFonts w:ascii="Times New Roman" w:hAnsi="Times New Roman"/>
            <w:b w:val="false"/>
            <w:i w:val="false"/>
            <w:color w:val="000000"/>
            <w:sz w:val="24"/>
          </w:rPr>
          <w:t>135.3(1)</w:t>
        </w:r>
      </w:hyperlink>
      <w:r>
        <w:rPr>
          <w:rFonts w:ascii="Times New Roman" w:hAnsi="Times New Roman"/>
          <w:b w:val="false"/>
          <w:i w:val="false"/>
          <w:color w:val="000000"/>
          <w:sz w:val="24"/>
        </w:rPr>
        <w:t xml:space="preserve"> for new UST systems or the upgrading requirements in </w:t>
      </w:r>
      <w:hyperlink r:id="rId604">
        <w:r>
          <w:rPr>
            <w:rStyle w:val="Hyperlink"/>
            <w:rFonts w:ascii="Times New Roman" w:hAnsi="Times New Roman"/>
            <w:b w:val="false"/>
            <w:i w:val="false"/>
            <w:color w:val="000000"/>
            <w:sz w:val="24"/>
          </w:rPr>
          <w:t>135.3(2)</w:t>
        </w:r>
      </w:hyperlink>
      <w:r>
        <w:rPr>
          <w:rFonts w:ascii="Times New Roman" w:hAnsi="Times New Roman"/>
          <w:b w:val="false"/>
          <w:i w:val="false"/>
          <w:color w:val="000000"/>
          <w:sz w:val="24"/>
        </w:rPr>
        <w:t xml:space="preserve"> by December 22, 1998, must be permanently closed according to </w:t>
      </w:r>
      <w:hyperlink r:id="rId605">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 The tanks cannot be brought back into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UST system in compliance with new tank standards is out of service for less than three months, owners and operators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operation and maintenance of corrosion protection in accordance with </w:t>
      </w:r>
      <w:hyperlink r:id="rId606">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operation and maintenance of any release detection in accordance with </w:t>
      </w:r>
      <w:hyperlink r:id="rId607">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 unless the system is empty. The UST system is empty when all materials have been removed using commonly employed practices. No more than 2.5 centimeters (one inch) of residue, or 0.3 percent by weight of the total capacity of the UST system, may remain in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w:t>
      </w:r>
      <w:hyperlink r:id="rId608">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through </w:t>
      </w:r>
      <w:hyperlink r:id="rId60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if a release is suspected or confirmed;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 financial responsibility in accordance with </w:t>
      </w:r>
      <w:hyperlink r:id="rId610">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to pay the tank management fee as required in </w:t>
      </w:r>
      <w:hyperlink r:id="rId611">
        <w:r>
          <w:rPr>
            <w:rStyle w:val="Hyperlink"/>
            <w:rFonts w:ascii="Times New Roman" w:hAnsi="Times New Roman"/>
            <w:b w:val="false"/>
            <w:i w:val="false"/>
            <w:color w:val="000000"/>
            <w:sz w:val="24"/>
          </w:rPr>
          <w:t>135.3(5)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to have compliance inspections conducted as required in </w:t>
      </w:r>
      <w:hyperlink r:id="rId612">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UST system is out of service for three months or more, an owner must submit a notification of temporary closure form to the department. Owners and operators must complete the requirements in </w:t>
      </w:r>
      <w:hyperlink r:id="rId613">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temporary closure and certify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UST system is empty of all regulated substances (e.g., receipt of product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Vent lines are open and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other piping, pumps, accesses, and ancillary equipment are capped and locked.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corrosion protection system is being maintained in accordance with </w:t>
      </w:r>
      <w:hyperlink r:id="rId614">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 financial responsibility (e.g., insurance) according to </w:t>
      </w:r>
      <w:hyperlink r:id="rId615">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tank system is temporarily closed for more than 12 months, the owner must remain in compliance with the department’s temporary closure requirements in </w:t>
      </w:r>
      <w:hyperlink r:id="rId616">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department may provide an extension to the 12-month temporary closure period. Owners and operators must complete a site check in accordance with </w:t>
      </w:r>
      <w:hyperlink r:id="rId617">
        <w:r>
          <w:rPr>
            <w:rStyle w:val="Hyperlink"/>
            <w:rFonts w:ascii="Times New Roman" w:hAnsi="Times New Roman"/>
            <w:b w:val="false"/>
            <w:i w:val="false"/>
            <w:color w:val="000000"/>
            <w:sz w:val="24"/>
          </w:rPr>
          <w:t>135.6(3)</w:t>
        </w:r>
      </w:hyperlink>
      <w:r>
        <w:rPr>
          <w:rFonts w:ascii="Times New Roman" w:hAnsi="Times New Roman"/>
          <w:b w:val="false"/>
          <w:i/>
          <w:color w:val="000000"/>
          <w:sz w:val="24"/>
        </w:rPr>
        <w:t>“b”</w:t>
      </w:r>
      <w:r>
        <w:rPr>
          <w:rFonts w:ascii="Times New Roman" w:hAnsi="Times New Roman"/>
          <w:b w:val="false"/>
          <w:i w:val="false"/>
          <w:color w:val="000000"/>
          <w:sz w:val="24"/>
        </w:rPr>
        <w:t xml:space="preserve"> before such an extension can be applied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a tank system is temporarily closed for more than 12 months, but the tank system has not been temporarily closed according to the requirements of </w:t>
      </w:r>
      <w:hyperlink r:id="rId618">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“c,”</w:t>
      </w:r>
      <w:r>
        <w:rPr>
          <w:rFonts w:ascii="Times New Roman" w:hAnsi="Times New Roman"/>
          <w:b w:val="false"/>
          <w:i w:val="false"/>
          <w:color w:val="000000"/>
          <w:sz w:val="24"/>
        </w:rPr>
        <w:t xml:space="preserve"> or the owner or operator has failed to maintain out-of-service requirements in </w:t>
      </w:r>
      <w:hyperlink r:id="rId619">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UST system must be permanently closed in accordance with </w:t>
      </w:r>
      <w:hyperlink r:id="rId620">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Prior to returning a temporarily closed tank back into service, the owner or operator must complete and submit the department’s return-to-service form signed by the owner/operator and provide the following documentation unless otherwise approved by the department. The tank system cannot be operated or receive fuel until current tank tags have been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Where applicable, documentation that corrosion protection has been maintained continuously in accordance with </w:t>
      </w:r>
      <w:hyperlink r:id="rId621">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 The owner or operator must provide an inspection log of the cathodic protection system and the inspection report of the cathodic protection system completed by an Iowa-certified cathodic protection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lined tanks, provide a lining and tank integrity inspection report in accordance with </w:t>
      </w:r>
      <w:hyperlink r:id="rId622">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precision tightness tests (0.1 gph) conducted on tanks in accordance with </w:t>
      </w:r>
      <w:hyperlink r:id="rId623">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precision tightness tests (0.1 gph) conducted on lines in accordance with </w:t>
      </w:r>
      <w:hyperlink r:id="rId624">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Function test (3.0 gph) results of mechanical or electronic leak detectors conducted in accordance with </w:t>
      </w:r>
      <w:hyperlink r:id="rId625">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Tank and piping leak detection is operational and in good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test results of the periodic testing of spill and overfill prevention equipment and containment sumps used for interstitial monitoring in accordance with </w:t>
      </w:r>
      <w:hyperlink r:id="rId626">
        <w:r>
          <w:rPr>
            <w:rStyle w:val="Hyperlink"/>
            <w:rFonts w:ascii="Times New Roman" w:hAnsi="Times New Roman"/>
            <w:b w:val="false"/>
            <w:i w:val="false"/>
            <w:color w:val="000000"/>
            <w:sz w:val="24"/>
          </w:rPr>
          <w:t>135.4(12)</w:t>
        </w:r>
      </w:hyperlink>
      <w:r>
        <w:rPr>
          <w:rFonts w:ascii="Times New Roman" w:hAnsi="Times New Roman"/>
          <w:b w:val="false"/>
          <w:i w:val="false"/>
          <w:color w:val="000000"/>
          <w:sz w:val="24"/>
        </w:rPr>
        <w:t xml:space="preserve"> in the last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Copy of the financial responsibility (e.g., UST insurance) mechanism in accordance with </w:t>
      </w:r>
      <w:hyperlink r:id="rId627">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Copies of Class A and Class B operator training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Change of ownership form (if the UST system was sold).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135.15(2)</w:t>
      </w:r>
      <w:r>
        <w:rPr>
          <w:rFonts w:ascii="Times New Roman" w:hAnsi="Times New Roman"/>
          <w:b w:val="false"/>
          <w:i w:val="false"/>
          <w:color w:val="000000"/>
          <w:sz w:val="24"/>
        </w:rPr>
        <w:t> </w:t>
      </w:r>
      <w:r>
        <w:rPr>
          <w:rFonts w:ascii="Times New Roman" w:hAnsi="Times New Roman"/>
          <w:b w:val="false"/>
          <w:i/>
          <w:color w:val="000000"/>
          <w:sz w:val="24"/>
        </w:rPr>
        <w:t xml:space="preserve">Permanent closure and changes-in-service. </w:t>
      </w:r>
      <w:r>
        <w:rPr>
          <w:rFonts w:ascii="Times New Roman" w:hAnsi="Times New Roman"/>
          <w:b w:val="false"/>
          <w:i w:val="false"/>
          <w:color w:val="000000"/>
          <w:sz w:val="24"/>
        </w:rPr>
        <w:t>Permanent closure of an underground storage tank system must be conducted by an Iowa-certified tank remover. Closure sampling must be conducted by or under the supervision of an Iowa-certified groundwater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At least 30 days before beginning either permanent closure or a change-in-service under </w:t>
      </w:r>
      <w:hyperlink r:id="rId628">
        <w:r>
          <w:rPr>
            <w:rStyle w:val="Hyperlink"/>
            <w:rFonts w:ascii="Times New Roman" w:hAnsi="Times New Roman"/>
            <w:b w:val="false"/>
            <w:i w:val="false"/>
            <w:color w:val="000000"/>
            <w:sz w:val="24"/>
          </w:rPr>
          <w:t>135.15(2)</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owners and operators must notify the department of their intent to permanently close or make the change-in-service. An owner or operator must seek prior approval to permanently close a tank in a time frame shorter than the 30-day notice. The required assessment of the excavation zone under </w:t>
      </w:r>
      <w:hyperlink r:id="rId629">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must be performed after notifying the department but before completion of the permanent closure or a change-in-service.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permanently close a tank or piping, owners and operators must empty and clean them by removing all liquids and accumulated sludge. All tanks taken out of service permanently must also be removed from the ground, filled with an inert solid material, or closed in place by a method approved by the department. Piping must be removed from the ground or have the ends plugged with an inert solid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Continued use of a UST system to store a nonregulated substance is considered a change-in-service. Before a change-in-service, owners and operators must empty and clean the tank by removing all liquid and accumulated sludge and conduct a site assessment in accordance with </w:t>
      </w:r>
      <w:hyperlink r:id="rId630">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Permanent closure procedures must be followed in the replacement of tanks or piping. Notification must be made using DNR Form 542-1308, “Notification of Tank Closure or Change-in-Service.” The form must include the date scheduled for the closure. Confirmation of the closure date must be given to the DNR field office 24 hours prior to the actual closure. The required assessment of the excavation zone under </w:t>
      </w:r>
      <w:hyperlink r:id="rId631">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must be performed after notifying the department but before completion of the permanent closure or change-in-service.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cleaning and closure procedures listed in 40 CFR 280.71(c) may be used to comply with </w:t>
      </w:r>
      <w:hyperlink r:id="rId632">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135.15(3)</w:t>
      </w:r>
      <w:r>
        <w:rPr>
          <w:rFonts w:ascii="Times New Roman" w:hAnsi="Times New Roman"/>
          <w:b w:val="false"/>
          <w:i w:val="false"/>
          <w:color w:val="000000"/>
          <w:sz w:val="24"/>
        </w:rPr>
        <w:t> </w:t>
      </w:r>
      <w:r>
        <w:rPr>
          <w:rFonts w:ascii="Times New Roman" w:hAnsi="Times New Roman"/>
          <w:b w:val="false"/>
          <w:i/>
          <w:color w:val="000000"/>
          <w:sz w:val="24"/>
        </w:rPr>
        <w:t xml:space="preserve">Assessing the site at closure or change-in-service.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Before permanent closure or a change-in-service is completed, owners or operators must measure for the presence of a release where contamination is most likely to be present at the UST site. This soil and groundwater closure investigation must be conducted or supervised by a groundwater professional certified under </w:t>
      </w:r>
      <w:hyperlink r:id="rId633">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unless the department in its discretion grants an exemption and provides direct supervision of the closure investigation. In selecting the sample types, sample locations, and measurement methods, owners and operators must consider the method of closure, the nature of the stored substance, the type of backfill, the depth to groundwater, and other factors appropriate for identifying the presence of a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 UST sites with a history of petroleum storage, soil and groundwater samples shall in every case be analyzed for benzene, toluene, ethylbenzene, and xylenes (BTEX) with each compound reported separately in accordance with </w:t>
      </w:r>
      <w:hyperlink r:id="rId634">
        <w:r>
          <w:rPr>
            <w:rStyle w:val="Hyperlink"/>
            <w:rFonts w:ascii="Times New Roman" w:hAnsi="Times New Roman"/>
            <w:b w:val="false"/>
            <w:i w:val="false"/>
            <w:color w:val="000000"/>
            <w:sz w:val="24"/>
          </w:rPr>
          <w:t>567—135.16(455B)</w:t>
        </w:r>
      </w:hyperlink>
      <w:r>
        <w:rPr>
          <w:rFonts w:ascii="Times New Roman" w:hAnsi="Times New Roman"/>
          <w:b w:val="false"/>
          <w:i w:val="false"/>
          <w:color w:val="000000"/>
          <w:sz w:val="24"/>
        </w:rPr>
        <w:t xml:space="preserve">. If there has been a history or suspected history of petroleum storage other than gasoline or gasoline blends (i.e., all grades of diesel fuels, fuel oil, kerosene, oil and mineral spirits), or such storage history is unknown or uncertain, soil and groundwater samples shall also be analyzed for total extractable hydrocarbons in accordance with </w:t>
      </w:r>
      <w:hyperlink r:id="rId635">
        <w:r>
          <w:rPr>
            <w:rStyle w:val="Hyperlink"/>
            <w:rFonts w:ascii="Times New Roman" w:hAnsi="Times New Roman"/>
            <w:b w:val="false"/>
            <w:i w:val="false"/>
            <w:color w:val="000000"/>
            <w:sz w:val="24"/>
          </w:rPr>
          <w:t>567—135.16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All such samples shall be collected separately and shipped to a laboratory certified under </w:t>
      </w:r>
      <w:hyperlink r:id="rId636">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xml:space="preserve"> within 72 hours of collection. Samples shall be refrigerated and protected from freezing during shipment to the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a UST is removed from an area of confirmed contamination, the department may waive closure sampling if written documentation is submitted with the closure notification. Documentation should include laboratory analytical reports and a site map showing tank and piping locations along with contamination plume and sampling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permanent tank and piping closures or changes-in-service, at least one water sample must be taken from the first saturated groundwater zone via a developed monitoring well except as provided in </w:t>
      </w:r>
      <w:hyperlink r:id="rId637">
        <w:r>
          <w:rPr>
            <w:rStyle w:val="Hyperlink"/>
            <w:rFonts w:ascii="Times New Roman" w:hAnsi="Times New Roman"/>
            <w:b w:val="false"/>
            <w:i w:val="false"/>
            <w:color w:val="000000"/>
            <w:sz w:val="24"/>
          </w:rPr>
          <w:t>135.15(3)</w:t>
        </w:r>
      </w:hyperlink>
      <w:r>
        <w:rPr>
          <w:rFonts w:ascii="Times New Roman" w:hAnsi="Times New Roman"/>
          <w:b w:val="false"/>
          <w:i/>
          <w:color w:val="000000"/>
          <w:sz w:val="24"/>
        </w:rPr>
        <w:t>“g.”</w:t>
      </w:r>
      <w:r>
        <w:rPr>
          <w:rFonts w:ascii="Times New Roman" w:hAnsi="Times New Roman"/>
          <w:b w:val="false"/>
          <w:i w:val="false"/>
          <w:color w:val="000000"/>
          <w:sz w:val="24"/>
        </w:rPr>
        <w:t> The well must be located downgradient from and as close as possible to the UST system but no farther away than 20 feet from system components. At some tank and piping closures, a minimum of one monitoring well may not be sufficient to represent a release where it is most likely to be present. An additional groundwater monitoring well or wells may be necessary.</w:t>
      </w:r>
    </w:p>
    <w:p>
      <w:pPr>
        <w:spacing w:before="0" w:after="0" w:line="480"/>
        <w:ind w:left="120"/>
        <w:jc w:val="both"/>
      </w:pPr>
      <w:r>
        <w:rPr>
          <w:rFonts w:ascii="Times New Roman" w:hAnsi="Times New Roman"/>
          <w:b w:val="false"/>
          <w:i w:val="false"/>
          <w:color w:val="000000"/>
          <w:sz w:val="24"/>
        </w:rPr>
        <w:t>If, however, the first saturated groundwater zone is not encountered within 10 feet below the lowest elevation of the tank excavation, the requirement for groundwater sampling shall not apply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Sands or highly permeable soils are encountered within 10 feet below the lowest level of the tank excavation that together with the underlying geology would, in the judgment of the department, pose the reasonable possibility that contamination may have reached groundwaters deeper than 10 feet below the lowest level of the tank excavation. The method of determining highly permeable soil is found in the departmental guidance document entitled “Underground Storage Tank Closure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Indications of potential groundwater contamination, including petroleum products in utility lines, petroleum products in private wells, petroleum product vapors in basements or other structures, occur in the area of the tank installation undergoing closure or change-in-service.</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permanent closure by tank removal, the departmental guidance document entitled “Underground Storage Tank Closure Guidance” must be followed. The minimum number of soil samples that must be taken depends on the tank size and length of product piping. Samples must be taken at a depth of one to two feet beneath the tank fill area below the base of the tank along the tank’s centerline. Soil samples must also be taken at least every ten feet along the product piping at a depth of one to two feet beneath the piping fill area below the piping, unless alternate sampling is approved by the department.</w:t>
      </w:r>
    </w:p>
    <w:p>
      <w:pPr>
        <w:spacing w:before="0" w:after="0" w:line="480"/>
        <w:ind w:left="120"/>
        <w:jc w:val="both"/>
      </w:pPr>
      <w:r>
        <w:rPr>
          <w:rFonts w:ascii="Times New Roman" w:hAnsi="Times New Roman"/>
          <w:b w:val="false"/>
          <w:i w:val="false"/>
          <w:color w:val="000000"/>
          <w:sz w:val="24"/>
        </w:rPr>
        <w:t>If sands or other highly permeable soils are encountered, alternative sampling methods may be required.</w:t>
      </w:r>
    </w:p>
    <w:p>
      <w:pPr>
        <w:spacing w:before="0" w:after="0" w:line="480"/>
        <w:ind w:left="120"/>
        <w:jc w:val="both"/>
      </w:pPr>
      <w:r>
        <w:rPr>
          <w:rFonts w:ascii="Times New Roman" w:hAnsi="Times New Roman"/>
          <w:b w:val="false"/>
          <w:i w:val="false"/>
          <w:color w:val="000000"/>
          <w:sz w:val="24"/>
        </w:rPr>
        <w:t>If contamination is suspected or found in any area within the excavation (i.e., sidewall or bottom), a soil sample must be taken at that location.</w:t>
      </w:r>
    </w:p>
    <w:p>
      <w:pPr>
        <w:spacing w:before="0" w:after="0" w:line="480"/>
        <w:ind w:left="120"/>
        <w:jc w:val="both"/>
      </w:pPr>
      <w:r>
        <w:rPr>
          <w:rFonts w:ascii="Times New Roman" w:hAnsi="Times New Roman"/>
          <w:b w:val="false"/>
          <w:i w:val="false"/>
          <w:color w:val="000000"/>
          <w:sz w:val="24"/>
        </w:rPr>
        <w:t>The numbers of samples required for tanks are as follows:</w:t>
      </w:r>
    </w:p>
    <w:tbl>
      <w:tblPr>
        <w:tblW w:w="0" w:type="auto"/>
        <w:tblCellSpacing w:w="0" w:type="auto"/>
        <w:tblBorders>
          <w:top w:val="none"/>
          <w:left w:val="none"/>
          <w:bottom w:val="none"/>
          <w:right w:val="none"/>
          <w:insideH w:val="none"/>
          <w:insideV w:val="none"/>
        </w:tblBorders>
        <w:tblLayout w:type="fixed"/>
      </w:tblPr>
      <w:tblGrid>
        <w:gridCol w:w="1484"/>
        <w:gridCol w:w="1484"/>
        <w:gridCol w:w="1942"/>
        <w:gridCol w:w="5333"/>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 (gallons)</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Samples</w:t>
            </w:r>
          </w:p>
        </w:tc>
        <w:tc>
          <w:tcPr>
            <w:tcW w:w="5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Location on Centerline</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 or less</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center of tank</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1,001 - 8,000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from ends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8,001 - 30,000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feet from ends and at center of tank</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30,001 - 40,000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and 15 feet from ends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40,001 and more</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and 15 feet from ends and at center of tank</w:t>
            </w:r>
          </w:p>
        </w:tc>
      </w:tr>
    </w:tbl>
    <w:p>
      <w:pPr>
        <w:spacing w:before="0" w:after="0" w:line="480"/>
        <w:ind w:left="120"/>
        <w:jc w:val="both"/>
      </w:pP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closing a tank in place by filling with an inert solid material or for a change-in-service, the departmental guidance document entitled “Underground Storage Tank Closure Guidance” must be followed. The minimum number of soil borings required for sampling depends on the size of the tank and the length of the product piping. Soil samples must be taken within five feet of the sides and ends of the tank at a depth of two to four feet below the base of the tank, but outside the backfill material, at equal intervals around the tank. Soil samples must also be taken at least every ten feet along the product piping at a depth of one to two feet beneath the piping fill area below the piping, unless alternate sampling is approved by the department. If sands or other highly permeable soils are encountered, alternative sampling methods may be required.</w:t>
      </w:r>
    </w:p>
    <w:p>
      <w:pPr>
        <w:spacing w:before="0" w:after="0" w:line="480"/>
        <w:ind w:left="120"/>
        <w:jc w:val="both"/>
      </w:pPr>
      <w:r>
        <w:rPr>
          <w:rFonts w:ascii="Times New Roman" w:hAnsi="Times New Roman"/>
          <w:b w:val="false"/>
          <w:i w:val="false"/>
          <w:color w:val="000000"/>
          <w:sz w:val="24"/>
        </w:rPr>
        <w:t>The minimum numbers of soil borings and samples required are as follows:</w:t>
      </w:r>
    </w:p>
    <w:tbl>
      <w:tblPr>
        <w:tblW w:w="0" w:type="auto"/>
        <w:tblCellSpacing w:w="0" w:type="auto"/>
        <w:tblBorders>
          <w:top w:val="none"/>
          <w:left w:val="none"/>
          <w:bottom w:val="none"/>
          <w:right w:val="none"/>
          <w:insideH w:val="none"/>
          <w:insideV w:val="none"/>
        </w:tblBorders>
        <w:tblLayout w:type="fixed"/>
      </w:tblPr>
      <w:tblGrid>
        <w:gridCol w:w="2880"/>
        <w:gridCol w:w="2304"/>
        <w:gridCol w:w="4608"/>
      </w:tblGrid>
      <w:tr>
        <w:trPr>
          <w:trHeight w:val="345" w:hRule="atLeast"/>
        </w:trPr>
        <w:tc>
          <w:tcPr>
            <w:tcW w:w="28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w:t>
            </w:r>
            <w:r>
              <w:br/>
            </w:r>
            <w:r>
              <w:rPr>
                <w:rFonts w:ascii="Times New Roman" w:hAnsi="Times New Roman"/>
                <w:b w:val="false"/>
                <w:i w:val="false"/>
                <w:color w:val="000000"/>
                <w:sz w:val="14"/>
              </w:rPr>
              <w:t>(gallons)</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Number of </w:t>
            </w:r>
            <w:r>
              <w:br/>
            </w:r>
            <w:r>
              <w:rPr>
                <w:rFonts w:ascii="Times New Roman" w:hAnsi="Times New Roman"/>
                <w:b w:val="false"/>
                <w:i w:val="false"/>
                <w:color w:val="000000"/>
                <w:sz w:val="14"/>
              </w:rPr>
              <w:t>Samples</w:t>
            </w:r>
          </w:p>
        </w:tc>
        <w:tc>
          <w:tcPr>
            <w:tcW w:w="460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Location of Samples</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6,000 or less</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each side</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6,001 - 12,000</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2 each side</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12,001 or more</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3 each side</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closure report in a format prescribed by the department must be submitted to the department within 45 days of the tank removal or closure in place. Refer to the Underground Storage Tank Closure Guidance for reporting format. The tank tags must be returned with the closure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requirements of this subrule are satisfied if one of the external release detection methods allowed in </w:t>
      </w:r>
      <w:hyperlink r:id="rId63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is operating in accordance with the requirements in </w:t>
      </w:r>
      <w:hyperlink r:id="rId639">
        <w:r>
          <w:rPr>
            <w:rStyle w:val="Hyperlink"/>
            <w:rFonts w:ascii="Times New Roman" w:hAnsi="Times New Roman"/>
            <w:b w:val="false"/>
            <w:i w:val="false"/>
            <w:color w:val="000000"/>
            <w:sz w:val="24"/>
          </w:rPr>
          <w:t>135.5(4)</w:t>
        </w:r>
      </w:hyperlink>
      <w:r>
        <w:rPr>
          <w:rFonts w:ascii="Times New Roman" w:hAnsi="Times New Roman"/>
          <w:b w:val="false"/>
          <w:i w:val="false"/>
          <w:color w:val="000000"/>
          <w:sz w:val="24"/>
        </w:rPr>
        <w:t xml:space="preserve"> at the time of closure and indicates no release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If contaminated soils, contaminated groundwater, or free product as a liquid or vapor is discovered during the site assessment or by any other manner, contact the department in accordance with </w:t>
      </w:r>
      <w:hyperlink r:id="rId640">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 xml:space="preserve">. Normal closure procedures no longer apply. Owners and operators must begin corrective action in accordance with </w:t>
      </w:r>
      <w:hyperlink r:id="rId641">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through </w:t>
      </w:r>
      <w:hyperlink r:id="rId642">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Identification of free product requires immediate response in accordance with </w:t>
      </w:r>
      <w:hyperlink r:id="rId643">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 xml:space="preserve">. If contamination appears extensive or the groundwater is known to be contaminated, a full assessment of the contamination will be required. When a full assessment is required or anticipated, collection of the required closure samples is not required. If contamination appears limited to soils, overexcavation of the contaminated soils in accordance with </w:t>
      </w:r>
      <w:hyperlink r:id="rId644">
        <w:r>
          <w:rPr>
            <w:rStyle w:val="Hyperlink"/>
            <w:rFonts w:ascii="Times New Roman" w:hAnsi="Times New Roman"/>
            <w:b w:val="false"/>
            <w:i w:val="false"/>
            <w:color w:val="000000"/>
            <w:sz w:val="24"/>
          </w:rPr>
          <w:t>135.15(4)</w:t>
        </w:r>
      </w:hyperlink>
      <w:r>
        <w:rPr>
          <w:rFonts w:ascii="Times New Roman" w:hAnsi="Times New Roman"/>
          <w:b w:val="false"/>
          <w:i w:val="false"/>
          <w:color w:val="000000"/>
          <w:sz w:val="24"/>
        </w:rPr>
        <w:t xml:space="preserve"> may be allowed at the time of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135.15(4)</w:t>
      </w:r>
      <w:r>
        <w:rPr>
          <w:rFonts w:ascii="Times New Roman" w:hAnsi="Times New Roman"/>
          <w:b w:val="false"/>
          <w:i w:val="false"/>
          <w:color w:val="000000"/>
          <w:sz w:val="24"/>
        </w:rPr>
        <w:t> </w:t>
      </w:r>
      <w:r>
        <w:rPr>
          <w:rFonts w:ascii="Times New Roman" w:hAnsi="Times New Roman"/>
          <w:b w:val="false"/>
          <w:i/>
          <w:color w:val="000000"/>
          <w:sz w:val="24"/>
        </w:rPr>
        <w:t xml:space="preserve">Overexcavation of contaminated soils at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contaminated soils are discovered while assessing a site at closure in accordance with </w:t>
      </w:r>
      <w:hyperlink r:id="rId645">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owners and operators may overexcavate up to one foot of the contaminated soils surrounding the tank pit. The contamination and overexcavation must be reported to the department in accordance with the requirements of </w:t>
      </w:r>
      <w:hyperlink r:id="rId646">
        <w:r>
          <w:rPr>
            <w:rStyle w:val="Hyperlink"/>
            <w:rFonts w:ascii="Times New Roman" w:hAnsi="Times New Roman"/>
            <w:b w:val="false"/>
            <w:i w:val="false"/>
            <w:color w:val="000000"/>
            <w:sz w:val="24"/>
          </w:rPr>
          <w:t>135.6(4)</w:t>
        </w:r>
      </w:hyperlink>
      <w:r>
        <w:rPr>
          <w:rFonts w:ascii="Times New Roman" w:hAnsi="Times New Roman"/>
          <w:b w:val="false"/>
          <w:i/>
          <w:color w:val="000000"/>
          <w:sz w:val="24"/>
        </w:rPr>
        <w:t>“a”</w:t>
      </w:r>
      <w:r>
        <w:rPr>
          <w:rFonts w:ascii="Times New Roman" w:hAnsi="Times New Roman"/>
          <w:b w:val="false"/>
          <w:i w:val="false"/>
          <w:color w:val="000000"/>
          <w:sz w:val="24"/>
        </w:rPr>
        <w:t xml:space="preserve"> prior to backfilling the excavation. If excavation is limited to one foot of contaminated soils, a soil sample shall be taken and laboratory analyzed in accordance with </w:t>
      </w:r>
      <w:hyperlink r:id="rId647">
        <w:r>
          <w:rPr>
            <w:rStyle w:val="Hyperlink"/>
            <w:rFonts w:ascii="Times New Roman" w:hAnsi="Times New Roman"/>
            <w:b w:val="false"/>
            <w:i w:val="false"/>
            <w:color w:val="000000"/>
            <w:sz w:val="24"/>
          </w:rPr>
          <w:t>567—135.16(455B)</w:t>
        </w:r>
      </w:hyperlink>
      <w:r>
        <w:rPr>
          <w:rFonts w:ascii="Times New Roman" w:hAnsi="Times New Roman"/>
          <w:b w:val="false"/>
          <w:i w:val="false"/>
          <w:color w:val="000000"/>
          <w:sz w:val="24"/>
        </w:rPr>
        <w:t xml:space="preserve"> from the area showing the greatest contamination. Any overexcavation of contaminated soils beyond one foot of contaminated soils is considered expedited corrective action and must be conducted by or under supervision of a certified groundwater professional in accordance with the procedures in </w:t>
      </w:r>
      <w:hyperlink r:id="rId648">
        <w:r>
          <w:rPr>
            <w:rStyle w:val="Hyperlink"/>
            <w:rFonts w:ascii="Times New Roman" w:hAnsi="Times New Roman"/>
            <w:b w:val="false"/>
            <w:i w:val="false"/>
            <w:color w:val="000000"/>
            <w:sz w:val="24"/>
          </w:rPr>
          <w:t>135.12(11)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Excavated contaminated soils must be properly disposed in accordance with </w:t>
      </w:r>
      <w:hyperlink r:id="rId649">
        <w:r>
          <w:rPr>
            <w:rStyle w:val="Hyperlink"/>
            <w:rFonts w:ascii="Times New Roman" w:hAnsi="Times New Roman"/>
            <w:b w:val="false"/>
            <w:i w:val="false"/>
            <w:color w:val="000000"/>
            <w:sz w:val="24"/>
          </w:rPr>
          <w:t>567—Chapters 100</w:t>
        </w:r>
      </w:hyperlink>
      <w:r>
        <w:rPr>
          <w:rFonts w:ascii="Times New Roman" w:hAnsi="Times New Roman"/>
          <w:b w:val="false"/>
          <w:i w:val="false"/>
          <w:color w:val="000000"/>
          <w:sz w:val="24"/>
        </w:rPr>
        <w:t xml:space="preserve">, </w:t>
      </w:r>
      <w:hyperlink r:id="rId650">
        <w:r>
          <w:rPr>
            <w:rStyle w:val="Hyperlink"/>
            <w:rFonts w:ascii="Times New Roman" w:hAnsi="Times New Roman"/>
            <w:b w:val="false"/>
            <w:i w:val="false"/>
            <w:color w:val="000000"/>
            <w:sz w:val="24"/>
          </w:rPr>
          <w:t>101</w:t>
        </w:r>
      </w:hyperlink>
      <w:r>
        <w:rPr>
          <w:rFonts w:ascii="Times New Roman" w:hAnsi="Times New Roman"/>
          <w:b w:val="false"/>
          <w:i w:val="false"/>
          <w:color w:val="000000"/>
          <w:sz w:val="24"/>
        </w:rPr>
        <w:t xml:space="preserve">, </w:t>
      </w:r>
      <w:hyperlink r:id="rId651">
        <w:r>
          <w:rPr>
            <w:rStyle w:val="Hyperlink"/>
            <w:rFonts w:ascii="Times New Roman" w:hAnsi="Times New Roman"/>
            <w:b w:val="false"/>
            <w:i w:val="false"/>
            <w:color w:val="000000"/>
            <w:sz w:val="24"/>
          </w:rPr>
          <w:t>102</w:t>
        </w:r>
      </w:hyperlink>
      <w:r>
        <w:rPr>
          <w:rFonts w:ascii="Times New Roman" w:hAnsi="Times New Roman"/>
          <w:b w:val="false"/>
          <w:i w:val="false"/>
          <w:color w:val="000000"/>
          <w:sz w:val="24"/>
        </w:rPr>
        <w:t xml:space="preserve">, </w:t>
      </w:r>
      <w:hyperlink r:id="rId652">
        <w:r>
          <w:rPr>
            <w:rStyle w:val="Hyperlink"/>
            <w:rFonts w:ascii="Times New Roman" w:hAnsi="Times New Roman"/>
            <w:b w:val="false"/>
            <w:i w:val="false"/>
            <w:color w:val="000000"/>
            <w:sz w:val="24"/>
          </w:rPr>
          <w:t>120</w:t>
        </w:r>
      </w:hyperlink>
      <w:r>
        <w:rPr>
          <w:rFonts w:ascii="Times New Roman" w:hAnsi="Times New Roman"/>
          <w:b w:val="false"/>
          <w:i w:val="false"/>
          <w:color w:val="000000"/>
          <w:sz w:val="24"/>
        </w:rPr>
        <w:t xml:space="preserve">, and </w:t>
      </w:r>
      <w:hyperlink r:id="rId653">
        <w:r>
          <w:rPr>
            <w:rStyle w:val="Hyperlink"/>
            <w:rFonts w:ascii="Times New Roman" w:hAnsi="Times New Roman"/>
            <w:b w:val="false"/>
            <w:i w:val="false"/>
            <w:color w:val="000000"/>
            <w:sz w:val="24"/>
          </w:rPr>
          <w:t>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report must be submitted to the department within 30 days of completion of the laboratory analysis. The report must include the requirements of </w:t>
      </w:r>
      <w:hyperlink r:id="rId654">
        <w:r>
          <w:rPr>
            <w:rStyle w:val="Hyperlink"/>
            <w:rFonts w:ascii="Times New Roman" w:hAnsi="Times New Roman"/>
            <w:b w:val="false"/>
            <w:i w:val="false"/>
            <w:color w:val="000000"/>
            <w:sz w:val="24"/>
          </w:rPr>
          <w:t>135.15(3)</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a dimensional drawing showing the depth and area of the excavation prior to and after overexcavation. The area of contamination must be shown.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135.15(5)</w:t>
      </w:r>
      <w:r>
        <w:rPr>
          <w:rFonts w:ascii="Times New Roman" w:hAnsi="Times New Roman"/>
          <w:b w:val="false"/>
          <w:i w:val="false"/>
          <w:color w:val="000000"/>
          <w:sz w:val="24"/>
        </w:rPr>
        <w:t> </w:t>
      </w:r>
      <w:r>
        <w:rPr>
          <w:rFonts w:ascii="Times New Roman" w:hAnsi="Times New Roman"/>
          <w:b w:val="false"/>
          <w:i/>
          <w:color w:val="000000"/>
          <w:sz w:val="24"/>
        </w:rPr>
        <w:t xml:space="preserve">Applicability to previously closed UST systems. </w:t>
      </w:r>
      <w:r>
        <w:rPr>
          <w:rFonts w:ascii="Times New Roman" w:hAnsi="Times New Roman"/>
          <w:b w:val="false"/>
          <w:i w:val="false"/>
          <w:color w:val="000000"/>
          <w:sz w:val="24"/>
        </w:rPr>
        <w:t>When directed by the department, the owner and operator of a UST system permanently closed before October 24, 1988, must assess the excavation zone and close the UST system in accordance with this rule if releases from the UST may, in the judgment of the department, pose a current or potential threat to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135.15(6)</w:t>
      </w:r>
      <w:r>
        <w:rPr>
          <w:rFonts w:ascii="Times New Roman" w:hAnsi="Times New Roman"/>
          <w:b w:val="false"/>
          <w:i w:val="false"/>
          <w:color w:val="000000"/>
          <w:sz w:val="24"/>
        </w:rPr>
        <w:t> </w:t>
      </w:r>
      <w:r>
        <w:rPr>
          <w:rFonts w:ascii="Times New Roman" w:hAnsi="Times New Roman"/>
          <w:b w:val="false"/>
          <w:i/>
          <w:color w:val="000000"/>
          <w:sz w:val="24"/>
        </w:rPr>
        <w:t xml:space="preserve">Closure records. </w:t>
      </w:r>
      <w:r>
        <w:rPr>
          <w:rFonts w:ascii="Times New Roman" w:hAnsi="Times New Roman"/>
          <w:b w:val="false"/>
          <w:i w:val="false"/>
          <w:color w:val="000000"/>
          <w:sz w:val="24"/>
        </w:rPr>
        <w:t xml:space="preserve">Owners and operators must maintain records in accordance with </w:t>
      </w:r>
      <w:hyperlink r:id="rId655">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xml:space="preserve"> that are capable of demonstrating compliance with closure requirements under this rule. The results of the excavation zone assessment required in </w:t>
      </w:r>
      <w:hyperlink r:id="rId656">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must be maintained for at least three years after completion of permanent closure or change-in-service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By the owners and operators who took the UST system out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By the current owners and operators of the UST system site;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By mailing these records to the department if they cannot be maintained at the closed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135.15(7)</w:t>
      </w:r>
      <w:r>
        <w:rPr>
          <w:rFonts w:ascii="Times New Roman" w:hAnsi="Times New Roman"/>
          <w:b w:val="false"/>
          <w:i w:val="false"/>
          <w:color w:val="000000"/>
          <w:sz w:val="24"/>
        </w:rPr>
        <w:t> </w:t>
      </w:r>
      <w:r>
        <w:rPr>
          <w:rFonts w:ascii="Times New Roman" w:hAnsi="Times New Roman"/>
          <w:b w:val="false"/>
          <w:i/>
          <w:color w:val="000000"/>
          <w:sz w:val="24"/>
        </w:rPr>
        <w:t xml:space="preserve">Applicability to pre-1974 USTs. </w:t>
      </w:r>
      <w:r>
        <w:rPr>
          <w:rFonts w:ascii="Times New Roman" w:hAnsi="Times New Roman"/>
          <w:b w:val="false"/>
          <w:i w:val="false"/>
          <w:color w:val="000000"/>
          <w:sz w:val="24"/>
        </w:rPr>
        <w:t xml:space="preserve">The closure provisions of </w:t>
      </w:r>
      <w:hyperlink r:id="rId657">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are not applicable to USTs that have been out of operation prior to January 1, 1974. For purposes of this subrule, out of operation means that no regulated substance has been deposited into or dispensed from the tanks and that the tanks do not currently contain an accumulation of regulated substances other than a de minimis amount as provided in </w:t>
      </w:r>
      <w:hyperlink r:id="rId658">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Owners and operators or other interested parties are not required to submit documentation that USTs meet the exemption conditions and may rely on this subrule as guidance. However, should a question arise as to whether USTs meet the exemption, or owners and operators or other interested parties request acknowledgment by the department that USTs are exempt, they must submit an affidavit on a form provided by the department. The affiant must certify that based on a reasonable investigation and to the best of the affiant’s knowledge, the USTs were taken out of operation prior to January 1, 1974, the USTs have not contained a regulated substance since January 1, 1974, and the USTs do not currently contain an accumulation of regulated substances.</w:t>
      </w:r>
    </w:p>
    <w:p>
      <w:pPr>
        <w:spacing w:before="0" w:after="0" w:line="480"/>
        <w:ind w:left="120"/>
        <w:jc w:val="both"/>
      </w:pPr>
      <w:r>
        <w:rPr>
          <w:rFonts w:ascii="Times New Roman" w:hAnsi="Times New Roman"/>
          <w:b w:val="false"/>
          <w:i w:val="false"/>
          <w:color w:val="000000"/>
          <w:sz w:val="24"/>
        </w:rPr>
        <w:t xml:space="preserve">If the department has a reasonable basis to suspect a release has occurred, the release investigation and confirmation steps of </w:t>
      </w:r>
      <w:hyperlink r:id="rId659">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and the corrective action requirements as provided in </w:t>
      </w:r>
      <w:hyperlink r:id="rId660">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through </w:t>
      </w:r>
      <w:hyperlink r:id="rId661">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shall apply.</w:t>
      </w:r>
    </w:p>
    <w:p>
      <w:pPr>
        <w:spacing w:before="0" w:after="0" w:line="480"/>
        <w:ind w:left="120"/>
        <w:jc w:val="both"/>
      </w:pPr>
      <w:r>
        <w:rPr>
          <w:rFonts w:ascii="Times New Roman" w:hAnsi="Times New Roman"/>
          <w:b/>
          <w:i w:val="false"/>
          <w:color w:val="000000"/>
          <w:sz w:val="24"/>
        </w:rPr>
        <w:t>567—135.16</w:t>
      </w:r>
      <w:r>
        <w:rPr>
          <w:rFonts w:ascii="Times New Roman" w:hAnsi="Times New Roman"/>
          <w:b/>
          <w:i w:val="false"/>
          <w:color w:val="000000"/>
          <w:sz w:val="24"/>
        </w:rPr>
        <w:t xml:space="preserve">(455B) </w:t>
      </w:r>
      <w:r>
        <w:rPr>
          <w:rFonts w:ascii="Times New Roman" w:hAnsi="Times New Roman"/>
          <w:b/>
          <w:i w:val="false"/>
          <w:color w:val="000000"/>
          <w:sz w:val="24"/>
        </w:rPr>
        <w:t xml:space="preserve">Laboratory analytical methods for petroleum contamination of soil and water.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When analyzing for petroleum or hazardous substances, owners and operators of UST systems must use a laboratory certified under </w:t>
      </w:r>
      <w:hyperlink r:id="rId662">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xml:space="preserve">. In addition they must ensure that all samples are properly preserved and shipped within 72 hours of collection to a laboratory certified under </w:t>
      </w:r>
      <w:hyperlink r:id="rId663">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This rule provides acceptable analytical procedures for petroleum substances and required information that must be provided in all laboratory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135.16(2)</w:t>
      </w:r>
      <w:r>
        <w:rPr>
          <w:rFonts w:ascii="Times New Roman" w:hAnsi="Times New Roman"/>
          <w:b w:val="false"/>
          <w:i w:val="false"/>
          <w:color w:val="000000"/>
          <w:sz w:val="24"/>
        </w:rPr>
        <w:t> </w:t>
      </w:r>
      <w:r>
        <w:rPr>
          <w:rFonts w:ascii="Times New Roman" w:hAnsi="Times New Roman"/>
          <w:b w:val="false"/>
          <w:i/>
          <w:color w:val="000000"/>
          <w:sz w:val="24"/>
        </w:rPr>
        <w:t xml:space="preserve">Laboratory report. </w:t>
      </w:r>
      <w:r>
        <w:rPr>
          <w:rFonts w:ascii="Times New Roman" w:hAnsi="Times New Roman"/>
          <w:b w:val="false"/>
          <w:i w:val="false"/>
          <w:color w:val="000000"/>
          <w:sz w:val="24"/>
        </w:rPr>
        <w:t>All laboratory reports must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Laboratory name, address, telephone number and Iowa laboratory certification number. If analytical work is subcontracted to another laboratory, the analytical report from the certified laboratory that analyzed the sample must be submitted and include the information required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Medium sampled (soil,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Client submitting sample (name, address,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Sample collector (name,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UST site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Clients sample location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Date sample was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Date sample was received at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Date sample was analyzed.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Results of analyses and units of measure.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Detection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Methods used in sample analyses (preparation method, sample detection method, and quantitative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Laboratory sample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Analyst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Signature of analyst’s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Condition in which the sample was received at the laboratory and whether it was properly sealed and 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Note that analytical results are questionable if a sample exceeded an established holding time or was improperly preserved. (The recommended holding time for properly cooled and sealed petroleum contaminated samples is 14 days, except for water samples containing volatile organic compounds that have a 7-day holding time unless acid-preserved.)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 xml:space="preserve">Laboratory reports required by this chapter for tank closure investigations under </w:t>
      </w:r>
      <w:hyperlink r:id="rId664">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and site checks under </w:t>
      </w:r>
      <w:hyperlink r:id="rId665">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 xml:space="preserve"> or Tier 1 or Tier 2 assessments under </w:t>
      </w:r>
      <w:hyperlink r:id="rId666">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 xml:space="preserve">(455B) through </w:t>
      </w:r>
      <w:hyperlink r:id="rId667">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 must include a copy of the chromatograms and associated quantitation reports for the waste oil, diesel and gasoline standard used by the laboratory in analyzing submitted samples. The laboratory analytical report for each sample must state whether the sample tested matches the laboratory standard for waste oil, diesel or gasoline or that the sample cannot be reliably matched with any of these standards. A copy of the chromatograms and associated quantitation reports for only the soil and groundwater samples with the maximum concentrations of BTEX and TEH must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135.16(3)</w:t>
      </w:r>
      <w:r>
        <w:rPr>
          <w:rFonts w:ascii="Times New Roman" w:hAnsi="Times New Roman"/>
          <w:b w:val="false"/>
          <w:i w:val="false"/>
          <w:color w:val="000000"/>
          <w:sz w:val="24"/>
        </w:rPr>
        <w:t> </w:t>
      </w:r>
      <w:r>
        <w:rPr>
          <w:rFonts w:ascii="Times New Roman" w:hAnsi="Times New Roman"/>
          <w:b w:val="false"/>
          <w:i/>
          <w:color w:val="000000"/>
          <w:sz w:val="24"/>
        </w:rPr>
        <w:t xml:space="preserve">Analysis of soil and water for high volatile petroleum compounds (i.e., gasoline, benzene, ethylbenzene, toluene, xylene). </w:t>
      </w:r>
      <w:r>
        <w:rPr>
          <w:rFonts w:ascii="Times New Roman" w:hAnsi="Times New Roman"/>
          <w:b w:val="false"/>
          <w:i w:val="false"/>
          <w:color w:val="000000"/>
          <w:sz w:val="24"/>
        </w:rPr>
        <w:t>Sample preparation and analysis shall be by Method OA-1, “Method for Determination of Volatile Petroleum Hydrocarbons (gasoline),” revision 12/01/2019, state hygienic laboratory at the University of Iowa, or EPA Method 8260D, “Test Methods for Evaluating Solid Waste,” 3rd Edition–Update 6, July 2018. Copies of Method OA-1 are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135.16(4)</w:t>
      </w:r>
      <w:r>
        <w:rPr>
          <w:rFonts w:ascii="Times New Roman" w:hAnsi="Times New Roman"/>
          <w:b w:val="false"/>
          <w:i w:val="false"/>
          <w:color w:val="000000"/>
          <w:sz w:val="24"/>
        </w:rPr>
        <w:t> </w:t>
      </w:r>
      <w:r>
        <w:rPr>
          <w:rFonts w:ascii="Times New Roman" w:hAnsi="Times New Roman"/>
          <w:b w:val="false"/>
          <w:i/>
          <w:color w:val="000000"/>
          <w:sz w:val="24"/>
        </w:rPr>
        <w:t xml:space="preserve">Analysis of soil and water for low volatile petroleum hydrocarbon contamination (i.e., all grades of diesel fuel, fuel oil, kerosene, oil, and mineral spirits). </w:t>
      </w:r>
      <w:r>
        <w:rPr>
          <w:rFonts w:ascii="Times New Roman" w:hAnsi="Times New Roman"/>
          <w:b w:val="false"/>
          <w:i w:val="false"/>
          <w:color w:val="000000"/>
          <w:sz w:val="24"/>
        </w:rPr>
        <w:t>Sample preparation and analysis shall be by Method OA-2, “Determination of Extractable Petroleum Products (and Related Low Volatility Organic Compounds),” revision 12/01/2019, state hygienic laboratory at the University of Iowa. Copies of Method OA-2 are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135.16(5)</w:t>
      </w:r>
      <w:r>
        <w:rPr>
          <w:rFonts w:ascii="Times New Roman" w:hAnsi="Times New Roman"/>
          <w:b w:val="false"/>
          <w:i w:val="false"/>
          <w:color w:val="000000"/>
          <w:sz w:val="24"/>
        </w:rPr>
        <w:t> </w:t>
      </w:r>
      <w:r>
        <w:rPr>
          <w:rFonts w:ascii="Times New Roman" w:hAnsi="Times New Roman"/>
          <w:b w:val="false"/>
          <w:i/>
          <w:color w:val="000000"/>
          <w:sz w:val="24"/>
        </w:rPr>
        <w:t xml:space="preserve">Analysis of soil gas for volatile petroleum hydrocarbons. </w:t>
      </w:r>
      <w:r>
        <w:rPr>
          <w:rFonts w:ascii="Times New Roman" w:hAnsi="Times New Roman"/>
          <w:b w:val="false"/>
          <w:i w:val="false"/>
          <w:color w:val="000000"/>
          <w:sz w:val="24"/>
        </w:rPr>
        <w:t>Analysis of soil gas for volatile petroleum hydrocarbons shall be conducted in accordance with the National Institute for Occupational Safety and Health (NIOSH) Method 1501, Issue 3, March 15, 2003, or a department-approved equivalent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135.16(6)</w:t>
      </w:r>
      <w:r>
        <w:rPr>
          <w:rFonts w:ascii="Times New Roman" w:hAnsi="Times New Roman"/>
          <w:b w:val="false"/>
          <w:i w:val="false"/>
          <w:color w:val="000000"/>
          <w:sz w:val="24"/>
        </w:rPr>
        <w:t> </w:t>
      </w:r>
      <w:r>
        <w:rPr>
          <w:rFonts w:ascii="Times New Roman" w:hAnsi="Times New Roman"/>
          <w:b w:val="false"/>
          <w:i/>
          <w:color w:val="000000"/>
          <w:sz w:val="24"/>
        </w:rPr>
        <w:t xml:space="preserve">Analytical methods for methyl tertiary-butyl ether (MTBE). </w:t>
      </w:r>
      <w:r>
        <w:rPr>
          <w:rFonts w:ascii="Times New Roman" w:hAnsi="Times New Roman"/>
          <w:b w:val="false"/>
          <w:i w:val="false"/>
          <w:color w:val="000000"/>
          <w:sz w:val="24"/>
        </w:rPr>
        <w:t xml:space="preserve">Analysis of water for MTBE must be conducted by a laboratory certified under </w:t>
      </w:r>
      <w:hyperlink r:id="rId668">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xml:space="preserve"> for petroleum analyses.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Sample preparation and analysis shall be by U.S. Environmental Protection Agency Method 8260D, “Test Methods for Evaluating Solid Waste,” 3rd Edition–Update 6, July 2018.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Laboratories performing the analyses must run standards for MTBE on a routine basis, and standards for other possible compounds like ethyl tertiary-butyl ether (ETBE), tertiary-amyl methyl ether (TAME), di-isopropyl ether (DIPE), and tertiary-butyl alcohol (TBA) to be certain of their identification should they be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Laboratories must run a method detection limit study and an initial demonstration of capability for MTBE. These records must be kept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minimum detection level for MTBE in water is 15 µg/L.</w:t>
      </w:r>
    </w:p>
    <w:p>
      <w:pPr>
        <w:spacing w:before="0" w:after="0" w:line="480"/>
        <w:ind w:left="120"/>
        <w:jc w:val="both"/>
      </w:pPr>
      <w:r>
        <w:rPr>
          <w:rFonts w:ascii="Times New Roman" w:hAnsi="Times New Roman"/>
          <w:b/>
          <w:i w:val="false"/>
          <w:color w:val="000000"/>
          <w:sz w:val="24"/>
        </w:rPr>
        <w:t>567—135.17</w:t>
      </w:r>
      <w:r>
        <w:rPr>
          <w:rFonts w:ascii="Times New Roman" w:hAnsi="Times New Roman"/>
          <w:b/>
          <w:i w:val="false"/>
          <w:color w:val="000000"/>
          <w:sz w:val="24"/>
        </w:rPr>
        <w:t xml:space="preserve">(455B) </w:t>
      </w:r>
      <w:r>
        <w:rPr>
          <w:rFonts w:ascii="Times New Roman" w:hAnsi="Times New Roman"/>
          <w:b/>
          <w:i w:val="false"/>
          <w:color w:val="000000"/>
          <w:sz w:val="24"/>
        </w:rPr>
        <w:t xml:space="preserve">Evaluation of ability to pay.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135.17(1)</w:t>
      </w:r>
      <w:r>
        <w:rPr>
          <w:rFonts w:ascii="Times New Roman" w:hAnsi="Times New Roman"/>
          <w:b w:val="false"/>
          <w:i w:val="false"/>
          <w:color w:val="000000"/>
          <w:sz w:val="24"/>
        </w:rPr>
        <w:t> </w:t>
      </w:r>
      <w:r>
        <w:rPr>
          <w:rFonts w:ascii="Times New Roman" w:hAnsi="Times New Roman"/>
          <w:b w:val="false"/>
          <w:i w:val="false"/>
          <w:color w:val="000000"/>
          <w:sz w:val="24"/>
        </w:rPr>
        <w:t xml:space="preserve">General. The ability to pay guidance procedures referenced in this rule will be used by the department when an owner or operator of an underground storage tank (UST) claims to be financially unable to comply with corrective action requirements under </w:t>
      </w:r>
      <w:hyperlink r:id="rId669">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through </w:t>
      </w:r>
      <w:hyperlink r:id="rId670">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or closure investigation requirements under </w:t>
      </w:r>
      <w:hyperlink r:id="rId671">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 If an owner or operator of a regulated UST claims to be financially unable to meet these departmental requirements, that responsible party must provide documentation of the party’s finances on forms provided by the department in order for the department to act on the claim of financial inability. The department may request additional financial documentation to verify or supplement reported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135.17(2)</w:t>
      </w:r>
      <w:r>
        <w:rPr>
          <w:rFonts w:ascii="Times New Roman" w:hAnsi="Times New Roman"/>
          <w:b w:val="false"/>
          <w:i w:val="false"/>
          <w:color w:val="000000"/>
          <w:sz w:val="24"/>
        </w:rPr>
        <w:t> </w:t>
      </w:r>
      <w:r>
        <w:rPr>
          <w:rFonts w:ascii="Times New Roman" w:hAnsi="Times New Roman"/>
          <w:b w:val="false"/>
          <w:i w:val="false"/>
          <w:color w:val="000000"/>
          <w:sz w:val="24"/>
        </w:rPr>
        <w:t>Individual claims. The financial ability of individual owners and operators of USTs, with or without an active business (including but not limited to sole proprietorships and general partnerships), may be evaluated using the most current version of “INDIPAY” developed by the U.S. Environmental Protection Agency and generally accepted principles of financial analysis. This guidance is only one tool the department may use in evaluating claims of financial inability.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135.17(3)</w:t>
      </w:r>
      <w:r>
        <w:rPr>
          <w:rFonts w:ascii="Times New Roman" w:hAnsi="Times New Roman"/>
          <w:b w:val="false"/>
          <w:i w:val="false"/>
          <w:color w:val="000000"/>
          <w:sz w:val="24"/>
        </w:rPr>
        <w:t> </w:t>
      </w:r>
      <w:r>
        <w:rPr>
          <w:rFonts w:ascii="Times New Roman" w:hAnsi="Times New Roman"/>
          <w:b w:val="false"/>
          <w:i w:val="false"/>
          <w:color w:val="000000"/>
          <w:sz w:val="24"/>
        </w:rPr>
        <w:t>Corporate claims. The financial ability of corporate owners and operators of USTs may be evaluated using the most current version of “ABEL” developed by the U.S. Environmental Protection Agency and generally accepted principles of financial analysis. This guidance is only one tool the department may use in evaluating claims of financial inability.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135.17(4)</w:t>
      </w:r>
      <w:r>
        <w:rPr>
          <w:rFonts w:ascii="Times New Roman" w:hAnsi="Times New Roman"/>
          <w:b w:val="false"/>
          <w:i w:val="false"/>
          <w:color w:val="000000"/>
          <w:sz w:val="24"/>
        </w:rPr>
        <w:t> </w:t>
      </w:r>
      <w:r>
        <w:rPr>
          <w:rFonts w:ascii="Times New Roman" w:hAnsi="Times New Roman"/>
          <w:b w:val="false"/>
          <w:i w:val="false"/>
          <w:color w:val="000000"/>
          <w:sz w:val="24"/>
        </w:rPr>
        <w:t>Federal LUST Trust Fund. The financial ability of owners and operators of USTs shall be evaluated for the purpose of determining if the department is authorized to use Federal LUST Trust Fund moneys as provided in the current cooperative agreement with the U.S. Environmental Protection Agency, Region VII. A determination of financial inability does not create an entitlement or any expectation interest on behalf of an owner or operator that Federal LUST Trust Fund moneys will be used for corrective action at any individual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135.17(5)</w:t>
      </w:r>
      <w:r>
        <w:rPr>
          <w:rFonts w:ascii="Times New Roman" w:hAnsi="Times New Roman"/>
          <w:b w:val="false"/>
          <w:i w:val="false"/>
          <w:color w:val="000000"/>
          <w:sz w:val="24"/>
        </w:rPr>
        <w:t> </w:t>
      </w:r>
      <w:r>
        <w:rPr>
          <w:rFonts w:ascii="Times New Roman" w:hAnsi="Times New Roman"/>
          <w:b w:val="false"/>
          <w:i w:val="false"/>
          <w:color w:val="000000"/>
          <w:sz w:val="24"/>
        </w:rPr>
        <w:t>The evaluation of financial ability will also be used by the department in making other administrative planning decisions including but not limited to decisions as to whether to pursue and when to pursue administrative or judicial enforcement of regulatory and statutory duties and the assessment of penalties. A determination of financial inability does not create an entitlement or expectation interest that enforcement actions will be deferred or suspended. The evaluation of this factor is only one of many affecting the department’s fully discretionary decisions regarding enforcement options and program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135.17(6)</w:t>
      </w:r>
      <w:r>
        <w:rPr>
          <w:rFonts w:ascii="Times New Roman" w:hAnsi="Times New Roman"/>
          <w:b w:val="false"/>
          <w:i w:val="false"/>
          <w:color w:val="000000"/>
          <w:sz w:val="24"/>
        </w:rPr>
        <w:t> </w:t>
      </w:r>
      <w:r>
        <w:rPr>
          <w:rFonts w:ascii="Times New Roman" w:hAnsi="Times New Roman"/>
          <w:b w:val="false"/>
          <w:i w:val="false"/>
          <w:color w:val="000000"/>
          <w:sz w:val="24"/>
        </w:rPr>
        <w:t xml:space="preserve">An evaluation of financial inability as provided in this rule does not relieve any owner or operator of legal liability to comply with department rules or Iowa Code chapter </w:t>
      </w:r>
      <w:hyperlink r:id="rId672">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or provide a defense to any legal actions to establish liability or enforce compliance.</w:t>
      </w:r>
    </w:p>
    <w:p>
      <w:pPr>
        <w:spacing w:before="0" w:after="0" w:line="480"/>
        <w:ind w:left="120"/>
        <w:jc w:val="both"/>
      </w:pPr>
      <w:r>
        <w:rPr>
          <w:rFonts w:ascii="Times New Roman" w:hAnsi="Times New Roman"/>
          <w:b/>
          <w:i w:val="false"/>
          <w:color w:val="000000"/>
          <w:sz w:val="24"/>
        </w:rPr>
        <w:t>567—135.18</w:t>
      </w:r>
      <w:r>
        <w:rPr>
          <w:rFonts w:ascii="Times New Roman" w:hAnsi="Times New Roman"/>
          <w:b/>
          <w:i w:val="false"/>
          <w:color w:val="000000"/>
          <w:sz w:val="24"/>
        </w:rPr>
        <w:t xml:space="preserve">(455B) </w:t>
      </w:r>
      <w:r>
        <w:rPr>
          <w:rFonts w:ascii="Times New Roman" w:hAnsi="Times New Roman"/>
          <w:b/>
          <w:i w:val="false"/>
          <w:color w:val="000000"/>
          <w:sz w:val="24"/>
        </w:rPr>
        <w:t xml:space="preserve">Analyzing for methyl tertiary-butyl ether (MTBE).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objective of analyzing for MTBE is to determine its presence in water samples collected as part of investigation and remediation of contamination for underground storage tank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135.18(2)</w:t>
      </w:r>
      <w:r>
        <w:rPr>
          <w:rFonts w:ascii="Times New Roman" w:hAnsi="Times New Roman"/>
          <w:b w:val="false"/>
          <w:i w:val="false"/>
          <w:color w:val="000000"/>
          <w:sz w:val="24"/>
        </w:rPr>
        <w:t> </w:t>
      </w:r>
      <w:r>
        <w:rPr>
          <w:rFonts w:ascii="Times New Roman" w:hAnsi="Times New Roman"/>
          <w:b w:val="false"/>
          <w:i/>
          <w:color w:val="000000"/>
          <w:sz w:val="24"/>
        </w:rPr>
        <w:t xml:space="preserve">Required MTBE testing. </w:t>
      </w:r>
      <w:r>
        <w:rPr>
          <w:rFonts w:ascii="Times New Roman" w:hAnsi="Times New Roman"/>
          <w:b w:val="false"/>
          <w:i w:val="false"/>
          <w:color w:val="000000"/>
          <w:sz w:val="24"/>
        </w:rPr>
        <w:t xml:space="preserve">Water samples must be analyzed for MTBE when collected for risk-based corrective action as required in </w:t>
      </w:r>
      <w:hyperlink r:id="rId673">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674">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These sampling requirements include but are not limited to Tier 2 and Tier 3 assessments where groundwater ingestion pathway evaluation and subsequent monitoring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135.18(3)</w:t>
      </w:r>
      <w:r>
        <w:rPr>
          <w:rFonts w:ascii="Times New Roman" w:hAnsi="Times New Roman"/>
          <w:b w:val="false"/>
          <w:i w:val="false"/>
          <w:color w:val="000000"/>
          <w:sz w:val="24"/>
        </w:rPr>
        <w:t> </w:t>
      </w:r>
      <w:r>
        <w:rPr>
          <w:rFonts w:ascii="Times New Roman" w:hAnsi="Times New Roman"/>
          <w:b w:val="false"/>
          <w:i/>
          <w:color w:val="000000"/>
          <w:sz w:val="24"/>
        </w:rPr>
        <w:t xml:space="preserve">MTBE testing not required. </w:t>
      </w:r>
      <w:r>
        <w:rPr>
          <w:rFonts w:ascii="Times New Roman" w:hAnsi="Times New Roman"/>
          <w:b w:val="false"/>
          <w:i w:val="false"/>
          <w:color w:val="000000"/>
          <w:sz w:val="24"/>
        </w:rPr>
        <w:t>Analysis for MTBE is not required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Closure sampling under </w:t>
      </w:r>
      <w:hyperlink r:id="rId675">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Site checks under </w:t>
      </w:r>
      <w:hyperlink r:id="rId676">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prior analysis under </w:t>
      </w:r>
      <w:hyperlink r:id="rId677">
        <w:r>
          <w:rPr>
            <w:rStyle w:val="Hyperlink"/>
            <w:rFonts w:ascii="Times New Roman" w:hAnsi="Times New Roman"/>
            <w:b w:val="false"/>
            <w:i w:val="false"/>
            <w:color w:val="000000"/>
            <w:sz w:val="24"/>
          </w:rPr>
          <w:t>135.18(2)</w:t>
        </w:r>
      </w:hyperlink>
      <w:r>
        <w:rPr>
          <w:rFonts w:ascii="Times New Roman" w:hAnsi="Times New Roman"/>
          <w:b w:val="false"/>
          <w:i w:val="false"/>
          <w:color w:val="000000"/>
          <w:sz w:val="24"/>
        </w:rPr>
        <w:t xml:space="preserve"> has not shown MTBE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MTBE analysis is no longer needed at a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135.18(4)</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The analytical data must be submitted in a format prescribed by the department.</w:t>
      </w:r>
    </w:p>
    <w:p>
      <w:pPr>
        <w:spacing w:before="0" w:after="0" w:line="480"/>
        <w:ind w:left="120"/>
        <w:jc w:val="both"/>
      </w:pPr>
      <w:r>
        <w:rPr>
          <w:rFonts w:ascii="Times New Roman" w:hAnsi="Times New Roman"/>
          <w:b/>
          <w:i w:val="false"/>
          <w:color w:val="000000"/>
          <w:sz w:val="24"/>
        </w:rPr>
        <w:t>567—135.19</w:t>
      </w:r>
      <w:r>
        <w:rPr>
          <w:rFonts w:ascii="Times New Roman" w:hAnsi="Times New Roman"/>
          <w:b/>
          <w:i w:val="false"/>
          <w:color w:val="000000"/>
          <w:sz w:val="24"/>
        </w:rPr>
        <w:t xml:space="preserve">(455B) </w:t>
      </w:r>
      <w:r>
        <w:rPr>
          <w:rFonts w:ascii="Times New Roman" w:hAnsi="Times New Roman"/>
          <w:b/>
          <w:i w:val="false"/>
          <w:color w:val="000000"/>
          <w:sz w:val="24"/>
        </w:rPr>
        <w:t xml:space="preserve">Compliance inspection of UST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135.19(1)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have the UST system inspected and an inspection report submitted to the department by a UST compliance inspector certified by the department under </w:t>
      </w:r>
      <w:hyperlink r:id="rId678">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An initial compliance site inspection shall be conducted within two years after new tank installation. All subsequent compliance site inspections conducted after the initial compliance site inspection shall be conducted within 24 months of the prior compliance site inspection. Compliance site inspections must be separated by at least six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135.19(2)</w:t>
      </w:r>
      <w:r>
        <w:rPr>
          <w:rFonts w:ascii="Times New Roman" w:hAnsi="Times New Roman"/>
          <w:b w:val="false"/>
          <w:i w:val="false"/>
          <w:color w:val="000000"/>
          <w:sz w:val="24"/>
        </w:rPr>
        <w:t> </w:t>
      </w:r>
      <w:r>
        <w:rPr>
          <w:rFonts w:ascii="Times New Roman" w:hAnsi="Times New Roman"/>
          <w:b w:val="false"/>
          <w:i w:val="false"/>
          <w:color w:val="000000"/>
          <w:sz w:val="24"/>
        </w:rPr>
        <w:t>Compliance inspection requirements. The owner and operator must comply with the following as part of the inspection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Review and respond to the inspection report provided by the certified compliance inspector and complete the corrective actions specified in the compliance inspection report within the specified time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all records and documentation required by the certified compliance inspector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Upon notification of a suspected release by the certified compliance inspector pursuant to </w:t>
      </w:r>
      <w:hyperlink r:id="rId679">
        <w:r>
          <w:rPr>
            <w:rStyle w:val="Hyperlink"/>
            <w:rFonts w:ascii="Times New Roman" w:hAnsi="Times New Roman"/>
            <w:b w:val="false"/>
            <w:i w:val="false"/>
            <w:color w:val="000000"/>
            <w:sz w:val="24"/>
          </w:rPr>
          <w:t>567—paragraph 134.10(3)</w:t>
        </w:r>
      </w:hyperlink>
      <w:r>
        <w:rPr>
          <w:rFonts w:ascii="Times New Roman" w:hAnsi="Times New Roman"/>
          <w:b w:val="false"/>
          <w:i/>
          <w:color w:val="000000"/>
          <w:sz w:val="24"/>
        </w:rPr>
        <w:t>“b,”</w:t>
      </w:r>
      <w:r>
        <w:rPr>
          <w:rFonts w:ascii="Times New Roman" w:hAnsi="Times New Roman"/>
          <w:b w:val="false"/>
          <w:i w:val="false"/>
          <w:color w:val="000000"/>
          <w:sz w:val="24"/>
        </w:rPr>
        <w:t xml:space="preserve"> report the condition to the department and undertake steps to investigate and confirm the suspected release as provided in </w:t>
      </w:r>
      <w:hyperlink r:id="rId680">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Ensure that the compliance inspector completes and submits an electronic inspection form in accordance with </w:t>
      </w:r>
      <w:hyperlink r:id="rId681">
        <w:r>
          <w:rPr>
            <w:rStyle w:val="Hyperlink"/>
            <w:rFonts w:ascii="Times New Roman" w:hAnsi="Times New Roman"/>
            <w:b w:val="false"/>
            <w:i w:val="false"/>
            <w:color w:val="000000"/>
            <w:sz w:val="24"/>
          </w:rPr>
          <w:t>567—subrule 134.10</w:t>
        </w:r>
      </w:hyperlink>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135.19(3)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and operator shall do the following upon receipt of a compliance inspection report as provided in </w:t>
      </w:r>
      <w:hyperlink r:id="rId682">
        <w:r>
          <w:rPr>
            <w:rStyle w:val="Hyperlink"/>
            <w:rFonts w:ascii="Times New Roman" w:hAnsi="Times New Roman"/>
            <w:b w:val="false"/>
            <w:i w:val="false"/>
            <w:color w:val="000000"/>
            <w:sz w:val="24"/>
          </w:rPr>
          <w:t>567—paragraph 134.10(3)</w:t>
        </w:r>
      </w:hyperlink>
      <w:r>
        <w:rPr>
          <w:rFonts w:ascii="Times New Roman" w:hAnsi="Times New Roman"/>
          <w:b w:val="false"/>
          <w:i/>
          <w:color w:val="000000"/>
          <w:sz w:val="24"/>
        </w:rPr>
        <w:t>“b,”</w:t>
      </w:r>
      <w:r>
        <w:rPr>
          <w:rFonts w:ascii="Times New Roman" w:hAnsi="Times New Roman"/>
          <w:b w:val="false"/>
          <w:i w:val="false"/>
          <w:color w:val="000000"/>
          <w:sz w:val="24"/>
        </w:rPr>
        <w:t xml:space="preserve"> which finds violations of the department’s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Take all actions necessary to correct any compliance violations or deficiencies in accordance with this chapter. Corrective action must be taken within 60 days of receipt of the inspector’s report or another reasonable time period approved by the department. The granting of time to remedy a violation does not preclude the department from exercising its discretion to assess penalties for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Within 60 days of receipt of the inspector’s report, provide documentation to the compliance inspector that the violation or deficiencies have been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Conduct a follow-up inspection in instances where there are serious problems or a history of repeated violations when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135.19(4)</w:t>
      </w:r>
      <w:r>
        <w:rPr>
          <w:rFonts w:ascii="Times New Roman" w:hAnsi="Times New Roman"/>
          <w:b w:val="false"/>
          <w:i w:val="false"/>
          <w:color w:val="000000"/>
          <w:sz w:val="24"/>
        </w:rPr>
        <w:t> </w:t>
      </w:r>
      <w:r>
        <w:rPr>
          <w:rFonts w:ascii="Times New Roman" w:hAnsi="Times New Roman"/>
          <w:b w:val="false"/>
          <w:i w:val="false"/>
          <w:color w:val="000000"/>
          <w:sz w:val="24"/>
        </w:rPr>
        <w:t>Conflict of interest. A compliance site inspection must be conducted by a certified compliance inspector who is not the owner or operator of the UST system being inspected, an employee of the owner or operator of the UST system being inspected, or a person having daily on-site responsibility for the operation and maintenance of the UST system.</w:t>
      </w:r>
    </w:p>
    <w:p>
      <w:pPr>
        <w:spacing w:before="210" w:after="0" w:line="480"/>
        <w:ind w:left="120"/>
        <w:jc w:val="both"/>
      </w:pPr>
      <w:r>
        <w:rPr>
          <w:rFonts w:ascii="Times New Roman" w:hAnsi="Times New Roman"/>
          <w:b/>
          <w:i w:val="false"/>
          <w:color w:val="000000"/>
          <w:sz w:val="24"/>
        </w:rPr>
        <w:t>567—135.20</w:t>
      </w:r>
      <w:r>
        <w:rPr>
          <w:rFonts w:ascii="Times New Roman" w:hAnsi="Times New Roman"/>
          <w:b/>
          <w:i w:val="false"/>
          <w:color w:val="000000"/>
          <w:sz w:val="24"/>
        </w:rPr>
        <w:t xml:space="preserve">(455B) </w:t>
      </w:r>
      <w:r>
        <w:rPr>
          <w:rFonts w:ascii="Times New Roman" w:hAnsi="Times New Roman"/>
          <w:b/>
          <w:i w:val="false"/>
          <w:color w:val="000000"/>
          <w:sz w:val="24"/>
        </w:rPr>
        <w:t xml:space="preserve">UST systems with field-constructed tanks and airport hydrant fuel distribution systems. </w:t>
      </w:r>
      <w:r>
        <w:rPr>
          <w:rFonts w:ascii="Times New Roman" w:hAnsi="Times New Roman"/>
          <w:b w:val="false"/>
          <w:i w:val="false"/>
          <w:color w:val="000000"/>
          <w:sz w:val="24"/>
        </w:rPr>
        <w:t xml:space="preserve">The commission adopts by reference the definitions and requirements of 40 CFR 280 Subpart K. </w:t>
      </w:r>
    </w:p>
    <w:p>
      <w:pPr>
        <w:spacing w:before="210" w:after="0" w:line="480"/>
        <w:ind w:left="120"/>
        <w:jc w:val="both"/>
      </w:pPr>
      <w:r>
        <w:rPr>
          <w:rFonts w:ascii="Times New Roman" w:hAnsi="Times New Roman"/>
          <w:b/>
          <w:i w:val="false"/>
          <w:color w:val="000000"/>
          <w:sz w:val="24"/>
        </w:rPr>
        <w:t>567—135.21</w:t>
      </w:r>
      <w:r>
        <w:rPr>
          <w:rFonts w:ascii="Times New Roman" w:hAnsi="Times New Roman"/>
          <w:b/>
          <w:i w:val="false"/>
          <w:color w:val="000000"/>
          <w:sz w:val="24"/>
        </w:rPr>
        <w:t xml:space="preserve">(455B) </w:t>
      </w:r>
      <w:r>
        <w:rPr>
          <w:rFonts w:ascii="Times New Roman" w:hAnsi="Times New Roman"/>
          <w:b/>
          <w:i w:val="false"/>
          <w:color w:val="000000"/>
          <w:sz w:val="24"/>
        </w:rPr>
        <w:t xml:space="preserve">Waivers. </w:t>
      </w:r>
      <w:r>
        <w:rPr>
          <w:rFonts w:ascii="Times New Roman" w:hAnsi="Times New Roman"/>
          <w:b w:val="false"/>
          <w:i w:val="false"/>
          <w:color w:val="000000"/>
          <w:sz w:val="24"/>
        </w:rPr>
        <w:t xml:space="preserve">A request for a waiver to these rules will be reviewed in accordance with law and procedures of Iowa Code chapter </w:t>
      </w:r>
      <w:hyperlink r:id="rId68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684">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85">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w:t>
      </w:r>
      <w:hyperlink r:id="rId686">
        <w:r>
          <w:rPr>
            <w:rStyle w:val="Hyperlink"/>
            <w:rFonts w:ascii="Times New Roman" w:hAnsi="Times New Roman"/>
            <w:b w:val="false"/>
            <w:i w:val="false"/>
            <w:color w:val="000000"/>
            <w:sz w:val="24"/>
          </w:rPr>
          <w:t>455B.424</w:t>
        </w:r>
      </w:hyperlink>
      <w:r>
        <w:rPr>
          <w:rFonts w:ascii="Times New Roman" w:hAnsi="Times New Roman"/>
          <w:b w:val="false"/>
          <w:i w:val="false"/>
          <w:color w:val="000000"/>
          <w:sz w:val="24"/>
        </w:rPr>
        <w:t xml:space="preserve"> and </w:t>
      </w:r>
      <w:hyperlink r:id="rId687">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w:t>
      </w:r>
    </w:p>
    <w:p>
      <w:pPr>
        <w:spacing w:before="0" w:after="0"/>
        <w:ind w:left="120"/>
        <w:jc w:val="both"/>
      </w:pPr>
      <w:r>
        <w:br w:type="page"/>
      </w:r>
      <w:r>
        <w:rPr>
          <w:rFonts w:ascii="Times New Roman" w:hAnsi="Times New Roman"/>
          <w:b/>
          <w:i w:val="false"/>
          <w:color w:val="000000"/>
          <w:sz w:val="24"/>
        </w:rPr>
        <w:t>Appendix A - Tier 1 Table, Assumptions, Equations and Parameter Values</w:t>
      </w:r>
      <w:r>
        <w:br/>
      </w:r>
    </w:p>
    <w:p>
      <w:pPr>
        <w:spacing w:before="60" w:after="0" w:line="480"/>
        <w:ind w:left="120"/>
        <w:jc w:val="left"/>
      </w:pPr>
      <w:r>
        <w:rPr>
          <w:rFonts w:ascii="Times New Roman" w:hAnsi="Times New Roman"/>
          <w:b w:val="false"/>
          <w:i w:val="false"/>
          <w:color w:val="000000"/>
          <w:sz w:val="24"/>
        </w:rPr>
        <w:t>Iowa Tier 1 Look-Up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85"/>
        <w:gridCol w:w="1075"/>
        <w:gridCol w:w="985"/>
        <w:gridCol w:w="985"/>
        <w:gridCol w:w="985"/>
        <w:gridCol w:w="1074"/>
        <w:gridCol w:w="984"/>
        <w:gridCol w:w="984"/>
        <w:gridCol w:w="895"/>
      </w:tblGrid>
      <w:tr>
        <w:trPr>
          <w:trHeight w:val="195" w:hRule="atLeast"/>
        </w:trPr>
        <w:tc>
          <w:tcPr>
            <w:tcW w:w="98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Media</w:t>
            </w:r>
          </w:p>
        </w:tc>
        <w:tc>
          <w:tcPr>
            <w:tcW w:w="107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Exposure Pathway</w:t>
            </w:r>
          </w:p>
        </w:tc>
        <w:tc>
          <w:tcPr>
            <w:tcW w:w="98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2: TEH</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Benzene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Toluene</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Ethylbenzene</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Xylenes</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Diesel*</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Waste Oil</w:t>
            </w:r>
          </w:p>
        </w:tc>
      </w:tr>
      <w:tr>
        <w:trPr>
          <w:trHeight w:val="195" w:hRule="atLeast"/>
        </w:trPr>
        <w:tc>
          <w:tcPr>
            <w:tcW w:w="98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107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Ingestion</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1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Vapor to Enclosed Space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1,540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20,190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bottom w:val="single" w:color="000000" w:sz="8"/>
              <w:right w:val="single" w:color="000000" w:sz="8"/>
            </w:tcBorders>
          </w:tcPr>
          <w:p/>
        </w:tc>
        <w:tc>
          <w:tcPr>
            <w:tcW w:w="107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to Water Line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Mains</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6,250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Service Lines</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PE/PB/AC Mains or Service Lines</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1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985"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(mg/kg)</w:t>
            </w:r>
          </w:p>
        </w:tc>
        <w:tc>
          <w:tcPr>
            <w:tcW w:w="1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Leaching to Groundwater</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0.54</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right w:val="single" w:color="000000" w:sz="8"/>
            </w:tcBorders>
          </w:tcPr>
          <w:p/>
        </w:tc>
        <w:tc>
          <w:tcPr>
            <w:tcW w:w="1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Vapor to Enclosed Space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1.16</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w:t>
            </w:r>
          </w:p>
        </w:tc>
        <w:tc>
          <w:tcPr>
            <w:tcW w:w="10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1075"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to Water Line</w:t>
            </w:r>
          </w:p>
        </w:tc>
        <w:tc>
          <w:tcPr>
            <w:tcW w:w="98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8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98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w:t>
            </w:r>
          </w:p>
        </w:tc>
        <w:tc>
          <w:tcPr>
            <w:tcW w:w="107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9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w:t>
            </w:r>
          </w:p>
        </w:tc>
        <w:tc>
          <w:tcPr>
            <w:tcW w:w="9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89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14"/>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14"/>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14"/>
        </w:rPr>
        <w:t>Diesel*: Standards in the Diesel column apply to all low volatile petroleum hydrocarbons except waste oil.</w:t>
      </w:r>
    </w:p>
    <w:p>
      <w:pPr>
        <w:spacing w:before="0" w:after="0"/>
        <w:ind w:left="120"/>
        <w:jc w:val="both"/>
      </w:pPr>
    </w:p>
    <w:p>
      <w:pPr>
        <w:spacing w:before="0" w:after="0"/>
        <w:ind w:left="120"/>
        <w:jc w:val="both"/>
      </w:pPr>
      <w:r>
        <w:rPr>
          <w:rFonts w:ascii="Times New Roman" w:hAnsi="Times New Roman"/>
          <w:b w:val="false"/>
          <w:i w:val="false"/>
          <w:color w:val="000000"/>
          <w:sz w:val="14"/>
          <w:u w:val="single"/>
        </w:rPr>
        <w:t>Assumptions Used for Iowa Tier 1 Look-Up Table Generation</w:t>
      </w:r>
    </w:p>
    <w:p>
      <w:pPr>
        <w:spacing w:before="0" w:after="0"/>
        <w:ind w:left="120"/>
        <w:jc w:val="both"/>
      </w:pPr>
      <w:r>
        <w:rPr>
          <w:rFonts w:ascii="Times New Roman" w:hAnsi="Times New Roman"/>
          <w:b w:val="false"/>
          <w:i w:val="false"/>
          <w:color w:val="000000"/>
          <w:sz w:val="14"/>
        </w:rPr>
        <w:t>1. Groundwater ingestion pathway. The maximum contaminant levels (MCLs) were used for Group 1 chemicals. The target risk for carcinogens for actual receptors is 10</w:t>
      </w:r>
      <w:r>
        <w:rPr>
          <w:rFonts w:ascii="Times New Roman" w:hAnsi="Times New Roman"/>
          <w:b w:val="false"/>
          <w:i w:val="false"/>
          <w:color w:val="000000"/>
          <w:sz w:val="14"/>
          <w:vertAlign w:val="superscript"/>
        </w:rPr>
        <w:t>-6</w:t>
      </w:r>
      <w:r>
        <w:rPr>
          <w:rFonts w:ascii="Times New Roman" w:hAnsi="Times New Roman"/>
          <w:b w:val="false"/>
          <w:i w:val="false"/>
          <w:color w:val="000000"/>
          <w:sz w:val="14"/>
        </w:rPr>
        <w:t xml:space="preserve"> and for potential receptors is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A hazard quotient of one, and residential exposure and building parameters are assumed.</w:t>
      </w:r>
    </w:p>
    <w:p>
      <w:pPr>
        <w:spacing w:before="0" w:after="0"/>
        <w:ind w:left="120"/>
        <w:jc w:val="both"/>
      </w:pPr>
      <w:r>
        <w:rPr>
          <w:rFonts w:ascii="Times New Roman" w:hAnsi="Times New Roman"/>
          <w:b w:val="false"/>
          <w:i w:val="false"/>
          <w:color w:val="000000"/>
          <w:sz w:val="14"/>
        </w:rPr>
        <w:t>2. Groundwater vapor to enclosed space pathway. Residential exposure and residential building parameters are assumed; no inhalation reference dose is used for benzene; the capillary fringe is assumed to be the source of groundwater vapor; and the hazard quotient is 1 and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3. Groundwater to water line.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4. Surface water.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xml:space="preserve">, except for toluene which has a chronic level for aquatic life of 1,000 as in the definition for surface water criteria in </w:t>
      </w:r>
      <w:hyperlink r:id="rId688">
        <w:r>
          <w:rPr>
            <w:rStyle w:val="Hyperlink"/>
            <w:rFonts w:ascii="Times New Roman" w:hAnsi="Times New Roman"/>
            <w:b w:val="false"/>
            <w:i w:val="false"/>
            <w:color w:val="000000"/>
            <w:sz w:val="24"/>
          </w:rPr>
          <w:t>567—135.2</w:t>
        </w:r>
      </w:hyperlink>
      <w:r>
        <w:rPr>
          <w:rFonts w:ascii="Times New Roman" w:hAnsi="Times New Roman"/>
          <w:b w:val="false"/>
          <w:i w:val="false"/>
          <w:color w:val="000000"/>
          <w:sz w:val="14"/>
        </w:rPr>
        <w:t>(455B).</w:t>
      </w:r>
    </w:p>
    <w:p>
      <w:pPr>
        <w:spacing w:before="0" w:after="0"/>
        <w:ind w:left="120"/>
        <w:jc w:val="both"/>
      </w:pPr>
      <w:r>
        <w:rPr>
          <w:rFonts w:ascii="Times New Roman" w:hAnsi="Times New Roman"/>
          <w:b w:val="false"/>
          <w:i w:val="false"/>
          <w:color w:val="000000"/>
          <w:sz w:val="14"/>
        </w:rPr>
        <w:t>5. Soil leaching to groundwater. This pathway assumes the groundwater will be protected to the same levels as the groundwater ingestion pathway for potential receptors, using 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6. Soil vapor to enclosed space pathway. The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the hazard quotient is 1; no inhalation reference dose is used for benzene; residential exposure factors are assumed; and the average of the residential and nonresidential building parameters is assumed.</w:t>
      </w:r>
    </w:p>
    <w:p>
      <w:pPr>
        <w:spacing w:before="0" w:after="0"/>
        <w:ind w:left="120"/>
        <w:jc w:val="both"/>
      </w:pPr>
      <w:r>
        <w:rPr>
          <w:rFonts w:ascii="Times New Roman" w:hAnsi="Times New Roman"/>
          <w:b w:val="false"/>
          <w:i w:val="false"/>
          <w:color w:val="000000"/>
          <w:sz w:val="14"/>
        </w:rPr>
        <w:t>7. Soil to water line pathway. This pathway uses the soil leaching to groundwater model with nonresidential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rPr>
        <w:t>In addition to these assumptions, the equations and parameter values used to generate the Iowa Tier 1 Look-Up Table are described below.</w:t>
      </w:r>
    </w:p>
    <w:p>
      <w:pPr>
        <w:spacing w:before="0" w:after="0"/>
        <w:ind w:left="120"/>
        <w:jc w:val="both"/>
      </w:pPr>
      <w:r>
        <w:rPr>
          <w:rFonts w:ascii="Times New Roman" w:hAnsi="Times New Roman"/>
          <w:b w:val="false"/>
          <w:i w:val="false"/>
          <w:color w:val="000000"/>
          <w:sz w:val="24"/>
          <w:u w:val="single"/>
        </w:rPr>
        <w:t>Groundwater Ingestion Equations</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Carcinogens:</w:t>
      </w:r>
    </w:p>
    <w:p>
      <w:pPr>
        <w:spacing w:before="0" w:after="0" w:line="480"/>
        <w:ind w:left="120"/>
        <w:jc w:val="both"/>
      </w:pPr>
      <w:r>
        <w:drawing>
          <wp:inline distT="0" distB="0" distL="0" distR="0">
            <wp:extent cx="3676650" cy="676275"/>
            <wp:effectExtent l="0" t="0" r="0" b="0"/>
            <wp:docPr id="2" name="" descr="An equation which describes groundwater ingestion for carcinogens and reads in detail: RBSL_W[mg/(L-H_2O)]=(TR ×BW×AT_c×(365 days)/year)/(SF_O×IR_W×EF×ED)"/>
            <wp:cNvGraphicFramePr>
              <a:graphicFrameLocks noChangeAspect="true"/>
            </wp:cNvGraphicFramePr>
            <a:graphic>
              <a:graphicData uri="http://schemas.openxmlformats.org/drawingml/2006/picture">
                <pic:pic>
                  <pic:nvPicPr>
                    <pic:cNvPr id="1" name=""/>
                    <pic:cNvPicPr/>
                  </pic:nvPicPr>
                  <pic:blipFill>
                    <a:blip r:embed="rId689"/>
                    <a:stretch>
                      <a:fillRect/>
                    </a:stretch>
                  </pic:blipFill>
                  <pic:spPr>
                    <a:xfrm>
                      <a:off x="0" y="0"/>
                      <a:ext cx="3676650" cy="6762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Noncarcinogens:</w:t>
      </w:r>
    </w:p>
    <w:p>
      <w:pPr>
        <w:spacing w:before="0" w:after="0" w:line="480"/>
        <w:ind w:left="120"/>
        <w:jc w:val="both"/>
      </w:pPr>
      <w:r>
        <w:drawing>
          <wp:inline distT="0" distB="0" distL="0" distR="0">
            <wp:extent cx="4371975" cy="647700"/>
            <wp:effectExtent l="0" t="0" r="0" b="0"/>
            <wp:docPr id="3" name="" descr="An equation which describes groundwater ingestion for noncarcinogens and reads in detail: RBSL_W[mg/(L-H_2O)]=(THQ×RfD_O×BW×AT_n×(365 days)/year)/(IR_W×EF×ED)"/>
            <wp:cNvGraphicFramePr>
              <a:graphicFrameLocks noChangeAspect="true"/>
            </wp:cNvGraphicFramePr>
            <a:graphic>
              <a:graphicData uri="http://schemas.openxmlformats.org/drawingml/2006/picture">
                <pic:pic>
                  <pic:nvPicPr>
                    <pic:cNvPr id="1" name=""/>
                    <pic:cNvPicPr/>
                  </pic:nvPicPr>
                  <pic:blipFill>
                    <a:blip r:embed="rId690"/>
                    <a:stretch>
                      <a:fillRect/>
                    </a:stretch>
                  </pic:blipFill>
                  <pic:spPr>
                    <a:xfrm>
                      <a:off x="0" y="0"/>
                      <a:ext cx="4371975" cy="647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u w:val="single"/>
        </w:rPr>
        <w:t>Soil Leaching to Groundwater Equations</w:t>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3108960" cy="640080"/>
            <wp:effectExtent l="0" t="0" r="0" b="0"/>
            <wp:docPr id="4" name="" descr="An equation which describes soil leaching to groundwater and reads in detail: RBSL_sl[mg/(kg-soil)]=(RBSL_w [mg/(L-H_2O)])/LF"/>
            <wp:cNvGraphicFramePr>
              <a:graphicFrameLocks noChangeAspect="true"/>
            </wp:cNvGraphicFramePr>
            <a:graphic>
              <a:graphicData uri="http://schemas.openxmlformats.org/drawingml/2006/picture">
                <pic:pic>
                  <pic:nvPicPr>
                    <pic:cNvPr id="1" name=""/>
                    <pic:cNvPicPr/>
                  </pic:nvPicPr>
                  <pic:blipFill>
                    <a:blip r:embed="rId691"/>
                    <a:stretch>
                      <a:fillRect/>
                    </a:stretch>
                  </pic:blipFill>
                  <pic:spPr>
                    <a:xfrm>
                      <a:off x="0" y="0"/>
                      <a:ext cx="3108960" cy="640080"/>
                    </a:xfrm>
                    <a:prstGeom prst="rect">
                      <a:avLst/>
                    </a:prstGeom>
                  </pic:spPr>
                </pic:pic>
              </a:graphicData>
            </a:graphic>
          </wp:inline>
        </w:drawing>
      </w:r>
    </w:p>
    <w:p>
      <w:pPr>
        <w:spacing w:before="0" w:after="0" w:line="480"/>
        <w:ind w:left="120"/>
        <w:jc w:val="left"/>
      </w:pPr>
      <w:r>
        <w:drawing>
          <wp:inline distT="0" distB="0" distL="0" distR="0">
            <wp:extent cx="3474720" cy="640080"/>
            <wp:effectExtent l="0" t="0" r="0" b="0"/>
            <wp:docPr id="5" name="" descr="An equation which describes soil leaching to groundwater and reads in detail: LF[(mg∕L-H_2O)/(mg∕kg-soil)]=(ρ_s)/(θ_ws+k_s ρ_s+Hθ_as (1+Uδ/IW))"/>
            <wp:cNvGraphicFramePr>
              <a:graphicFrameLocks noChangeAspect="true"/>
            </wp:cNvGraphicFramePr>
            <a:graphic>
              <a:graphicData uri="http://schemas.openxmlformats.org/drawingml/2006/picture">
                <pic:pic>
                  <pic:nvPicPr>
                    <pic:cNvPr id="1" name=""/>
                    <pic:cNvPicPr/>
                  </pic:nvPicPr>
                  <pic:blipFill>
                    <a:blip r:embed="rId692"/>
                    <a:stretch>
                      <a:fillRect/>
                    </a:stretch>
                  </pic:blipFill>
                  <pic:spPr>
                    <a:xfrm>
                      <a:off x="0" y="0"/>
                      <a:ext cx="3474720" cy="640080"/>
                    </a:xfrm>
                    <a:prstGeom prst="rect">
                      <a:avLst/>
                    </a:prstGeom>
                  </pic:spPr>
                </pic:pic>
              </a:graphicData>
            </a:graphic>
          </wp:inline>
        </w:drawing>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u w:val="single"/>
        </w:rPr>
        <w:t>Soil Vapor to Enclosed Space Equations</w:t>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5080159" cy="4127659"/>
            <wp:effectExtent l="0" t="0" r="0" b="0"/>
            <wp:docPr id="6" name="" descr="A group of equations that describe soil vapor to enclosed space that read in detail: RBSL_sv[mg/(kg-soil)]=(RBSL_air [μg/(m^3-air)])/(VF_sv)(mg/1000μg) , VF_sv[(mg∕(m^3-air))/(mg∕(kg-soil))]=((Hρ_S)/(θ_WS+k_s ρ_s+Hθ_as) [((D_S^eff)∕(L_s))/(ER L_B)])/(1+[((D_s^eff)∕(L_s))/(ER L_B)]+[((D_s^eff)∕(L_s))/(((D_crack^eff)∕(L_crack))^η)])(10^3 (cm^3-kg)/(m^3-g)) , D_crack^eff[(cm^2)/s]=D^air(θ_acrack^3.33)/(θ_T^2)+D^wat1/H(θ_wcrack^3.33)/(θ_T^2) ,  and  D_s^eff[(cm^2)/s]=D^air(θ_as^3.33)/(θ_T^2)+D^wat1/H(θ_ws^3.33)/(θ_T^2)"/>
            <wp:cNvGraphicFramePr>
              <a:graphicFrameLocks noChangeAspect="true"/>
            </wp:cNvGraphicFramePr>
            <a:graphic>
              <a:graphicData uri="http://schemas.openxmlformats.org/drawingml/2006/picture">
                <pic:pic>
                  <pic:nvPicPr>
                    <pic:cNvPr id="1" name=""/>
                    <pic:cNvPicPr/>
                  </pic:nvPicPr>
                  <pic:blipFill>
                    <a:blip r:embed="rId693"/>
                    <a:stretch>
                      <a:fillRect/>
                    </a:stretch>
                  </pic:blipFill>
                  <pic:spPr>
                    <a:xfrm>
                      <a:off x="0" y="0"/>
                      <a:ext cx="5080159" cy="41276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u w:val="single"/>
        </w:rPr>
        <w:t>Indoor Air Inhalation Equations</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Carcinogens:</w:t>
      </w:r>
    </w:p>
    <w:p>
      <w:pPr>
        <w:spacing w:before="0" w:after="0" w:line="480"/>
        <w:ind w:left="120"/>
        <w:jc w:val="both"/>
      </w:pPr>
      <w:r>
        <w:drawing>
          <wp:inline distT="0" distB="0" distL="0" distR="0">
            <wp:extent cx="4429125" cy="647700"/>
            <wp:effectExtent l="0" t="0" r="0" b="0"/>
            <wp:docPr id="7" name="" descr="An equation which describes indoor air inhalation for carcinogens and reads in detail: RBSL_air[μg/(m^3-air)]=(TR×BW×AT_c×365days/year×1000μg/mg)/(SF_i (×IR)_air×EF×ED)"/>
            <wp:cNvGraphicFramePr>
              <a:graphicFrameLocks noChangeAspect="true"/>
            </wp:cNvGraphicFramePr>
            <a:graphic>
              <a:graphicData uri="http://schemas.openxmlformats.org/drawingml/2006/picture">
                <pic:pic>
                  <pic:nvPicPr>
                    <pic:cNvPr id="1" name=""/>
                    <pic:cNvPicPr/>
                  </pic:nvPicPr>
                  <pic:blipFill>
                    <a:blip r:embed="rId694"/>
                    <a:stretch>
                      <a:fillRect/>
                    </a:stretch>
                  </pic:blipFill>
                  <pic:spPr>
                    <a:xfrm>
                      <a:off x="0" y="0"/>
                      <a:ext cx="4429125" cy="647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Noncarcinogens:</w:t>
      </w:r>
    </w:p>
    <w:p>
      <w:pPr>
        <w:spacing w:before="0" w:after="0" w:line="480"/>
        <w:ind w:left="120"/>
        <w:jc w:val="both"/>
      </w:pPr>
      <w:r>
        <w:drawing>
          <wp:inline distT="0" distB="0" distL="0" distR="0">
            <wp:extent cx="5212080" cy="907711"/>
            <wp:effectExtent l="0" t="0" r="0" b="0"/>
            <wp:docPr id="8" name="" descr="An equation which describes indoor air inhalation for noncarcinogens and reads in detail: RBSL_air[μg/(m^3-air)]=(THQ×RfD_i×BW×AT_n×(365 days)/year×1000μg/mg)/(IR_air×EF×ED)"/>
            <wp:cNvGraphicFramePr>
              <a:graphicFrameLocks noChangeAspect="true"/>
            </wp:cNvGraphicFramePr>
            <a:graphic>
              <a:graphicData uri="http://schemas.openxmlformats.org/drawingml/2006/picture">
                <pic:pic>
                  <pic:nvPicPr>
                    <pic:cNvPr id="1" name=""/>
                    <pic:cNvPicPr/>
                  </pic:nvPicPr>
                  <pic:blipFill>
                    <a:blip r:embed="rId695"/>
                    <a:stretch>
                      <a:fillRect/>
                    </a:stretch>
                  </pic:blipFill>
                  <pic:spPr>
                    <a:xfrm>
                      <a:off x="0" y="0"/>
                      <a:ext cx="5212080" cy="90771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u w:val="single"/>
        </w:rPr>
        <w:t>Groundwater Vapor to Enclosed Space Equations</w:t>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4444841" cy="634841"/>
            <wp:effectExtent l="0" t="0" r="0" b="0"/>
            <wp:docPr id="9" name="" descr="An equation which describes groundwater vapor to enclosed space and reads in detail: RBSL_gw[mg/(L-H_2O)]=(RBSL_air [μg/(m^3-air)])/(VF_gw)(mg/1000μg)"/>
            <wp:cNvGraphicFramePr>
              <a:graphicFrameLocks noChangeAspect="true"/>
            </wp:cNvGraphicFramePr>
            <a:graphic>
              <a:graphicData uri="http://schemas.openxmlformats.org/drawingml/2006/picture">
                <pic:pic>
                  <pic:nvPicPr>
                    <pic:cNvPr id="1" name=""/>
                    <pic:cNvPicPr/>
                  </pic:nvPicPr>
                  <pic:blipFill>
                    <a:blip r:embed="rId696"/>
                    <a:stretch>
                      <a:fillRect/>
                    </a:stretch>
                  </pic:blipFill>
                  <pic:spPr>
                    <a:xfrm>
                      <a:off x="0" y="0"/>
                      <a:ext cx="4444841" cy="6348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4825841" cy="1651159"/>
            <wp:effectExtent l="0" t="0" r="0" b="0"/>
            <wp:docPr id="10" name="" descr="An equation which describes groundwater vapor to enclosed space and reads in detail: VF_gw[(mg∕(m^3-air))/(mg∕(L-H_2O))]=H[((D_s^eff)∕(L_gw))/(ERL_B)]/(1+[((D_s^eff)∕(L_gw))/(ER L_B)]+[((D_s^eff)∕(L_gw))/(((D_crack^eff)∕(L_crack))^η)])((10^3L)/(m^3))"/>
            <wp:cNvGraphicFramePr>
              <a:graphicFrameLocks noChangeAspect="true"/>
            </wp:cNvGraphicFramePr>
            <a:graphic>
              <a:graphicData uri="http://schemas.openxmlformats.org/drawingml/2006/picture">
                <pic:pic>
                  <pic:nvPicPr>
                    <pic:cNvPr id="1" name=""/>
                    <pic:cNvPicPr/>
                  </pic:nvPicPr>
                  <pic:blipFill>
                    <a:blip r:embed="rId697"/>
                    <a:stretch>
                      <a:fillRect/>
                    </a:stretch>
                  </pic:blipFill>
                  <pic:spPr>
                    <a:xfrm>
                      <a:off x="0" y="0"/>
                      <a:ext cx="4825841" cy="1651159"/>
                    </a:xfrm>
                    <a:prstGeom prst="rect">
                      <a:avLst/>
                    </a:prstGeom>
                  </pic:spPr>
                </pic:pic>
              </a:graphicData>
            </a:graphic>
          </wp:inline>
        </w:drawing>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u w:val="single"/>
        </w:rPr>
        <w:t>Variable Definitions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
        <w:gridCol w:w="960"/>
        <w:gridCol w:w="9216"/>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Symbol</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Definition</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δ</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mixing zone thickness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-cracks/cm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-area)</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ρ</w:t>
            </w:r>
            <w:r>
              <w:rPr>
                <w:rFonts w:ascii="Times New Roman" w:hAnsi="Times New Roman"/>
                <w:b w:val="false"/>
                <w:i w:val="false"/>
                <w:color w:val="000000"/>
                <w:sz w:val="14"/>
                <w:vertAlign w:val="subscript"/>
              </w:rPr>
              <w:t>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 bulk density (g/cm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acrack</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foundation/wall cracks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vadose zone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T</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soil porosity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33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wcrack</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foundation/wall cracks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33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vadose zone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r>
              <w:rPr>
                <w:rFonts w:ascii="Times New Roman" w:hAnsi="Times New Roman"/>
                <w:b w:val="false"/>
                <w:i w:val="false"/>
                <w:color w:val="000000"/>
                <w:sz w:val="14"/>
                <w:vertAlign w:val="subscript"/>
              </w:rPr>
              <w:t>c</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averaging time for carcinogens (years)</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r>
              <w:rPr>
                <w:rFonts w:ascii="Times New Roman" w:hAnsi="Times New Roman"/>
                <w:b w:val="false"/>
                <w:i w:val="false"/>
                <w:color w:val="000000"/>
                <w:sz w:val="14"/>
                <w:vertAlign w:val="subscript"/>
              </w:rPr>
              <w:t>n</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averaging time for noncarcinogens (years)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body weight (kg)</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r>
              <w:rPr>
                <w:rFonts w:ascii="Times New Roman" w:hAnsi="Times New Roman"/>
                <w:b w:val="false"/>
                <w:i w:val="false"/>
                <w:color w:val="000000"/>
                <w:sz w:val="14"/>
                <w:vertAlign w:val="superscript"/>
              </w:rPr>
              <w:t>air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 diffusion coefficient in air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r>
              <w:rPr>
                <w:rFonts w:ascii="Times New Roman" w:hAnsi="Times New Roman"/>
                <w:b w:val="false"/>
                <w:i w:val="false"/>
                <w:color w:val="000000"/>
                <w:sz w:val="14"/>
                <w:vertAlign w:val="superscript"/>
              </w:rPr>
              <w:t>wat</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 diffusion coefficient in water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r>
      <w:tr>
        <w:trPr>
          <w:trHeight w:val="195" w:hRule="atLeast"/>
        </w:trPr>
        <w:tc>
          <w:tcPr>
            <w:tcW w:w="3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D</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vertAlign w:val="subscript"/>
              </w:rPr>
              <w:t>eff</w:t>
            </w:r>
          </w:p>
        </w:tc>
        <w:tc>
          <w:tcPr>
            <w:tcW w:w="9216" w:type="dxa"/>
            <w:vMerge w:val="restart"/>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effective diffusion coefficient through foundation cracks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r>
      <w:tr>
        <w:trPr>
          <w:trHeight w:val="195" w:hRule="atLeast"/>
        </w:trPr>
        <w:tc>
          <w:tcPr>
            <w:tcW w:w="0" w:type="auto"/>
            <w:vMerge/>
            <w:tcBorders>
              <w:top w:val="nil"/>
              <w:bottom w:val="single" w:color="000000" w:sz="8"/>
              <w:right w:val="single" w:color="000000" w:sz="8"/>
            </w:tcBorders>
          </w:tcP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vertAlign w:val="superscript"/>
              </w:rPr>
              <w:t>crack</w:t>
            </w:r>
          </w:p>
        </w:tc>
        <w:tc>
          <w:tcPr>
            <w:tcW w:w="0" w:type="auto"/>
            <w:vMerge/>
            <w:tcBorders>
              <w:top w:val="nil"/>
              <w:bottom w:val="single" w:color="000000" w:sz="8"/>
            </w:tcBorders>
          </w:tcPr>
          <w:p/>
        </w:tc>
      </w:tr>
      <w:tr>
        <w:trPr>
          <w:trHeight w:val="195" w:hRule="atLeast"/>
        </w:trPr>
        <w:tc>
          <w:tcPr>
            <w:tcW w:w="3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D</w:t>
            </w: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vertAlign w:val="subscript"/>
              </w:rPr>
              <w:t>eff</w:t>
            </w:r>
          </w:p>
        </w:tc>
        <w:tc>
          <w:tcPr>
            <w:tcW w:w="9216" w:type="dxa"/>
            <w:vMerge w:val="restart"/>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effective diffusion coefficient in soil based on vapor-phase concentration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r>
      <w:tr>
        <w:trPr>
          <w:trHeight w:val="195" w:hRule="atLeast"/>
        </w:trPr>
        <w:tc>
          <w:tcPr>
            <w:tcW w:w="0" w:type="auto"/>
            <w:vMerge/>
            <w:tcBorders>
              <w:top w:val="nil"/>
              <w:bottom w:val="single" w:color="000000" w:sz="8"/>
              <w:right w:val="single" w:color="000000" w:sz="8"/>
            </w:tcBorders>
          </w:tcPr>
          <w:p/>
        </w:tc>
        <w:tc>
          <w:tcPr>
            <w:tcW w:w="9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vertAlign w:val="superscript"/>
              </w:rPr>
              <w:t>s</w:t>
            </w:r>
          </w:p>
        </w:tc>
        <w:tc>
          <w:tcPr>
            <w:tcW w:w="0" w:type="auto"/>
            <w:vMerge/>
            <w:tcBorders>
              <w:top w:val="nil"/>
              <w:bottom w:val="single" w:color="000000" w:sz="8"/>
            </w:tcBorders>
          </w:tcP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exposure duration (years)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exposure frequency (days/year)</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 (s</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w:t>
            </w:r>
            <w:r>
              <w:rPr>
                <w:rFonts w:ascii="Times New Roman" w:hAnsi="Times New Roman"/>
                <w:b w:val="false"/>
                <w:i w:val="false"/>
                <w:color w:val="000000"/>
                <w:sz w:val="14"/>
                <w:vertAlign w:val="subscript"/>
              </w:rPr>
              <w:t>oc</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fraction organic carbon in the soil (kg-C/kg-soil)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henry’s law constant (L-H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O)/L-air)</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head gradient (cm/cm)</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infiltration rate of water through soil (cm/year)</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w:t>
            </w:r>
            <w:r>
              <w:rPr>
                <w:rFonts w:ascii="Times New Roman" w:hAnsi="Times New Roman"/>
                <w:b w:val="false"/>
                <w:i w:val="false"/>
                <w:color w:val="000000"/>
                <w:sz w:val="14"/>
                <w:vertAlign w:val="subscript"/>
              </w:rPr>
              <w:t>air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daily indoor inhalation rate (m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/day)</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w:t>
            </w:r>
            <w:r>
              <w:rPr>
                <w:rFonts w:ascii="Times New Roman" w:hAnsi="Times New Roman"/>
                <w:b w:val="false"/>
                <w:i w:val="false"/>
                <w:color w:val="000000"/>
                <w:sz w:val="14"/>
                <w:vertAlign w:val="subscript"/>
              </w:rPr>
              <w:t>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daily water ingestion rate (L/day)</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hydraulic conductivity (cm/year)</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r>
              <w:rPr>
                <w:rFonts w:ascii="Times New Roman" w:hAnsi="Times New Roman"/>
                <w:b w:val="false"/>
                <w:i w:val="false"/>
                <w:color w:val="000000"/>
                <w:sz w:val="14"/>
                <w:vertAlign w:val="subscript"/>
              </w:rPr>
              <w:t>oc</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carbon-water sorption coefficient (L-H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O/kg-C)</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r>
              <w:rPr>
                <w:rFonts w:ascii="Times New Roman" w:hAnsi="Times New Roman"/>
                <w:b w:val="false"/>
                <w:i w:val="false"/>
                <w:color w:val="000000"/>
                <w:sz w:val="14"/>
                <w:vertAlign w:val="subscript"/>
              </w:rPr>
              <w:t>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soil-water sorption coefficient (L-H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O/kg-soil), f</w:t>
            </w:r>
            <w:r>
              <w:rPr>
                <w:rFonts w:ascii="Times New Roman" w:hAnsi="Times New Roman"/>
                <w:b w:val="false"/>
                <w:i w:val="false"/>
                <w:color w:val="000000"/>
                <w:sz w:val="14"/>
                <w:vertAlign w:val="subscript"/>
              </w:rPr>
              <w:t>oc</w:t>
            </w:r>
            <w:r>
              <w:rPr>
                <w:rFonts w:ascii="Times New Roman" w:hAnsi="Times New Roman"/>
                <w:b w:val="false"/>
                <w:i w:val="false"/>
                <w:color w:val="000000"/>
                <w:sz w:val="14"/>
              </w:rPr>
              <w:t xml:space="preserve"> x K</w:t>
            </w:r>
            <w:r>
              <w:rPr>
                <w:rFonts w:ascii="Times New Roman" w:hAnsi="Times New Roman"/>
                <w:b w:val="false"/>
                <w:i w:val="false"/>
                <w:color w:val="000000"/>
                <w:sz w:val="14"/>
                <w:vertAlign w:val="subscript"/>
              </w:rPr>
              <w:t>oc</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crack</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LF</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leaching factor from soil to groundwater ((mg/L-H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O)/(mg/kg-soil))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gw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groundwater from the enclosed space foundation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s</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subsurface soil sources from the enclosed space foundation (cm)</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w:t>
            </w:r>
            <w:r>
              <w:rPr>
                <w:rFonts w:ascii="Times New Roman" w:hAnsi="Times New Roman"/>
                <w:b w:val="false"/>
                <w:i w:val="false"/>
                <w:color w:val="000000"/>
                <w:sz w:val="14"/>
                <w:vertAlign w:val="subscript"/>
              </w:rPr>
              <w:t>air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indoor air (μg/m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w:t>
            </w:r>
            <w:r>
              <w:rPr>
                <w:rFonts w:ascii="Times New Roman" w:hAnsi="Times New Roman"/>
                <w:b w:val="false"/>
                <w:i w:val="false"/>
                <w:color w:val="000000"/>
                <w:sz w:val="14"/>
                <w:vertAlign w:val="subscript"/>
              </w:rPr>
              <w:t>gw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vapor from groundwater to enclosed space air inhalation (mg/L-H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w:t>
            </w:r>
            <w:r>
              <w:rPr>
                <w:rFonts w:ascii="Times New Roman" w:hAnsi="Times New Roman"/>
                <w:b w:val="false"/>
                <w:i w:val="false"/>
                <w:color w:val="000000"/>
                <w:sz w:val="14"/>
                <w:vertAlign w:val="subscript"/>
              </w:rPr>
              <w:t>sl</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soil leaching to groundwater (mg/kg-soil)</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RBSLs</w:t>
            </w:r>
            <w:r>
              <w:rPr>
                <w:rFonts w:ascii="Times New Roman" w:hAnsi="Times New Roman"/>
                <w:b w:val="false"/>
                <w:i w:val="false"/>
                <w:color w:val="000000"/>
                <w:sz w:val="14"/>
                <w:vertAlign w:val="subscript"/>
              </w:rPr>
              <w:t>v</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vapors from soil to enclosed space air inhalation (mg/kg-soil)</w:t>
            </w:r>
          </w:p>
        </w:tc>
      </w:tr>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RBSL</w:t>
            </w:r>
            <w:r>
              <w:rPr>
                <w:rFonts w:ascii="Times New Roman" w:hAnsi="Times New Roman"/>
                <w:b w:val="false"/>
                <w:i w:val="false"/>
                <w:color w:val="000000"/>
                <w:sz w:val="14"/>
                <w:vertAlign w:val="subscript"/>
              </w:rPr>
              <w:t>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Risk-Based Screening Level for groundwater ingestion (mg/L-H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r>
              <w:rPr>
                <w:rFonts w:ascii="Times New Roman" w:hAnsi="Times New Roman"/>
                <w:b w:val="false"/>
                <w:i w:val="false"/>
                <w:color w:val="000000"/>
                <w:sz w:val="14"/>
                <w:vertAlign w:val="subscript"/>
              </w:rPr>
              <w:t>i</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inhalation chronic reference dose (mg/(kg-day))</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r>
              <w:rPr>
                <w:rFonts w:ascii="Times New Roman" w:hAnsi="Times New Roman"/>
                <w:b w:val="false"/>
                <w:i w:val="false"/>
                <w:color w:val="000000"/>
                <w:sz w:val="14"/>
                <w:vertAlign w:val="subscript"/>
              </w:rPr>
              <w:t>o</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oral chronic reference dose (mg/(kg-day))</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r>
              <w:rPr>
                <w:rFonts w:ascii="Times New Roman" w:hAnsi="Times New Roman"/>
                <w:b w:val="false"/>
                <w:i w:val="false"/>
                <w:color w:val="000000"/>
                <w:sz w:val="14"/>
                <w:vertAlign w:val="subscript"/>
              </w:rPr>
              <w:t>i</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inhalation cancer slope factor ((kg-day)/mg)</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r>
              <w:rPr>
                <w:rFonts w:ascii="Times New Roman" w:hAnsi="Times New Roman"/>
                <w:b w:val="false"/>
                <w:i w:val="false"/>
                <w:color w:val="000000"/>
                <w:sz w:val="14"/>
                <w:vertAlign w:val="subscript"/>
              </w:rPr>
              <w:t>o</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oral cancer slope factor ((kg-day)/mg)</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target hazard quotient for individual constituents (unitless)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target excess individual lifetime cancer risk (unitless)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Darcy velocity (cm/year), U=Ki</w:t>
            </w:r>
          </w:p>
        </w:tc>
      </w:tr>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VF</w:t>
            </w:r>
            <w:r>
              <w:rPr>
                <w:rFonts w:ascii="Times New Roman" w:hAnsi="Times New Roman"/>
                <w:b w:val="false"/>
                <w:i w:val="false"/>
                <w:color w:val="000000"/>
                <w:sz w:val="14"/>
                <w:vertAlign w:val="subscript"/>
              </w:rPr>
              <w:t>gw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volatilization factor for vapors from groundwater to enclosed space ((mg/m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-air)/(mg/kg-soil))</w:t>
            </w:r>
          </w:p>
        </w:tc>
      </w:tr>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VF</w:t>
            </w:r>
            <w:r>
              <w:rPr>
                <w:rFonts w:ascii="Times New Roman" w:hAnsi="Times New Roman"/>
                <w:b w:val="false"/>
                <w:i w:val="false"/>
                <w:color w:val="000000"/>
                <w:sz w:val="14"/>
                <w:vertAlign w:val="subscript"/>
              </w:rPr>
              <w:t>sv</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volatilization factor for vapors from soil to enclosed space ((mg/m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-air)/(mg/kg-soil))</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w:t>
            </w:r>
          </w:p>
        </w:tc>
        <w:tc>
          <w:tcPr>
            <w:tcW w:w="921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width of soil source area parallel to groundwater flow direction (cm)</w:t>
            </w:r>
          </w:p>
        </w:tc>
      </w:tr>
    </w:tbl>
    <w:p>
      <w:pPr>
        <w:spacing w:before="60" w:after="0" w:line="480"/>
        <w:ind w:left="120"/>
        <w:jc w:val="left"/>
      </w:pPr>
      <w:r>
        <w:rPr>
          <w:rFonts w:ascii="Times New Roman" w:hAnsi="Times New Roman"/>
          <w:b w:val="false"/>
          <w:i w:val="false"/>
          <w:color w:val="000000"/>
          <w:sz w:val="24"/>
        </w:rPr>
        <w:t>Soil and Groundwater Parameter Values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0"/>
        <w:gridCol w:w="7296"/>
        <w:gridCol w:w="2496"/>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Tier 1 Table Value</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hydraulic conductivity</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16060 cm/year</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head gradient</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cm/cm</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width of soil source area parallel to groundwater flow direction</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 cm</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infiltration rate of water through soil</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cm/year</w:t>
            </w:r>
          </w:p>
        </w:tc>
      </w:tr>
      <w:tr>
        <w:trPr>
          <w:trHeight w:val="19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δ</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mixing zone thickness</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ρ</w:t>
            </w:r>
            <w:r>
              <w:rPr>
                <w:rFonts w:ascii="Times New Roman" w:hAnsi="Times New Roman"/>
                <w:b w:val="false"/>
                <w:i w:val="false"/>
                <w:color w:val="000000"/>
                <w:sz w:val="14"/>
                <w:vertAlign w:val="subscript"/>
              </w:rPr>
              <w:t>s</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 bulk density</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1.86 g/cm</w:t>
            </w:r>
            <w:r>
              <w:rPr>
                <w:rFonts w:ascii="Times New Roman" w:hAnsi="Times New Roman"/>
                <w:b w:val="false"/>
                <w:i w:val="false"/>
                <w:color w:val="000000"/>
                <w:sz w:val="14"/>
                <w:vertAlign w:val="superscript"/>
              </w:rPr>
              <w:t>3</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as</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vadose zone</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33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ws</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vadose zone</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acrack</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foundation/wall cracks</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33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wcrack</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foundation/wall cracks</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T</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soil porosity</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w:t>
            </w:r>
            <w:r>
              <w:rPr>
                <w:rFonts w:ascii="Times New Roman" w:hAnsi="Times New Roman"/>
                <w:b w:val="false"/>
                <w:i w:val="false"/>
                <w:color w:val="000000"/>
                <w:sz w:val="14"/>
                <w:vertAlign w:val="subscript"/>
              </w:rPr>
              <w:t>oc</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fraction organic carbon in the soil</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kg-C/kg-soil</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s</w:t>
            </w:r>
          </w:p>
        </w:tc>
        <w:tc>
          <w:tcPr>
            <w:tcW w:w="72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subsurface soil sources from the enclosed space foundation</w:t>
            </w:r>
          </w:p>
        </w:tc>
        <w:tc>
          <w:tcPr>
            <w:tcW w:w="249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r>
      <w:tr>
        <w:trPr>
          <w:trHeight w:val="270" w:hRule="atLeast"/>
        </w:trPr>
        <w:tc>
          <w:tcPr>
            <w:tcW w:w="96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gw</w:t>
            </w:r>
          </w:p>
        </w:tc>
        <w:tc>
          <w:tcPr>
            <w:tcW w:w="72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groundwater from the enclosed space foundation</w:t>
            </w:r>
          </w:p>
        </w:tc>
        <w:tc>
          <w:tcPr>
            <w:tcW w:w="24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r>
    </w:tbl>
    <w:p>
      <w:pPr>
        <w:spacing w:before="60" w:after="0" w:line="480"/>
        <w:ind w:left="120"/>
        <w:jc w:val="left"/>
      </w:pPr>
      <w:r>
        <w:rPr>
          <w:rFonts w:ascii="Times New Roman" w:hAnsi="Times New Roman"/>
          <w:b w:val="false"/>
          <w:i w:val="false"/>
          <w:color w:val="000000"/>
          <w:sz w:val="24"/>
        </w:rPr>
        <w:t>Exposure Factors Used in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5760"/>
        <w:gridCol w:w="1728"/>
        <w:gridCol w:w="1728"/>
      </w:tblGrid>
      <w:tr>
        <w:trPr>
          <w:trHeight w:val="195" w:hRule="atLeast"/>
        </w:trPr>
        <w:tc>
          <w:tcPr>
            <w:tcW w:w="153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Residential</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Nonresidential</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r>
              <w:rPr>
                <w:rFonts w:ascii="Times New Roman" w:hAnsi="Times New Roman"/>
                <w:b w:val="false"/>
                <w:i w:val="false"/>
                <w:color w:val="000000"/>
                <w:sz w:val="14"/>
                <w:vertAlign w:val="subscript"/>
              </w:rPr>
              <w:t xml:space="preserve">c </w:t>
            </w:r>
            <w:r>
              <w:rPr>
                <w:rFonts w:ascii="Times New Roman" w:hAnsi="Times New Roman"/>
                <w:b w:val="false"/>
                <w:i w:val="false"/>
                <w:color w:val="000000"/>
                <w:sz w:val="14"/>
              </w:rPr>
              <w:t>(years)</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averaging time for carcinogens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r>
              <w:rPr>
                <w:rFonts w:ascii="Times New Roman" w:hAnsi="Times New Roman"/>
                <w:b w:val="false"/>
                <w:i w:val="false"/>
                <w:color w:val="000000"/>
                <w:sz w:val="14"/>
                <w:vertAlign w:val="subscript"/>
              </w:rPr>
              <w:t>n</w:t>
            </w:r>
            <w:r>
              <w:rPr>
                <w:rFonts w:ascii="Times New Roman" w:hAnsi="Times New Roman"/>
                <w:b w:val="false"/>
                <w:i w:val="false"/>
                <w:color w:val="000000"/>
                <w:sz w:val="14"/>
              </w:rPr>
              <w:t xml:space="preserve"> (years)</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averaging time for noncarcinogens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 (kg)</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body weight</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w:t>
            </w:r>
          </w:p>
        </w:tc>
      </w:tr>
      <w:tr>
        <w:trPr>
          <w:trHeight w:val="19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 (years)</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exposure duration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 (days/year)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exposure frequency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350</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r>
      <w:tr>
        <w:trPr>
          <w:trHeight w:val="33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w:t>
            </w:r>
            <w:r>
              <w:rPr>
                <w:rFonts w:ascii="Times New Roman" w:hAnsi="Times New Roman"/>
                <w:b w:val="false"/>
                <w:i w:val="false"/>
                <w:color w:val="000000"/>
                <w:sz w:val="14"/>
                <w:vertAlign w:val="subscript"/>
              </w:rPr>
              <w:t>air</w:t>
            </w:r>
            <w:r>
              <w:rPr>
                <w:rFonts w:ascii="Times New Roman" w:hAnsi="Times New Roman"/>
                <w:b w:val="false"/>
                <w:i w:val="false"/>
                <w:color w:val="000000"/>
                <w:sz w:val="14"/>
              </w:rPr>
              <w:t xml:space="preserve"> (m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/day)</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daily indoor inhalation rate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w:t>
            </w:r>
            <w:r>
              <w:rPr>
                <w:rFonts w:ascii="Times New Roman" w:hAnsi="Times New Roman"/>
                <w:b w:val="false"/>
                <w:i w:val="false"/>
                <w:color w:val="000000"/>
                <w:sz w:val="14"/>
                <w:vertAlign w:val="subscript"/>
              </w:rPr>
              <w:t>w</w:t>
            </w:r>
            <w:r>
              <w:rPr>
                <w:rFonts w:ascii="Times New Roman" w:hAnsi="Times New Roman"/>
                <w:b w:val="false"/>
                <w:i w:val="false"/>
                <w:color w:val="000000"/>
                <w:sz w:val="14"/>
              </w:rPr>
              <w:t xml:space="preserve"> (L/day)</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daily water ingestion rate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72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r>
      <w:tr>
        <w:trPr>
          <w:trHeight w:val="195" w:hRule="atLeast"/>
        </w:trPr>
        <w:tc>
          <w:tcPr>
            <w:tcW w:w="153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 (unitless)</w:t>
            </w:r>
          </w:p>
        </w:tc>
        <w:tc>
          <w:tcPr>
            <w:tcW w:w="576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target hazard quotient for individual constituents</w:t>
            </w:r>
          </w:p>
        </w:tc>
        <w:tc>
          <w:tcPr>
            <w:tcW w:w="172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172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r>
    </w:tbl>
    <w:p>
      <w:pPr>
        <w:spacing w:before="60" w:after="0" w:line="480"/>
        <w:ind w:left="120"/>
        <w:jc w:val="left"/>
      </w:pPr>
      <w:r>
        <w:rPr>
          <w:rFonts w:ascii="Times New Roman" w:hAnsi="Times New Roman"/>
          <w:b w:val="false"/>
          <w:i w:val="false"/>
          <w:color w:val="000000"/>
          <w:sz w:val="24"/>
        </w:rPr>
        <w:t>Building Parameters Used in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4224"/>
        <w:gridCol w:w="1920"/>
        <w:gridCol w:w="1920"/>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Residential</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Nonresidential</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0.00014</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0.00023</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r>
              <w:rPr>
                <w:rFonts w:ascii="Times New Roman" w:hAnsi="Times New Roman"/>
                <w:b w:val="false"/>
                <w:i w:val="false"/>
                <w:color w:val="000000"/>
                <w:sz w:val="14"/>
              </w:rPr>
              <w:t xml:space="preserve"> (cm)</w:t>
            </w:r>
          </w:p>
        </w:tc>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r>
      <w:tr>
        <w:trPr>
          <w:trHeight w:val="27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crack</w:t>
            </w:r>
            <w:r>
              <w:rPr>
                <w:rFonts w:ascii="Times New Roman" w:hAnsi="Times New Roman"/>
                <w:b w:val="false"/>
                <w:i w:val="false"/>
                <w:color w:val="000000"/>
                <w:sz w:val="14"/>
              </w:rPr>
              <w:t xml:space="preserve"> (cm)</w:t>
            </w:r>
          </w:p>
        </w:tc>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153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422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w:t>
            </w:r>
          </w:p>
        </w:tc>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w:t>
            </w:r>
          </w:p>
        </w:tc>
      </w:tr>
    </w:tbl>
    <w:p>
      <w:pPr>
        <w:spacing w:before="60" w:after="0" w:line="480"/>
        <w:ind w:left="120"/>
        <w:jc w:val="left"/>
      </w:pPr>
      <w:r>
        <w:rPr>
          <w:rFonts w:ascii="Times New Roman" w:hAnsi="Times New Roman"/>
          <w:b w:val="false"/>
          <w:i w:val="false"/>
          <w:color w:val="000000"/>
          <w:sz w:val="24"/>
        </w:rPr>
        <w:t>Chemical-Specific Parameter Values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1920"/>
        <w:gridCol w:w="1920"/>
        <w:gridCol w:w="1920"/>
        <w:gridCol w:w="1920"/>
      </w:tblGrid>
      <w:tr>
        <w:trPr>
          <w:trHeight w:val="27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r>
              <w:rPr>
                <w:rFonts w:ascii="Times New Roman" w:hAnsi="Times New Roman"/>
                <w:b w:val="false"/>
                <w:i w:val="false"/>
                <w:color w:val="000000"/>
                <w:sz w:val="14"/>
                <w:vertAlign w:val="superscript"/>
              </w:rPr>
              <w:t>air</w:t>
            </w:r>
            <w:r>
              <w:rPr>
                <w:rFonts w:ascii="Times New Roman" w:hAnsi="Times New Roman"/>
                <w:b w:val="false"/>
                <w:i w:val="false"/>
                <w:color w:val="000000"/>
                <w:sz w:val="14"/>
              </w:rPr>
              <w:t xml:space="preserve">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w:t>
            </w:r>
            <w:r>
              <w:rPr>
                <w:rFonts w:ascii="Times New Roman" w:hAnsi="Times New Roman"/>
                <w:b w:val="false"/>
                <w:i w:val="false"/>
                <w:color w:val="000000"/>
                <w:sz w:val="14"/>
                <w:vertAlign w:val="superscript"/>
              </w:rPr>
              <w:t>wat</w:t>
            </w:r>
            <w:r>
              <w:rPr>
                <w:rFonts w:ascii="Times New Roman" w:hAnsi="Times New Roman"/>
                <w:b w:val="false"/>
                <w:i w:val="false"/>
                <w:color w:val="000000"/>
                <w:sz w:val="14"/>
              </w:rPr>
              <w:t xml:space="preserve">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 (L-air/L-water)</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log(K</w:t>
            </w:r>
            <w:r>
              <w:rPr>
                <w:rFonts w:ascii="Times New Roman" w:hAnsi="Times New Roman"/>
                <w:b w:val="false"/>
                <w:i w:val="false"/>
                <w:color w:val="000000"/>
                <w:sz w:val="14"/>
                <w:vertAlign w:val="subscript"/>
              </w:rPr>
              <w:t>oc</w:t>
            </w:r>
            <w:r>
              <w:rPr>
                <w:rFonts w:ascii="Times New Roman" w:hAnsi="Times New Roman"/>
                <w:b w:val="false"/>
                <w:i w:val="false"/>
                <w:color w:val="000000"/>
                <w:sz w:val="14"/>
              </w:rPr>
              <w:t>), L/kg</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0.093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1.1e-5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0.22</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1.58</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0.085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9.4e-6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0.26</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2.13</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8.5e-6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0.32</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1.98</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8.5e-6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0.29</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2.38</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9.4e-6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0.049</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3.11</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Benzo(a)pyrene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5.8e-6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5.8e-8</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5.59</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Benz(a)anthracene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9.0e-6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5.74e-7</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6.14</w:t>
            </w:r>
          </w:p>
        </w:tc>
      </w:tr>
      <w:tr>
        <w:trPr>
          <w:trHeight w:val="195" w:hRule="atLeast"/>
        </w:trPr>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Chrysene</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0.025</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6.2e-6</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4.9e-7</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5.30</w:t>
            </w:r>
          </w:p>
        </w:tc>
      </w:tr>
    </w:tbl>
    <w:p>
      <w:pPr>
        <w:spacing w:before="60" w:after="0" w:line="480"/>
        <w:ind w:left="120"/>
        <w:jc w:val="left"/>
      </w:pPr>
      <w:r>
        <w:rPr>
          <w:rFonts w:ascii="Times New Roman" w:hAnsi="Times New Roman"/>
          <w:b w:val="false"/>
          <w:i w:val="false"/>
          <w:color w:val="000000"/>
          <w:sz w:val="24"/>
        </w:rPr>
        <w:t>Saturation Values Used to Determine “NA” for the Iowa Tier 1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0"/>
        <w:gridCol w:w="3176"/>
        <w:gridCol w:w="3176"/>
      </w:tblGrid>
      <w:tr>
        <w:trPr>
          <w:trHeight w:val="660"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Solubility in Water (mg/L)</w:t>
            </w:r>
            <w:r>
              <w:br/>
            </w:r>
            <w:r>
              <w:rPr>
                <w:rFonts w:ascii="Times New Roman" w:hAnsi="Times New Roman"/>
                <w:b w:val="false"/>
                <w:i w:val="false"/>
                <w:color w:val="000000"/>
                <w:sz w:val="14"/>
              </w:rPr>
              <w:t>S</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Saturation in Soil (mg/kg)</w:t>
            </w:r>
            <w:r>
              <w:br/>
            </w:r>
            <w:r>
              <w:rPr>
                <w:rFonts w:ascii="Times New Roman" w:hAnsi="Times New Roman"/>
                <w:b w:val="false"/>
                <w:i w:val="false"/>
                <w:color w:val="000000"/>
                <w:sz w:val="14"/>
              </w:rPr>
              <w:t>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1,750</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801</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535</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765</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152</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159</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198</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492</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401</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Benzo(a)pyrene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0.0012</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4.69</w:t>
            </w:r>
          </w:p>
        </w:tc>
      </w:tr>
      <w:tr>
        <w:trPr>
          <w:trHeight w:val="195" w:hRule="atLeast"/>
        </w:trPr>
        <w:tc>
          <w:tcPr>
            <w:tcW w:w="2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Benz(a)anthracene</w:t>
            </w:r>
          </w:p>
        </w:tc>
        <w:tc>
          <w:tcPr>
            <w:tcW w:w="31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0.014</w:t>
            </w:r>
          </w:p>
        </w:tc>
        <w:tc>
          <w:tcPr>
            <w:tcW w:w="31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193.3</w:t>
            </w:r>
          </w:p>
        </w:tc>
      </w:tr>
      <w:tr>
        <w:trPr>
          <w:trHeight w:val="195" w:hRule="atLeast"/>
        </w:trPr>
        <w:tc>
          <w:tcPr>
            <w:tcW w:w="260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Chrysene</w:t>
            </w:r>
          </w:p>
        </w:tc>
        <w:tc>
          <w:tcPr>
            <w:tcW w:w="317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0.0028</w:t>
            </w:r>
          </w:p>
        </w:tc>
        <w:tc>
          <w:tcPr>
            <w:tcW w:w="31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5.59</w:t>
            </w:r>
          </w:p>
        </w:tc>
      </w:tr>
    </w:tbl>
    <w:p>
      <w:pPr>
        <w:spacing w:before="0" w:after="0"/>
        <w:ind w:left="120"/>
        <w:jc w:val="both"/>
      </w:pPr>
      <w:r>
        <w:rPr>
          <w:rFonts w:ascii="Times New Roman" w:hAnsi="Times New Roman"/>
          <w:b w:val="false"/>
          <w:i w:val="false"/>
          <w:color w:val="000000"/>
          <w:sz w:val="14"/>
        </w:rPr>
        <w:t>The maximum solubility of the pure chemical in water is listed in the table above. The equation below is used to calculate the soil concentration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 at which dissolved pore-water and vapor phases become saturated. Tier 1 default values are used in the equation. “NA” (for not applicable) is used in the Tier 1 table when the risk-based value exceeds maximum solubility for water (S) or maximum saturation for soil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w:t>
      </w:r>
    </w:p>
    <w:p>
      <w:pPr>
        <w:spacing w:before="0" w:after="0"/>
        <w:ind w:left="120"/>
        <w:jc w:val="both"/>
      </w:pPr>
    </w:p>
    <w:p>
      <w:pPr>
        <w:spacing w:before="0" w:after="0" w:line="480"/>
        <w:ind w:left="120"/>
        <w:jc w:val="both"/>
      </w:pPr>
      <w:r>
        <w:drawing>
          <wp:inline distT="0" distB="0" distL="0" distR="0">
            <wp:extent cx="3474720" cy="548640"/>
            <wp:effectExtent l="0" t="0" r="0" b="0"/>
            <wp:docPr id="11" name="" descr="An equation which describes the saturation values used to determine “NA” for the Iowa Tier 1 Table which reads in detail: (C_s)^sat[mg/(kg-soil)]=S/(ρ_s)×(Hθ_as+θ_ws+k_s ρ_s)"/>
            <wp:cNvGraphicFramePr>
              <a:graphicFrameLocks noChangeAspect="true"/>
            </wp:cNvGraphicFramePr>
            <a:graphic>
              <a:graphicData uri="http://schemas.openxmlformats.org/drawingml/2006/picture">
                <pic:pic>
                  <pic:nvPicPr>
                    <pic:cNvPr id="1" name=""/>
                    <pic:cNvPicPr/>
                  </pic:nvPicPr>
                  <pic:blipFill>
                    <a:blip r:embed="rId698"/>
                    <a:stretch>
                      <a:fillRect/>
                    </a:stretch>
                  </pic:blipFill>
                  <pic:spPr>
                    <a:xfrm>
                      <a:off x="0" y="0"/>
                      <a:ext cx="3474720" cy="54864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60" w:after="0" w:line="480"/>
        <w:ind w:left="120"/>
        <w:jc w:val="left"/>
      </w:pPr>
      <w:r>
        <w:rPr>
          <w:rFonts w:ascii="Times New Roman" w:hAnsi="Times New Roman"/>
          <w:b w:val="false"/>
          <w:i w:val="false"/>
          <w:color w:val="000000"/>
          <w:sz w:val="24"/>
        </w:rPr>
        <w:t>Slope Factors and Reference Doses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112"/>
        <w:gridCol w:w="2112"/>
        <w:gridCol w:w="2112"/>
        <w:gridCol w:w="2112"/>
        <w:gridCol w:w="2112"/>
      </w:tblGrid>
      <w:tr>
        <w:trPr>
          <w:trHeight w:val="270"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r>
              <w:rPr>
                <w:rFonts w:ascii="Times New Roman" w:hAnsi="Times New Roman"/>
                <w:b w:val="false"/>
                <w:i w:val="false"/>
                <w:color w:val="000000"/>
                <w:sz w:val="14"/>
                <w:vertAlign w:val="subscript"/>
              </w:rPr>
              <w:t xml:space="preserve">i </w:t>
            </w:r>
            <w:r>
              <w:rPr>
                <w:rFonts w:ascii="Times New Roman" w:hAnsi="Times New Roman"/>
                <w:b w:val="false"/>
                <w:i w:val="false"/>
                <w:color w:val="000000"/>
                <w:sz w:val="14"/>
              </w:rPr>
              <w:t>((kg-day)/mg)</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r>
              <w:rPr>
                <w:rFonts w:ascii="Times New Roman" w:hAnsi="Times New Roman"/>
                <w:b w:val="false"/>
                <w:i w:val="false"/>
                <w:color w:val="000000"/>
                <w:sz w:val="14"/>
                <w:vertAlign w:val="subscript"/>
              </w:rPr>
              <w:t>o</w:t>
            </w:r>
            <w:r>
              <w:rPr>
                <w:rFonts w:ascii="Times New Roman" w:hAnsi="Times New Roman"/>
                <w:b w:val="false"/>
                <w:i w:val="false"/>
                <w:color w:val="000000"/>
                <w:sz w:val="14"/>
              </w:rPr>
              <w:t xml:space="preserve"> ((kg-day)/mg)</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r>
              <w:rPr>
                <w:rFonts w:ascii="Times New Roman" w:hAnsi="Times New Roman"/>
                <w:b w:val="false"/>
                <w:i w:val="false"/>
                <w:color w:val="000000"/>
                <w:sz w:val="14"/>
                <w:vertAlign w:val="subscript"/>
              </w:rPr>
              <w:t xml:space="preserve">i </w:t>
            </w:r>
            <w:r>
              <w:rPr>
                <w:rFonts w:ascii="Times New Roman" w:hAnsi="Times New Roman"/>
                <w:b w:val="false"/>
                <w:i w:val="false"/>
                <w:color w:val="000000"/>
                <w:sz w:val="14"/>
              </w:rPr>
              <w:t>(mg/(kg-day))</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r>
              <w:rPr>
                <w:rFonts w:ascii="Times New Roman" w:hAnsi="Times New Roman"/>
                <w:b w:val="false"/>
                <w:i w:val="false"/>
                <w:color w:val="000000"/>
                <w:sz w:val="14"/>
                <w:vertAlign w:val="subscript"/>
              </w:rPr>
              <w:t xml:space="preserve">o </w:t>
            </w:r>
            <w:r>
              <w:rPr>
                <w:rFonts w:ascii="Times New Roman" w:hAnsi="Times New Roman"/>
                <w:b w:val="false"/>
                <w:i w:val="false"/>
                <w:color w:val="000000"/>
                <w:sz w:val="14"/>
              </w:rPr>
              <w:t>(mg/(kg-day))</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0.029</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0.029</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0.114</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0.286</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0.004</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0.004</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Benzo(a)pyrene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6.1</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7.3</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195" w:hRule="atLeast"/>
        </w:trPr>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Benz(a)anthracene</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0.61</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0.73</w:t>
            </w:r>
          </w:p>
        </w:tc>
        <w:tc>
          <w:tcPr>
            <w:tcW w:w="21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195" w:hRule="atLeast"/>
        </w:trPr>
        <w:tc>
          <w:tcPr>
            <w:tcW w:w="211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Chrysene</w:t>
            </w:r>
          </w:p>
        </w:tc>
        <w:tc>
          <w:tcPr>
            <w:tcW w:w="211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0.061</w:t>
            </w:r>
          </w:p>
        </w:tc>
        <w:tc>
          <w:tcPr>
            <w:tcW w:w="211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0.073</w:t>
            </w:r>
          </w:p>
        </w:tc>
        <w:tc>
          <w:tcPr>
            <w:tcW w:w="211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bl>
    <w:p>
      <w:pPr>
        <w:spacing w:before="0" w:after="0"/>
        <w:ind w:left="120"/>
        <w:jc w:val="center"/>
      </w:pPr>
      <w:r>
        <w:br w:type="page"/>
      </w:r>
      <w:r>
        <w:rPr>
          <w:rFonts w:ascii="Times New Roman" w:hAnsi="Times New Roman"/>
          <w:b/>
          <w:i w:val="false"/>
          <w:color w:val="000000"/>
          <w:sz w:val="24"/>
        </w:rPr>
        <w:t>Appendix B – Tier 2 Equations and Parameter Values (Revised Model)</w:t>
      </w:r>
      <w:r>
        <w:br/>
      </w:r>
    </w:p>
    <w:p>
      <w:pPr>
        <w:spacing w:before="0" w:after="0"/>
        <w:ind w:left="120"/>
        <w:jc w:val="both"/>
      </w:pPr>
      <w:r>
        <w:rPr>
          <w:rFonts w:ascii="Times New Roman" w:hAnsi="Times New Roman"/>
          <w:b w:val="false"/>
          <w:i w:val="false"/>
          <w:color w:val="000000"/>
          <w:sz w:val="24"/>
        </w:rPr>
        <w:t>All Tier 1 equations and parameters apply at Tier 2 except as specified below.</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u w:val="single"/>
        </w:rPr>
        <w:t>Equation for Tier 2 Groundwater Contaminant Transport Model</w:t>
      </w:r>
    </w:p>
    <w:p>
      <w:pPr>
        <w:spacing w:before="0" w:after="0"/>
        <w:ind w:left="120"/>
        <w:jc w:val="both"/>
      </w:pPr>
      <w:r>
        <w:rPr>
          <w:rFonts w:ascii="Times New Roman" w:hAnsi="Times New Roman"/>
          <w:b w:val="false"/>
          <w:i w:val="false"/>
          <w:color w:val="000000"/>
          <w:sz w:val="24"/>
        </w:rPr>
        <w:t>Equation (1)</w:t>
      </w:r>
    </w:p>
    <w:p>
      <w:pPr>
        <w:spacing w:before="0" w:after="0" w:line="480"/>
        <w:ind w:left="120"/>
        <w:jc w:val="both"/>
      </w:pPr>
      <w:r>
        <w:drawing>
          <wp:inline distT="0" distB="0" distL="0" distR="0">
            <wp:extent cx="3810000" cy="571500"/>
            <wp:effectExtent l="0" t="0" r="0" b="0"/>
            <wp:docPr id="12" name="" descr="An equation which describes the Tier 2 Groundwater Contaminant Transport Model and reads in detail: C(x)=(C_s)exp((X_m)/(2a_x) [1-√(1+(4λa_x)/u)])erf((S_w)/4√(a_y x_m))erf((S_d)/4√(a_z x_m))"/>
            <wp:cNvGraphicFramePr>
              <a:graphicFrameLocks noChangeAspect="true"/>
            </wp:cNvGraphicFramePr>
            <a:graphic>
              <a:graphicData uri="http://schemas.openxmlformats.org/drawingml/2006/picture">
                <pic:pic>
                  <pic:nvPicPr>
                    <pic:cNvPr id="1" name=""/>
                    <pic:cNvPicPr/>
                  </pic:nvPicPr>
                  <pic:blipFill>
                    <a:blip r:embed="rId699"/>
                    <a:stretch>
                      <a:fillRect/>
                    </a:stretch>
                  </pic:blipFill>
                  <pic:spPr>
                    <a:xfrm>
                      <a:off x="0" y="0"/>
                      <a:ext cx="3810000" cy="5715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Equation (2)</w:t>
      </w:r>
    </w:p>
    <w:p>
      <w:pPr>
        <w:spacing w:before="0" w:after="0"/>
        <w:ind w:left="120"/>
        <w:jc w:val="both"/>
      </w:pPr>
      <w:r>
        <w:rPr>
          <w:rFonts w:ascii="Times New Roman" w:hAnsi="Times New Roman"/>
          <w:b w:val="false"/>
          <w:i w:val="false"/>
          <w:color w:val="000000"/>
          <w:sz w:val="24"/>
        </w:rPr>
        <w:t>Where xm = ax + bxc</w:t>
      </w:r>
    </w:p>
    <w:p>
      <w:pPr>
        <w:spacing w:before="0" w:after="0"/>
        <w:ind w:left="120"/>
        <w:jc w:val="both"/>
      </w:pPr>
      <w:r>
        <w:rPr>
          <w:rFonts w:ascii="Times New Roman" w:hAnsi="Times New Roman"/>
          <w:b w:val="false"/>
          <w:i w:val="false"/>
          <w:color w:val="000000"/>
          <w:sz w:val="24"/>
        </w:rPr>
        <w:t>The value of Xm is computed from Equation (2), where the values for a, b and c in Equation (2) are given in Table 1.</w:t>
      </w:r>
    </w:p>
    <w:p>
      <w:pPr>
        <w:spacing w:before="0" w:after="0"/>
        <w:ind w:left="120"/>
        <w:jc w:val="both"/>
      </w:pPr>
      <w:r>
        <w:rPr>
          <w:rFonts w:ascii="Times New Roman" w:hAnsi="Times New Roman"/>
          <w:b w:val="false"/>
          <w:i w:val="false"/>
          <w:color w:val="000000"/>
          <w:sz w:val="24"/>
        </w:rPr>
        <w:t>Table 1. Parameter Values for Equation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31"/>
        <w:gridCol w:w="522"/>
        <w:gridCol w:w="3200"/>
        <w:gridCol w:w="3467"/>
      </w:tblGrid>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0.000000227987</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3.929438689</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0.000030701</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3.133842393</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TEH-Diesel</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0.000000565</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3.625804634</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TEH-Waste Oil</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0.000000565</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3.625804634</w:t>
            </w:r>
          </w:p>
        </w:tc>
      </w:tr>
      <w:tr>
        <w:trPr>
          <w:trHeight w:val="195" w:hRule="atLeast"/>
        </w:trPr>
        <w:tc>
          <w:tcPr>
            <w:tcW w:w="30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52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3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bl>
    <w:p>
      <w:pPr>
        <w:spacing w:before="0" w:after="0"/>
        <w:ind w:left="120"/>
        <w:jc w:val="both"/>
      </w:pPr>
      <w:r>
        <w:rPr>
          <w:rFonts w:ascii="Times New Roman" w:hAnsi="Times New Roman"/>
          <w:b w:val="false"/>
          <w:i w:val="false"/>
          <w:color w:val="000000"/>
          <w:sz w:val="24"/>
          <w:u w:val="single"/>
        </w:rPr>
        <w:t>Variable definitions</w:t>
      </w:r>
    </w:p>
    <w:p>
      <w:pPr>
        <w:spacing w:before="0" w:after="0"/>
        <w:ind w:left="120"/>
        <w:jc w:val="both"/>
      </w:pPr>
      <w:r>
        <w:rPr>
          <w:rFonts w:ascii="Times New Roman" w:hAnsi="Times New Roman"/>
          <w:b w:val="false"/>
          <w:i w:val="false"/>
          <w:color w:val="000000"/>
          <w:sz w:val="24"/>
        </w:rPr>
        <w:t>x: distance in the x direction downgradient from the source</w:t>
      </w:r>
    </w:p>
    <w:p>
      <w:pPr>
        <w:spacing w:before="0" w:after="0"/>
        <w:ind w:left="120"/>
        <w:jc w:val="both"/>
      </w:pPr>
      <w:r>
        <w:rPr>
          <w:rFonts w:ascii="Times New Roman" w:hAnsi="Times New Roman"/>
          <w:b w:val="false"/>
          <w:i w:val="false"/>
          <w:color w:val="000000"/>
          <w:sz w:val="24"/>
        </w:rPr>
        <w:t>erf( ): the error function</w:t>
      </w:r>
    </w:p>
    <w:p>
      <w:pPr>
        <w:spacing w:before="0" w:after="0"/>
        <w:ind w:left="120"/>
        <w:jc w:val="both"/>
      </w:pPr>
      <w:r>
        <w:rPr>
          <w:rFonts w:ascii="Times New Roman" w:hAnsi="Times New Roman"/>
          <w:b w:val="false"/>
          <w:i w:val="false"/>
          <w:color w:val="000000"/>
          <w:sz w:val="24"/>
        </w:rPr>
        <w:t>C(x): chemical concentration in groundwater at x</w:t>
      </w:r>
    </w:p>
    <w:p>
      <w:pPr>
        <w:spacing w:before="0" w:after="0"/>
        <w:ind w:left="120"/>
        <w:jc w:val="both"/>
      </w:pPr>
      <w:r>
        <w:rPr>
          <w:rFonts w:ascii="Times New Roman" w:hAnsi="Times New Roman"/>
          <w:b w:val="false"/>
          <w:i w:val="false"/>
          <w:color w:val="000000"/>
          <w:sz w:val="24"/>
        </w:rPr>
        <w:t>C</w:t>
      </w:r>
      <w:r>
        <w:rPr>
          <w:rFonts w:ascii="Times New Roman" w:hAnsi="Times New Roman"/>
          <w:b w:val="false"/>
          <w:i w:val="false"/>
          <w:color w:val="000000"/>
          <w:sz w:val="24"/>
          <w:vertAlign w:val="subscript"/>
        </w:rPr>
        <w:t>s</w:t>
      </w:r>
      <w:r>
        <w:rPr>
          <w:rFonts w:ascii="Times New Roman" w:hAnsi="Times New Roman"/>
          <w:b w:val="false"/>
          <w:i w:val="false"/>
          <w:color w:val="000000"/>
          <w:sz w:val="24"/>
        </w:rPr>
        <w:t>: Source concentration in groundwater (groundwater concentration at x=0)</w:t>
      </w:r>
    </w:p>
    <w:p>
      <w:pPr>
        <w:spacing w:before="0" w:after="0"/>
        <w:ind w:left="120"/>
        <w:jc w:val="both"/>
      </w:pPr>
      <w:r>
        <w:rPr>
          <w:rFonts w:ascii="Times New Roman" w:hAnsi="Times New Roman"/>
          <w:b w:val="false"/>
          <w:i w:val="false"/>
          <w:color w:val="000000"/>
          <w:sz w:val="24"/>
        </w:rPr>
        <w:t>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width of the source (perpendicular to x)</w:t>
      </w:r>
    </w:p>
    <w:p>
      <w:pPr>
        <w:spacing w:before="0" w:after="0"/>
        <w:ind w:left="120"/>
        <w:jc w:val="both"/>
      </w:pPr>
      <w:r>
        <w:rPr>
          <w:rFonts w:ascii="Times New Roman" w:hAnsi="Times New Roman"/>
          <w:b w:val="false"/>
          <w:i w:val="false"/>
          <w:color w:val="000000"/>
          <w:sz w:val="24"/>
        </w:rPr>
        <w:t>S</w:t>
      </w:r>
      <w:r>
        <w:rPr>
          <w:rFonts w:ascii="Times New Roman" w:hAnsi="Times New Roman"/>
          <w:b w:val="false"/>
          <w:i w:val="false"/>
          <w:color w:val="000000"/>
          <w:sz w:val="24"/>
          <w:vertAlign w:val="subscript"/>
        </w:rPr>
        <w:t>d</w:t>
      </w:r>
      <w:r>
        <w:rPr>
          <w:rFonts w:ascii="Times New Roman" w:hAnsi="Times New Roman"/>
          <w:b w:val="false"/>
          <w:i w:val="false"/>
          <w:color w:val="000000"/>
          <w:sz w:val="24"/>
        </w:rPr>
        <w:t>: vertical thickness of the source</w:t>
      </w:r>
    </w:p>
    <w:p>
      <w:pPr>
        <w:spacing w:before="0" w:after="0"/>
        <w:ind w:left="120"/>
        <w:jc w:val="both"/>
      </w:pPr>
      <w:r>
        <w:rPr>
          <w:rFonts w:ascii="Times New Roman" w:hAnsi="Times New Roman"/>
          <w:b w:val="false"/>
          <w:i w:val="false"/>
          <w:color w:val="000000"/>
          <w:sz w:val="24"/>
        </w:rPr>
        <w:t>u: groundwater velocity (pore water velocity); u=Ki/θe</w:t>
      </w:r>
    </w:p>
    <w:p>
      <w:pPr>
        <w:spacing w:before="0" w:after="0"/>
        <w:ind w:left="120"/>
        <w:jc w:val="both"/>
      </w:pPr>
      <w:r>
        <w:rPr>
          <w:rFonts w:ascii="Times New Roman" w:hAnsi="Times New Roman"/>
          <w:b w:val="false"/>
          <w:i w:val="false"/>
          <w:color w:val="000000"/>
          <w:sz w:val="24"/>
        </w:rPr>
        <w:t>K: hydraulic conductivity</w:t>
      </w:r>
    </w:p>
    <w:p>
      <w:pPr>
        <w:spacing w:before="0" w:after="0"/>
        <w:ind w:left="120"/>
        <w:jc w:val="both"/>
      </w:pPr>
      <w:r>
        <w:rPr>
          <w:rFonts w:ascii="Times New Roman" w:hAnsi="Times New Roman"/>
          <w:b w:val="false"/>
          <w:i w:val="false"/>
          <w:color w:val="000000"/>
          <w:sz w:val="24"/>
        </w:rPr>
        <w:t>i: groundwater head gradient</w:t>
      </w:r>
    </w:p>
    <w:p>
      <w:pPr>
        <w:spacing w:before="0" w:after="0"/>
        <w:ind w:left="120"/>
        <w:jc w:val="both"/>
      </w:pPr>
      <w:r>
        <w:rPr>
          <w:rFonts w:ascii="Times New Roman" w:hAnsi="Times New Roman"/>
          <w:b w:val="false"/>
          <w:i w:val="false"/>
          <w:color w:val="000000"/>
          <w:sz w:val="24"/>
        </w:rPr>
        <w:t>θe: effective porosity</w:t>
      </w:r>
    </w:p>
    <w:p>
      <w:pPr>
        <w:spacing w:before="0" w:after="0"/>
        <w:ind w:left="120"/>
        <w:jc w:val="both"/>
      </w:pPr>
      <w:r>
        <w:rPr>
          <w:rFonts w:ascii="Times New Roman" w:hAnsi="Times New Roman"/>
          <w:b w:val="false"/>
          <w:i w:val="false"/>
          <w:color w:val="000000"/>
          <w:sz w:val="24"/>
        </w:rPr>
        <w:t>λ: first order decay coefficient, chemical specific</w:t>
      </w:r>
    </w:p>
    <w:p>
      <w:pPr>
        <w:spacing w:before="0" w:after="0"/>
        <w:ind w:left="120"/>
        <w:jc w:val="both"/>
      </w:pPr>
      <w:r>
        <w:rPr>
          <w:rFonts w:ascii="Times New Roman" w:hAnsi="Times New Roman"/>
          <w:b w:val="false"/>
          <w:i w:val="false"/>
          <w:color w:val="000000"/>
          <w:sz w:val="24"/>
        </w:rPr>
        <w:t>αx, αy, αz: dispersivities in the x, y and z directions, respectively</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For the following lists of parameters, one of three is required: site-specific measurements, defaults or the option of either (which means the default may be used or replaced with a site-specific measurement).</w:t>
      </w:r>
    </w:p>
    <w:p>
      <w:pPr>
        <w:spacing w:before="60" w:after="0" w:line="480"/>
        <w:ind w:left="120"/>
        <w:jc w:val="left"/>
      </w:pPr>
      <w:r>
        <w:rPr>
          <w:rFonts w:ascii="Times New Roman" w:hAnsi="Times New Roman"/>
          <w:b w:val="false"/>
          <w:i w:val="false"/>
          <w:color w:val="000000"/>
          <w:sz w:val="24"/>
        </w:rPr>
        <w:t>Soil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2"/>
        <w:gridCol w:w="4789"/>
        <w:gridCol w:w="2014"/>
        <w:gridCol w:w="1387"/>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ρ</w:t>
            </w:r>
            <w:r>
              <w:rPr>
                <w:rFonts w:ascii="Times New Roman" w:hAnsi="Times New Roman"/>
                <w:b w:val="false"/>
                <w:i w:val="false"/>
                <w:color w:val="000000"/>
                <w:sz w:val="14"/>
                <w:vertAlign w:val="subscript"/>
              </w:rPr>
              <w:t>s</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 bulk density</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1.86 g/cm</w:t>
            </w:r>
            <w:r>
              <w:rPr>
                <w:rFonts w:ascii="Times New Roman" w:hAnsi="Times New Roman"/>
                <w:b w:val="false"/>
                <w:i w:val="false"/>
                <w:color w:val="000000"/>
                <w:sz w:val="14"/>
                <w:vertAlign w:val="superscript"/>
              </w:rPr>
              <w:t>3</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w:t>
            </w:r>
            <w:r>
              <w:rPr>
                <w:rFonts w:ascii="Times New Roman" w:hAnsi="Times New Roman"/>
                <w:b w:val="false"/>
                <w:i w:val="false"/>
                <w:color w:val="000000"/>
                <w:sz w:val="14"/>
                <w:vertAlign w:val="subscript"/>
              </w:rPr>
              <w:t>oc</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fraction organic carbon in the soil</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kg-C/kg-soil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T</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soil porosity</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465"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as</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vadose zone</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3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ws</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vadose zone</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27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acrack</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foundation/wall cracks</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30" w:hRule="atLeast"/>
        </w:trPr>
        <w:tc>
          <w:tcPr>
            <w:tcW w:w="7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θ</w:t>
            </w:r>
            <w:r>
              <w:rPr>
                <w:rFonts w:ascii="Times New Roman" w:hAnsi="Times New Roman"/>
                <w:b w:val="false"/>
                <w:i w:val="false"/>
                <w:color w:val="000000"/>
                <w:sz w:val="14"/>
                <w:vertAlign w:val="subscript"/>
              </w:rPr>
              <w:t>wcrack</w:t>
            </w:r>
          </w:p>
        </w:tc>
        <w:tc>
          <w:tcPr>
            <w:tcW w:w="47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foundation/wall cracks</w:t>
            </w:r>
          </w:p>
        </w:tc>
        <w:tc>
          <w:tcPr>
            <w:tcW w:w="20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8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76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478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infiltration rate of water through soil</w:t>
            </w:r>
          </w:p>
        </w:tc>
        <w:tc>
          <w:tcPr>
            <w:tcW w:w="201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cm/year</w:t>
            </w:r>
          </w:p>
        </w:tc>
        <w:tc>
          <w:tcPr>
            <w:tcW w:w="138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4"/>
        </w:rPr>
        <w:t>If the total porosity is measured, assume 1/3 is air filled and 2/3 is water filled for determining the water and air fraction in the vadose zone soil and floor cracks.</w:t>
      </w:r>
    </w:p>
    <w:p>
      <w:pPr>
        <w:spacing w:before="60" w:after="0" w:line="480"/>
        <w:ind w:left="120"/>
        <w:jc w:val="left"/>
      </w:pPr>
      <w:r>
        <w:rPr>
          <w:rFonts w:ascii="Times New Roman" w:hAnsi="Times New Roman"/>
          <w:b w:val="false"/>
          <w:i w:val="false"/>
          <w:color w:val="000000"/>
          <w:sz w:val="24"/>
        </w:rPr>
        <w:t>Groundwater Transport Modeling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05"/>
        <w:gridCol w:w="2753"/>
        <w:gridCol w:w="3737"/>
        <w:gridCol w:w="1857"/>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hydraulic conductivity</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16060 cm/year</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head gradient</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cm/cm</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270"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w:t>
            </w:r>
            <w:r>
              <w:rPr>
                <w:rFonts w:ascii="Times New Roman" w:hAnsi="Times New Roman"/>
                <w:b w:val="false"/>
                <w:i w:val="false"/>
                <w:color w:val="000000"/>
                <w:sz w:val="14"/>
                <w:vertAlign w:val="subscript"/>
              </w:rPr>
              <w:t>w</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width of the source</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use procedure specified in </w:t>
            </w:r>
            <w:hyperlink r:id="rId700">
              <w:r>
                <w:rPr>
                  <w:rStyle w:val="Hyperlink"/>
                  <w:rFonts w:ascii="Times New Roman" w:hAnsi="Times New Roman"/>
                  <w:b w:val="false"/>
                  <w:i w:val="false"/>
                  <w:color w:val="000000"/>
                  <w:sz w:val="14"/>
                </w:rPr>
                <w:t>135.10(2)</w:t>
              </w:r>
            </w:hyperlink>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270"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w:t>
            </w:r>
            <w:r>
              <w:rPr>
                <w:rFonts w:ascii="Times New Roman" w:hAnsi="Times New Roman"/>
                <w:b w:val="false"/>
                <w:i w:val="false"/>
                <w:color w:val="000000"/>
                <w:sz w:val="14"/>
                <w:vertAlign w:val="subscript"/>
              </w:rPr>
              <w:t>d</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vertical thickness of the source</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m</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αx</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x direction</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0.1x</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αy</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y direction</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0.33αx</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6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αz</w:t>
            </w:r>
          </w:p>
        </w:tc>
        <w:tc>
          <w:tcPr>
            <w:tcW w:w="275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z direction</w:t>
            </w:r>
          </w:p>
        </w:tc>
        <w:tc>
          <w:tcPr>
            <w:tcW w:w="373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0.05αx</w:t>
            </w:r>
          </w:p>
        </w:tc>
        <w:tc>
          <w:tcPr>
            <w:tcW w:w="185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60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θe</w:t>
            </w:r>
          </w:p>
        </w:tc>
        <w:tc>
          <w:tcPr>
            <w:tcW w:w="275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porosity</w:t>
            </w:r>
          </w:p>
        </w:tc>
        <w:tc>
          <w:tcPr>
            <w:tcW w:w="373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c>
          <w:tcPr>
            <w:tcW w:w="18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4"/>
        </w:rPr>
        <w:t>where u=Ki/θe</w:t>
      </w:r>
    </w:p>
    <w:p>
      <w:pPr>
        <w:spacing w:before="60" w:after="0" w:line="480"/>
        <w:ind w:left="120"/>
        <w:jc w:val="left"/>
      </w:pPr>
      <w:r>
        <w:rPr>
          <w:rFonts w:ascii="Times New Roman" w:hAnsi="Times New Roman"/>
          <w:b w:val="false"/>
          <w:i w:val="false"/>
          <w:color w:val="000000"/>
          <w:sz w:val="24"/>
        </w:rPr>
        <w:t>First-order Decay Coefficients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80"/>
        <w:gridCol w:w="3272"/>
        <w:gridCol w:w="2600"/>
      </w:tblGrid>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Valueλ (d-1)</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Required</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0.000127441</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0.0000208066</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0.00013</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TEH-Diesel</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0.0000554955</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3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TEH-Waste Oil</w:t>
            </w:r>
          </w:p>
        </w:tc>
        <w:tc>
          <w:tcPr>
            <w:tcW w:w="32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0.0000554955</w:t>
            </w:r>
          </w:p>
        </w:tc>
        <w:tc>
          <w:tcPr>
            <w:tcW w:w="26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bl>
    <w:p>
      <w:pPr>
        <w:spacing w:before="60" w:after="0" w:line="480"/>
        <w:ind w:left="120"/>
        <w:jc w:val="left"/>
      </w:pPr>
      <w:r>
        <w:rPr>
          <w:rFonts w:ascii="Times New Roman" w:hAnsi="Times New Roman"/>
          <w:b w:val="false"/>
          <w:i w:val="false"/>
          <w:color w:val="000000"/>
          <w:sz w:val="24"/>
        </w:rPr>
        <w:t>Other Parameters for Groundwater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5730"/>
        <w:gridCol w:w="1163"/>
        <w:gridCol w:w="1163"/>
      </w:tblGrid>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Lgw</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groundwater from the enclosed space foundation</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0.00014</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Lcrack</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573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16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c>
          <w:tcPr>
            <w:tcW w:w="116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60" w:after="0" w:line="480"/>
        <w:ind w:left="120"/>
        <w:jc w:val="left"/>
      </w:pPr>
      <w:r>
        <w:rPr>
          <w:rFonts w:ascii="Times New Roman" w:hAnsi="Times New Roman"/>
          <w:b w:val="false"/>
          <w:i w:val="false"/>
          <w:color w:val="000000"/>
          <w:sz w:val="24"/>
        </w:rPr>
        <w:t>Other Parameters for Soil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5730"/>
        <w:gridCol w:w="1163"/>
        <w:gridCol w:w="1163"/>
      </w:tblGrid>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s</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subsurface soil sources from the enclosed space foundation</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 cm *</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0.000185 *</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Lcrack</w:t>
            </w:r>
          </w:p>
        </w:tc>
        <w:tc>
          <w:tcPr>
            <w:tcW w:w="573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cm</w:t>
            </w:r>
          </w:p>
        </w:tc>
        <w:tc>
          <w:tcPr>
            <w:tcW w:w="116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573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16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c>
          <w:tcPr>
            <w:tcW w:w="116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4"/>
        </w:rPr>
        <w:t>*These values are an average of residential and nonresidential factors.</w:t>
      </w:r>
    </w:p>
    <w:p>
      <w:pPr>
        <w:spacing w:before="60" w:after="0" w:line="480"/>
        <w:ind w:left="120"/>
        <w:jc w:val="left"/>
      </w:pPr>
      <w:r>
        <w:rPr>
          <w:rFonts w:ascii="Times New Roman" w:hAnsi="Times New Roman"/>
          <w:b w:val="false"/>
          <w:i w:val="false"/>
          <w:color w:val="000000"/>
          <w:sz w:val="24"/>
        </w:rPr>
        <w:t>Soil Leaching to Groundwater</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6"/>
        <w:gridCol w:w="5059"/>
        <w:gridCol w:w="1642"/>
        <w:gridCol w:w="2015"/>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201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23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δ</w:t>
            </w:r>
          </w:p>
        </w:tc>
        <w:tc>
          <w:tcPr>
            <w:tcW w:w="505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mixing zone</w:t>
            </w:r>
          </w:p>
        </w:tc>
        <w:tc>
          <w:tcPr>
            <w:tcW w:w="164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m</w:t>
            </w:r>
          </w:p>
        </w:tc>
        <w:tc>
          <w:tcPr>
            <w:tcW w:w="201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60" w:after="0" w:line="480"/>
        <w:ind w:left="120"/>
        <w:jc w:val="left"/>
      </w:pPr>
      <w:r>
        <w:rPr>
          <w:rFonts w:ascii="Times New Roman" w:hAnsi="Times New Roman"/>
          <w:b w:val="false"/>
          <w:i w:val="false"/>
          <w:color w:val="000000"/>
          <w:sz w:val="24"/>
        </w:rPr>
        <w:t>Building Parameters for Iowa Tier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54"/>
        <w:gridCol w:w="3760"/>
        <w:gridCol w:w="1969"/>
        <w:gridCol w:w="1969"/>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9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Residential</w:t>
            </w:r>
          </w:p>
        </w:tc>
        <w:tc>
          <w:tcPr>
            <w:tcW w:w="196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Nonresidential</w:t>
            </w:r>
          </w:p>
        </w:tc>
      </w:tr>
      <w:tr>
        <w:trPr>
          <w:trHeight w:val="195" w:hRule="atLeast"/>
        </w:trPr>
        <w:tc>
          <w:tcPr>
            <w:tcW w:w="12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3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9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0.00014</w:t>
            </w:r>
          </w:p>
        </w:tc>
        <w:tc>
          <w:tcPr>
            <w:tcW w:w="196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0.00023</w:t>
            </w:r>
          </w:p>
        </w:tc>
      </w:tr>
      <w:tr>
        <w:trPr>
          <w:trHeight w:val="270" w:hRule="atLeast"/>
        </w:trPr>
        <w:tc>
          <w:tcPr>
            <w:tcW w:w="125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376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96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c>
          <w:tcPr>
            <w:tcW w:w="19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cm</w:t>
            </w:r>
          </w:p>
        </w:tc>
      </w:tr>
    </w:tbl>
    <w:p>
      <w:pPr>
        <w:spacing w:before="0" w:after="0"/>
        <w:ind w:left="120"/>
        <w:jc w:val="both"/>
      </w:pPr>
      <w:r>
        <w:rPr>
          <w:rFonts w:ascii="Times New Roman" w:hAnsi="Times New Roman"/>
          <w:b w:val="false"/>
          <w:i w:val="false"/>
          <w:color w:val="000000"/>
          <w:sz w:val="24"/>
          <w:u w:val="single"/>
        </w:rPr>
        <w:t>Other Parameters</w:t>
      </w:r>
    </w:p>
    <w:p>
      <w:pPr>
        <w:spacing w:before="0" w:after="0"/>
        <w:ind w:left="120"/>
        <w:jc w:val="both"/>
      </w:pPr>
      <w:r>
        <w:rPr>
          <w:rFonts w:ascii="Times New Roman" w:hAnsi="Times New Roman"/>
          <w:b w:val="false"/>
          <w:i w:val="false"/>
          <w:color w:val="000000"/>
          <w:sz w:val="24"/>
        </w:rPr>
        <w:t>For Tier 2, the following are the same as Tier 1 values (refer to Appendix A): chemical-specific parameters, slope factors and reference doses, and exposure factors (except for those listed below).</w:t>
      </w:r>
    </w:p>
    <w:p>
      <w:pPr>
        <w:spacing w:before="0" w:after="0"/>
        <w:ind w:left="120"/>
        <w:jc w:val="both"/>
      </w:pPr>
      <w:r>
        <w:rPr>
          <w:rFonts w:ascii="Times New Roman" w:hAnsi="Times New Roman"/>
          <w:b w:val="false"/>
          <w:i w:val="false"/>
          <w:color w:val="000000"/>
          <w:sz w:val="24"/>
        </w:rPr>
        <w:t>Exposure Factors for Tier 2 Groundwater Vapor to Enclosed Space Modeling:</w:t>
      </w:r>
    </w:p>
    <w:p>
      <w:pPr>
        <w:spacing w:before="0" w:after="0"/>
        <w:ind w:left="120"/>
        <w:jc w:val="both"/>
      </w:pPr>
      <w:r>
        <w:rPr>
          <w:rFonts w:ascii="Times New Roman" w:hAnsi="Times New Roman"/>
          <w:b w:val="false"/>
          <w:i w:val="false"/>
          <w:color w:val="000000"/>
          <w:sz w:val="24"/>
        </w:rPr>
        <w:t>Potential Residential: use residential exposure and residential building parameters.</w:t>
      </w:r>
    </w:p>
    <w:p>
      <w:pPr>
        <w:spacing w:before="0" w:after="0"/>
        <w:ind w:left="120"/>
        <w:jc w:val="both"/>
      </w:pPr>
      <w:r>
        <w:rPr>
          <w:rFonts w:ascii="Times New Roman" w:hAnsi="Times New Roman"/>
          <w:b w:val="false"/>
          <w:i w:val="false"/>
          <w:color w:val="000000"/>
          <w:sz w:val="24"/>
        </w:rPr>
        <w:t>Potential Nonresidential: use nonresidential exposure and nonresidential building parameters.</w:t>
      </w:r>
    </w:p>
    <w:p>
      <w:pPr>
        <w:spacing w:before="60" w:after="0" w:line="480"/>
        <w:ind w:left="120"/>
        <w:jc w:val="left"/>
      </w:pPr>
      <w:r>
        <w:rPr>
          <w:rFonts w:ascii="Times New Roman" w:hAnsi="Times New Roman"/>
          <w:b w:val="false"/>
          <w:i w:val="false"/>
          <w:color w:val="000000"/>
          <w:sz w:val="24"/>
          <w:u w:val="single"/>
        </w:rPr>
        <w:t>Diesel and Waste Oil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Chemical-Specific Values for Tier 1</w:t>
            </w:r>
          </w:p>
        </w:tc>
      </w:tr>
      <w:tr>
        <w:trPr>
          <w:trHeight w:val="36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Groundwater to </w:t>
            </w:r>
            <w:r>
              <w:br/>
            </w:r>
            <w:r>
              <w:rPr>
                <w:rFonts w:ascii="Times New Roman" w:hAnsi="Times New Roman"/>
                <w:b w:val="false"/>
                <w:i w:val="false"/>
                <w:color w:val="000000"/>
                <w:sz w:val="14"/>
              </w:rPr>
              <w:t>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4"/>
        </w:rPr>
        <w:t> </w:t>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rPr>
        <w:t>Due to difficulties with analytical methods for the four individual chemicals listed in the above table, Total Extractable Hydrocarbon (TEH) default values were calculated for each chemical, using the assumption that diesel contains 0.2% naphthalene, 0.001% benzo(a)pyrene, 0.001% benz(a)anthracene, and 0.001%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2133"/>
        <w:gridCol w:w="1200"/>
        <w:gridCol w:w="1600"/>
        <w:gridCol w:w="1333"/>
        <w:gridCol w:w="1333"/>
        <w:gridCol w:w="1467"/>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TEH Default Values</w:t>
            </w:r>
          </w:p>
        </w:tc>
      </w:tr>
      <w:tr>
        <w:trPr>
          <w:trHeight w:val="360"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46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213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Water Line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467"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right w:val="single" w:color="000000" w:sz="8"/>
            </w:tcBorders>
          </w:tcPr>
          <w:p/>
        </w:tc>
        <w:tc>
          <w:tcPr>
            <w:tcW w:w="21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20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13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4"/>
        </w:rPr>
        <w:t>The lowest TEH default value for each pathway (shown as a shaded box) was used in the Tier 1 Table.</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2133"/>
        <w:gridCol w:w="1200"/>
        <w:gridCol w:w="1600"/>
        <w:gridCol w:w="1333"/>
        <w:gridCol w:w="1333"/>
        <w:gridCol w:w="1467"/>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TEH Default Values</w:t>
            </w:r>
          </w:p>
        </w:tc>
      </w:tr>
      <w:tr>
        <w:trPr>
          <w:trHeight w:val="360"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46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133"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46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Water Line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467"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right w:val="single" w:color="000000" w:sz="8"/>
            </w:tcBorders>
          </w:tcPr>
          <w:p/>
        </w:tc>
        <w:tc>
          <w:tcPr>
            <w:tcW w:w="21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20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60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33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4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4"/>
        </w:rPr>
        <w:t>The lowest TEH default value for each pathway (shown as a shaded box) was used in the Tier 1 Table.</w:t>
      </w:r>
    </w:p>
    <w:p>
      <w:pPr>
        <w:pageBreakBefore/>
        <w:spacing w:before="0" w:after="0" w:line="480"/>
        <w:ind w:left="120"/>
        <w:jc w:val="both"/>
      </w:pPr>
    </w:p>
    <w:p>
      <w:pPr>
        <w:spacing w:before="0" w:after="0" w:line="480"/>
        <w:ind w:left="120"/>
        <w:jc w:val="both"/>
      </w:pPr>
      <w:r>
        <w:rPr>
          <w:rFonts w:ascii="Times New Roman" w:hAnsi="Times New Roman"/>
          <w:b w:val="false"/>
          <w:i w:val="false"/>
          <w:color w:val="000000"/>
          <w:sz w:val="24"/>
        </w:rPr>
        <w:t>Water Line Calculations</w:t>
      </w:r>
    </w:p>
    <w:p>
      <w:pPr>
        <w:spacing w:before="0" w:after="0"/>
        <w:ind w:left="120"/>
        <w:jc w:val="both"/>
      </w:pPr>
      <w:r>
        <w:rPr>
          <w:rFonts w:ascii="Times New Roman" w:hAnsi="Times New Roman"/>
          <w:b w:val="false"/>
          <w:i w:val="false"/>
          <w:color w:val="000000"/>
          <w:sz w:val="24"/>
        </w:rPr>
        <w:t> </w:t>
      </w:r>
    </w:p>
    <w:p>
      <w:pPr>
        <w:spacing w:before="0" w:after="0" w:line="480"/>
        <w:ind w:left="120"/>
        <w:jc w:val="center"/>
      </w:pPr>
      <w:r>
        <w:rPr>
          <w:rFonts w:ascii="Times New Roman" w:hAnsi="Times New Roman"/>
          <w:b/>
          <w:i w:val="false"/>
          <w:color w:val="000000"/>
          <w:sz w:val="24"/>
        </w:rPr>
        <w:t>Explanation of Target Levels for</w:t>
      </w:r>
      <w:r>
        <w:br/>
      </w:r>
      <w:r>
        <w:rPr>
          <w:rFonts w:ascii="Times New Roman" w:hAnsi="Times New Roman"/>
          <w:b/>
          <w:i w:val="false"/>
          <w:color w:val="000000"/>
          <w:sz w:val="24"/>
        </w:rPr>
        <w:t>Petroleum Fuel-Derived BTEX Compounds in Groundwater and Soil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i w:val="false"/>
          <w:color w:val="000000"/>
          <w:sz w:val="24"/>
        </w:rPr>
        <w:t>GROUNDWATER</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u w:val="single"/>
        </w:rPr>
        <w:t>PVC or Gasketed Mains</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Benzene: 7,500 µg/L</w:t>
      </w:r>
    </w:p>
    <w:p>
      <w:pPr>
        <w:spacing w:before="0" w:after="0" w:line="480"/>
        <w:ind w:left="120"/>
        <w:jc w:val="both"/>
      </w:pPr>
      <w:r>
        <w:rPr>
          <w:rFonts w:ascii="Times New Roman" w:hAnsi="Times New Roman"/>
          <w:b w:val="false"/>
          <w:i w:val="false"/>
          <w:color w:val="000000"/>
          <w:sz w:val="24"/>
        </w:rPr>
        <w:t xml:space="preserve">Gasoline-saturated groundwater was considered to be an extreme condition of environmental contamination, and it was considered unacceptable to leave water lines, regardless of material, in contact with this level of benzene contamination. While Ong et al. (2008) showed that gasoline-saturated groundwater would not pose a significant risk of permeation exceeding the 5 µg/L MCL for benzene of gasketed DI or PVC water mains, a safety factor of 1/8th was applied to the level of benzene in premium gasoline-saturated water determined by Ong et al. (2008). A 1/2 safety factor was compounded for each of four potential safety risks: material defects in the pipe (= 1/2), presence of service line taps (= 1/4), stagnation of water (= 1/6), and water line breaks (= 1/8). This was an average of 67.5 mg/L ± 4.9 mg/L for multiple preparations of gasoline-saturated water and was rounded to 60.0 mg/L to conservatively account for the statistical uncertainty. Hence, </w:t>
      </w:r>
    </w:p>
    <w:p>
      <w:pPr>
        <w:spacing w:before="0" w:after="0" w:line="480"/>
        <w:ind w:left="120"/>
        <w:jc w:val="both"/>
      </w:pPr>
      <w:r>
        <w:drawing>
          <wp:inline distT="0" distB="0" distL="0" distR="0">
            <wp:extent cx="3840480" cy="365760"/>
            <wp:effectExtent l="0" t="0" r="0" b="0"/>
            <wp:docPr id="13" name="" descr="An equation which describes the target levels for benzene in groundwater in PVC or gasketed mains and reads in detail: Target Level=1⁄8×60,000μg∕L=7,500μg∕Lbenzene"/>
            <wp:cNvGraphicFramePr>
              <a:graphicFrameLocks noChangeAspect="true"/>
            </wp:cNvGraphicFramePr>
            <a:graphic>
              <a:graphicData uri="http://schemas.openxmlformats.org/drawingml/2006/picture">
                <pic:pic>
                  <pic:nvPicPr>
                    <pic:cNvPr id="1" name=""/>
                    <pic:cNvPicPr/>
                  </pic:nvPicPr>
                  <pic:blipFill>
                    <a:blip r:embed="rId701"/>
                    <a:stretch>
                      <a:fillRect/>
                    </a:stretch>
                  </pic:blipFill>
                  <pic:spPr>
                    <a:xfrm>
                      <a:off x="0" y="0"/>
                      <a:ext cx="3840480" cy="36576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Toluene: 6,250 µg/L</w:t>
      </w:r>
    </w:p>
    <w:p>
      <w:pPr>
        <w:spacing w:before="0" w:after="0" w:line="480"/>
        <w:ind w:left="120"/>
        <w:jc w:val="both"/>
      </w:pPr>
      <w:r>
        <w:rPr>
          <w:rFonts w:ascii="Times New Roman" w:hAnsi="Times New Roman"/>
          <w:b w:val="false"/>
          <w:i w:val="false"/>
          <w:color w:val="000000"/>
          <w:sz w:val="24"/>
        </w:rPr>
        <w:t>The target level for toluene was determined similarly to that for benzene. The level of toluene in premium gasoline-saturated water was determined by Ong et al. (2008) to be 56.2 mg/L ± 4.9 mg/L and conservatively rounded to 50.0 mg/L. Hence,</w:t>
      </w:r>
    </w:p>
    <w:p>
      <w:pPr>
        <w:spacing w:before="0" w:after="0" w:line="480"/>
        <w:ind w:left="120"/>
        <w:jc w:val="both"/>
      </w:pPr>
      <w:r>
        <w:drawing>
          <wp:inline distT="0" distB="0" distL="0" distR="0">
            <wp:extent cx="3840480" cy="365760"/>
            <wp:effectExtent l="0" t="0" r="0" b="0"/>
            <wp:docPr id="14" name="" descr="An equation which describes the target levels for toluene in groundwater in PVC or gasketed mains and reads in detail: Target Level=1⁄8×50,000μg∕L=6,250μg∕Ltoluene"/>
            <wp:cNvGraphicFramePr>
              <a:graphicFrameLocks noChangeAspect="true"/>
            </wp:cNvGraphicFramePr>
            <a:graphic>
              <a:graphicData uri="http://schemas.openxmlformats.org/drawingml/2006/picture">
                <pic:pic>
                  <pic:nvPicPr>
                    <pic:cNvPr id="1" name=""/>
                    <pic:cNvPicPr/>
                  </pic:nvPicPr>
                  <pic:blipFill>
                    <a:blip r:embed="rId702"/>
                    <a:stretch>
                      <a:fillRect/>
                    </a:stretch>
                  </pic:blipFill>
                  <pic:spPr>
                    <a:xfrm>
                      <a:off x="0" y="0"/>
                      <a:ext cx="3840480" cy="36576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Ethylbenzene: 40,000 µg/L</w:t>
      </w:r>
    </w:p>
    <w:p>
      <w:pPr>
        <w:spacing w:before="0" w:after="0" w:line="480"/>
        <w:ind w:left="120"/>
        <w:jc w:val="both"/>
      </w:pPr>
      <w:r>
        <w:rPr>
          <w:rFonts w:ascii="Times New Roman" w:hAnsi="Times New Roman"/>
          <w:b w:val="false"/>
          <w:i w:val="false"/>
          <w:color w:val="000000"/>
          <w:sz w:val="24"/>
        </w:rPr>
        <w:t>The target level was set to be double that for PVC or Gasketed Service Lines (20,000 µg/L – see below).</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Total Xylenes: 48,000 µg/L</w:t>
      </w:r>
    </w:p>
    <w:p>
      <w:pPr>
        <w:spacing w:before="0" w:after="0" w:line="480"/>
        <w:ind w:left="120"/>
        <w:jc w:val="both"/>
      </w:pPr>
      <w:r>
        <w:rPr>
          <w:rFonts w:ascii="Times New Roman" w:hAnsi="Times New Roman"/>
          <w:b w:val="false"/>
          <w:i w:val="false"/>
          <w:color w:val="000000"/>
          <w:sz w:val="24"/>
        </w:rPr>
        <w:t>The target level was set to be double that for PVC or Gasketed Service Lines (24,000 µg/L – see below).</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u w:val="single"/>
        </w:rPr>
        <w:t>PVC or Gasketed Service Lines</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Benzene: 3,750 µg/L</w:t>
      </w:r>
    </w:p>
    <w:p>
      <w:pPr>
        <w:spacing w:before="0" w:after="0" w:line="480"/>
        <w:ind w:left="120"/>
        <w:jc w:val="both"/>
      </w:pPr>
      <w:r>
        <w:rPr>
          <w:rFonts w:ascii="Times New Roman" w:hAnsi="Times New Roman"/>
          <w:b w:val="false"/>
          <w:i w:val="false"/>
          <w:color w:val="000000"/>
          <w:sz w:val="24"/>
        </w:rPr>
        <w:t>The target level was set to be one-half of that for PVC or Gasketed Mains (7,500 µg/L as above) since service lines tend to be of higher risk than mains owing to their smaller diameter and greater potential for stagnation.</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Toluene: 3,120 µg/L</w:t>
      </w:r>
    </w:p>
    <w:p>
      <w:pPr>
        <w:spacing w:before="0" w:after="0" w:line="480"/>
        <w:ind w:left="120"/>
        <w:jc w:val="both"/>
      </w:pPr>
      <w:r>
        <w:rPr>
          <w:rFonts w:ascii="Times New Roman" w:hAnsi="Times New Roman"/>
          <w:b w:val="false"/>
          <w:i w:val="false"/>
          <w:color w:val="000000"/>
          <w:sz w:val="24"/>
        </w:rPr>
        <w:t>Similar to benzene, the target level was set to be one-half of that for PVC or Gasketed Mains (6,250 µg/L as above) since service lines tend to be of higher risk than mains owing to their smaller diameter and greater potential for stagnation. Odd-even rounding to 3 significant figures was applied.</w:t>
      </w:r>
    </w:p>
    <w:p>
      <w:pPr>
        <w:spacing w:before="0" w:after="0"/>
        <w:ind w:left="120"/>
        <w:jc w:val="both"/>
      </w:pPr>
      <w:r>
        <w:rPr>
          <w:rFonts w:ascii="Times New Roman" w:hAnsi="Times New Roman"/>
          <w:b w:val="false"/>
          <w:i w:val="false"/>
          <w:color w:val="000000"/>
          <w:sz w:val="24"/>
        </w:rPr>
        <w:t> </w:t>
      </w:r>
    </w:p>
    <w:p>
      <w:pPr>
        <w:pageBreakBefore/>
        <w:spacing w:before="0" w:after="0" w:line="480"/>
        <w:ind w:left="120"/>
        <w:jc w:val="both"/>
      </w:pPr>
    </w:p>
    <w:p>
      <w:pPr>
        <w:spacing w:before="0" w:after="0" w:line="480"/>
        <w:ind w:left="120"/>
        <w:jc w:val="both"/>
      </w:pPr>
      <w:r>
        <w:rPr>
          <w:rFonts w:ascii="Times New Roman" w:hAnsi="Times New Roman"/>
          <w:b w:val="false"/>
          <w:i/>
          <w:color w:val="000000"/>
          <w:sz w:val="24"/>
        </w:rPr>
        <w:t>Ethylbenzene: 20,000 µg/L</w:t>
      </w:r>
    </w:p>
    <w:p>
      <w:pPr>
        <w:spacing w:before="0" w:after="0" w:line="480"/>
        <w:ind w:left="120"/>
        <w:jc w:val="both"/>
      </w:pPr>
      <w:r>
        <w:rPr>
          <w:rFonts w:ascii="Times New Roman" w:hAnsi="Times New Roman"/>
          <w:b w:val="false"/>
          <w:i w:val="false"/>
          <w:color w:val="000000"/>
          <w:sz w:val="24"/>
        </w:rPr>
        <w:t>The target level was based on two observations by Ong et al. (2008): (1) premium gasoline-saturated water has an average concentration of 3.4 mg/L ethylbenzene and (2) ethylene permeates high density polyethylene 46 times slower than does benzene (presumably, this is reasonably representative of other materials such as rubber gaskets). The 1/8 safety factor was also applied, as above. Odd-even rounding to 2 significant figures was applied. Hence:</w:t>
      </w:r>
    </w:p>
    <w:p>
      <w:pPr>
        <w:spacing w:before="0" w:after="0" w:line="480"/>
        <w:ind w:left="120"/>
        <w:jc w:val="both"/>
      </w:pPr>
      <w:r>
        <w:drawing>
          <wp:inline distT="0" distB="0" distL="0" distR="0">
            <wp:extent cx="4023360" cy="365760"/>
            <wp:effectExtent l="0" t="0" r="0" b="0"/>
            <wp:docPr id="15" name="" descr="An equation which describes the target levels for ethylbenzene in groundwater in PVC or gasketed service lines and reads in detail: Target Level=3,400μg∕L×46x×1⁄8=19,550μg∕L=20,000μg∕L"/>
            <wp:cNvGraphicFramePr>
              <a:graphicFrameLocks noChangeAspect="true"/>
            </wp:cNvGraphicFramePr>
            <a:graphic>
              <a:graphicData uri="http://schemas.openxmlformats.org/drawingml/2006/picture">
                <pic:pic>
                  <pic:nvPicPr>
                    <pic:cNvPr id="1" name=""/>
                    <pic:cNvPicPr/>
                  </pic:nvPicPr>
                  <pic:blipFill>
                    <a:blip r:embed="rId703"/>
                    <a:stretch>
                      <a:fillRect/>
                    </a:stretch>
                  </pic:blipFill>
                  <pic:spPr>
                    <a:xfrm>
                      <a:off x="0" y="0"/>
                      <a:ext cx="4023360" cy="36576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Total Xylenes: 24,000 µg/L</w:t>
      </w:r>
    </w:p>
    <w:p>
      <w:pPr>
        <w:spacing w:before="0" w:after="0" w:line="480"/>
        <w:ind w:left="120"/>
        <w:jc w:val="both"/>
      </w:pPr>
      <w:r>
        <w:rPr>
          <w:rFonts w:ascii="Times New Roman" w:hAnsi="Times New Roman"/>
          <w:b w:val="false"/>
          <w:i w:val="false"/>
          <w:color w:val="000000"/>
          <w:sz w:val="24"/>
        </w:rPr>
        <w:t>Similar to ethylbenzene, the target level was based on (1) premium gasoline-saturated water has an average concentration of 19 mg/L total xylenes and (2) total xylenes permeate high density polyethylene 10 times slower than does benzene. The 1/8 safety factor was also applied, as above. Odd-even rounding to 2 significant figures was applied. Hence:</w:t>
      </w:r>
    </w:p>
    <w:p>
      <w:pPr>
        <w:spacing w:before="0" w:after="0" w:line="480"/>
        <w:ind w:left="120"/>
        <w:jc w:val="both"/>
      </w:pPr>
      <w:r>
        <w:drawing>
          <wp:inline distT="0" distB="0" distL="0" distR="0">
            <wp:extent cx="4023360" cy="365760"/>
            <wp:effectExtent l="0" t="0" r="0" b="0"/>
            <wp:docPr id="16" name="" descr="An equation which describes the target levels for xylenes in groundwater in PVC or gasketed service lines and reads in detail: Target Level=19,000μg∕L×10x×1⁄8=23,750μg∕L=24,000μg∕L"/>
            <wp:cNvGraphicFramePr>
              <a:graphicFrameLocks noChangeAspect="true"/>
            </wp:cNvGraphicFramePr>
            <a:graphic>
              <a:graphicData uri="http://schemas.openxmlformats.org/drawingml/2006/picture">
                <pic:pic>
                  <pic:nvPicPr>
                    <pic:cNvPr id="1" name=""/>
                    <pic:cNvPicPr/>
                  </pic:nvPicPr>
                  <pic:blipFill>
                    <a:blip r:embed="rId704"/>
                    <a:stretch>
                      <a:fillRect/>
                    </a:stretch>
                  </pic:blipFill>
                  <pic:spPr>
                    <a:xfrm>
                      <a:off x="0" y="0"/>
                      <a:ext cx="4023360" cy="365760"/>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u w:val="single"/>
        </w:rPr>
        <w:t>PE/PB/AC</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Benzene: 200 µg/L</w:t>
      </w:r>
    </w:p>
    <w:p>
      <w:pPr>
        <w:spacing w:before="0" w:after="0" w:line="480"/>
        <w:ind w:left="120"/>
        <w:jc w:val="both"/>
      </w:pPr>
      <w:r>
        <w:rPr>
          <w:rFonts w:ascii="Times New Roman" w:hAnsi="Times New Roman"/>
          <w:b w:val="false"/>
          <w:i w:val="false"/>
          <w:color w:val="000000"/>
          <w:sz w:val="24"/>
        </w:rPr>
        <w:t xml:space="preserve">The target level was set at the concentration of benzene in groundwater surrounding a 1″ HDPE service line (SIDR 9 IPS) that would result in a concentration of 2 µg/L benzene in the service line after a 24 hr stagnation period. This level was chosen because 2 µg/L is generally the minimum reportable concentration of benzene in laboratory reports received by the department. </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The permeation rate is a function of the concentration of benzene in the groundwater as described by Ong et al. (2008), equation 3.4a:</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1495425" cy="276225"/>
            <wp:effectExtent l="0" t="0" r="0" b="0"/>
            <wp:docPr id="17" name="" descr="An equation which describes the permeation rate for benzene in polyethylene, polybutylene  and  asbestos cement (PE/PB/AC) piping, which reads in detail: P_m=0.0079C_bulk^1.1323"/>
            <wp:cNvGraphicFramePr>
              <a:graphicFrameLocks noChangeAspect="true"/>
            </wp:cNvGraphicFramePr>
            <a:graphic>
              <a:graphicData uri="http://schemas.openxmlformats.org/drawingml/2006/picture">
                <pic:pic>
                  <pic:nvPicPr>
                    <pic:cNvPr id="1" name=""/>
                    <pic:cNvPicPr/>
                  </pic:nvPicPr>
                  <pic:blipFill>
                    <a:blip r:embed="rId705"/>
                    <a:stretch>
                      <a:fillRect/>
                    </a:stretch>
                  </pic:blipFill>
                  <pic:spPr>
                    <a:xfrm>
                      <a:off x="0" y="0"/>
                      <a:ext cx="1495425" cy="27622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where P</w:t>
      </w:r>
      <w:r>
        <w:rPr>
          <w:rFonts w:ascii="Times New Roman" w:hAnsi="Times New Roman"/>
          <w:b w:val="false"/>
          <w:i w:val="false"/>
          <w:color w:val="000000"/>
          <w:sz w:val="24"/>
          <w:vertAlign w:val="subscript"/>
        </w:rPr>
        <w:t>m</w:t>
      </w:r>
      <w:r>
        <w:rPr>
          <w:rFonts w:ascii="Times New Roman" w:hAnsi="Times New Roman"/>
          <w:b w:val="false"/>
          <w:i w:val="false"/>
          <w:color w:val="000000"/>
          <w:sz w:val="24"/>
        </w:rPr>
        <w:t xml:space="preserve"> is the benzene permeation rate in µg/cm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/day through the pipe described above (cm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refers to the inner surface of the pipe) and C</w:t>
      </w:r>
      <w:r>
        <w:rPr>
          <w:rFonts w:ascii="Times New Roman" w:hAnsi="Times New Roman"/>
          <w:b w:val="false"/>
          <w:i w:val="false"/>
          <w:color w:val="000000"/>
          <w:sz w:val="24"/>
          <w:vertAlign w:val="subscript"/>
        </w:rPr>
        <w:t>bulk</w:t>
      </w:r>
      <w:r>
        <w:rPr>
          <w:rFonts w:ascii="Times New Roman" w:hAnsi="Times New Roman"/>
          <w:b w:val="false"/>
          <w:i w:val="false"/>
          <w:color w:val="000000"/>
          <w:sz w:val="24"/>
        </w:rPr>
        <w:t xml:space="preserve"> is the concentration of benzene in the groundwater (mg/L).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For any length of exposed 1″ SIDR 9 IPS pipe, l (cm), the concentration in the pipe after 24 hr stagnation, C</w:t>
      </w:r>
      <w:r>
        <w:rPr>
          <w:rFonts w:ascii="Times New Roman" w:hAnsi="Times New Roman"/>
          <w:b w:val="false"/>
          <w:i w:val="false"/>
          <w:color w:val="000000"/>
          <w:sz w:val="24"/>
          <w:vertAlign w:val="subscript"/>
        </w:rPr>
        <w:t>24hr</w:t>
      </w:r>
      <w:r>
        <w:rPr>
          <w:rFonts w:ascii="Times New Roman" w:hAnsi="Times New Roman"/>
          <w:b w:val="false"/>
          <w:i w:val="false"/>
          <w:color w:val="000000"/>
          <w:sz w:val="24"/>
        </w:rPr>
        <w:t xml:space="preserve"> (µg/L), can be computed from P</w:t>
      </w:r>
      <w:r>
        <w:rPr>
          <w:rFonts w:ascii="Times New Roman" w:hAnsi="Times New Roman"/>
          <w:b w:val="false"/>
          <w:i w:val="false"/>
          <w:color w:val="000000"/>
          <w:sz w:val="24"/>
          <w:vertAlign w:val="subscript"/>
        </w:rPr>
        <w:t>m</w:t>
      </w:r>
      <w:r>
        <w:rPr>
          <w:rFonts w:ascii="Times New Roman" w:hAnsi="Times New Roman"/>
          <w:b w:val="false"/>
          <w:i w:val="false"/>
          <w:color w:val="000000"/>
          <w:sz w:val="24"/>
        </w:rPr>
        <w:t xml:space="preserve"> and the ratio of the inner surface of the pipe to the internal volume:</w:t>
      </w:r>
    </w:p>
    <w:p>
      <w:pPr>
        <w:spacing w:before="0" w:after="0" w:line="480"/>
        <w:ind w:left="120"/>
        <w:jc w:val="both"/>
      </w:pPr>
      <w:r>
        <w:drawing>
          <wp:inline distT="0" distB="0" distL="0" distR="0">
            <wp:extent cx="3848100" cy="457200"/>
            <wp:effectExtent l="0" t="0" r="0" b="0"/>
            <wp:docPr id="18" name="" descr="An equation which describes the concentration level in an exposed 1″ SIDR 9 IPS pipe, l (cm) after 24 hours stagnation, and which reads in detail: C_24hr=P_m×(2πrl/((πr^2l)∕1000))=0.0079C_bulk^1.1323×2000/r"/>
            <wp:cNvGraphicFramePr>
              <a:graphicFrameLocks noChangeAspect="true"/>
            </wp:cNvGraphicFramePr>
            <a:graphic>
              <a:graphicData uri="http://schemas.openxmlformats.org/drawingml/2006/picture">
                <pic:pic>
                  <pic:nvPicPr>
                    <pic:cNvPr id="1" name=""/>
                    <pic:cNvPicPr/>
                  </pic:nvPicPr>
                  <pic:blipFill>
                    <a:blip r:embed="rId706"/>
                    <a:stretch>
                      <a:fillRect/>
                    </a:stretch>
                  </pic:blipFill>
                  <pic:spPr>
                    <a:xfrm>
                      <a:off x="0" y="0"/>
                      <a:ext cx="3848100" cy="457200"/>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where r is the inside radius of the pipe (cm), l is the length of exposed pipe (cm), and dividing by 1000 converts from cm</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xml:space="preserve"> to liters (and, therefore, 2000/r converts µg/cm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/day to µg/L/day).</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Solving for C</w:t>
      </w:r>
      <w:r>
        <w:rPr>
          <w:rFonts w:ascii="Times New Roman" w:hAnsi="Times New Roman"/>
          <w:b w:val="false"/>
          <w:i w:val="false"/>
          <w:color w:val="000000"/>
          <w:sz w:val="24"/>
          <w:vertAlign w:val="subscript"/>
        </w:rPr>
        <w:t>bulk</w:t>
      </w:r>
      <w:r>
        <w:rPr>
          <w:rFonts w:ascii="Times New Roman" w:hAnsi="Times New Roman"/>
          <w:b w:val="false"/>
          <w:i w:val="false"/>
          <w:color w:val="000000"/>
          <w:sz w:val="24"/>
        </w:rPr>
        <w:t xml:space="preserve"> (mg/L) with C</w:t>
      </w:r>
      <w:r>
        <w:rPr>
          <w:rFonts w:ascii="Times New Roman" w:hAnsi="Times New Roman"/>
          <w:b w:val="false"/>
          <w:i w:val="false"/>
          <w:color w:val="000000"/>
          <w:sz w:val="24"/>
          <w:vertAlign w:val="subscript"/>
        </w:rPr>
        <w:t>24hr</w:t>
      </w:r>
      <w:r>
        <w:rPr>
          <w:rFonts w:ascii="Times New Roman" w:hAnsi="Times New Roman"/>
          <w:b w:val="false"/>
          <w:i w:val="false"/>
          <w:color w:val="000000"/>
          <w:sz w:val="24"/>
        </w:rPr>
        <w:t>= 2 µg/L and r = 1.28 cm (per manufacturer’s specifications):</w:t>
      </w:r>
    </w:p>
    <w:p>
      <w:pPr>
        <w:spacing w:before="0" w:after="0" w:line="480"/>
        <w:ind w:left="120"/>
        <w:jc w:val="both"/>
      </w:pPr>
      <w:r>
        <w:drawing>
          <wp:inline distT="0" distB="0" distL="0" distR="0">
            <wp:extent cx="1885950" cy="466725"/>
            <wp:effectExtent l="0" t="0" r="0" b="0"/>
            <wp:docPr id="19" name="" descr="An equation which solves for the concentration of benzene in the groundwater and which reads in detail: C_bulk^1.1323×(2×1.28)/(0.0079×2000)"/>
            <wp:cNvGraphicFramePr>
              <a:graphicFrameLocks noChangeAspect="true"/>
            </wp:cNvGraphicFramePr>
            <a:graphic>
              <a:graphicData uri="http://schemas.openxmlformats.org/drawingml/2006/picture">
                <pic:pic>
                  <pic:nvPicPr>
                    <pic:cNvPr id="1" name=""/>
                    <pic:cNvPicPr/>
                  </pic:nvPicPr>
                  <pic:blipFill>
                    <a:blip r:embed="rId707"/>
                    <a:stretch>
                      <a:fillRect/>
                    </a:stretch>
                  </pic:blipFill>
                  <pic:spPr>
                    <a:xfrm>
                      <a:off x="0" y="0"/>
                      <a:ext cx="1885950" cy="46672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and</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3476625" cy="323850"/>
            <wp:effectExtent l="0" t="0" r="0" b="0"/>
            <wp:docPr id="20" name="" descr="An equation which solves for the concentration of benzene in the groundwater and which reads in detail: C_bulk=√(1.1323 and 0.162)=0.200mg∕L=200μg∕L"/>
            <wp:cNvGraphicFramePr>
              <a:graphicFrameLocks noChangeAspect="true"/>
            </wp:cNvGraphicFramePr>
            <a:graphic>
              <a:graphicData uri="http://schemas.openxmlformats.org/drawingml/2006/picture">
                <pic:pic>
                  <pic:nvPicPr>
                    <pic:cNvPr id="1" name=""/>
                    <pic:cNvPicPr/>
                  </pic:nvPicPr>
                  <pic:blipFill>
                    <a:blip r:embed="rId708"/>
                    <a:stretch>
                      <a:fillRect/>
                    </a:stretch>
                  </pic:blipFill>
                  <pic:spPr>
                    <a:xfrm>
                      <a:off x="0" y="0"/>
                      <a:ext cx="3476625" cy="323850"/>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While the target level is expressed as 200 µg/L for clarity, the underlying data support only two significant figures. In a stricter treatment of the data, this would be expressed as 20 × 10</w:t>
      </w:r>
      <w:r>
        <w:rPr>
          <w:rFonts w:ascii="Times New Roman" w:hAnsi="Times New Roman"/>
          <w:b w:val="false"/>
          <w:i w:val="false"/>
          <w:color w:val="000000"/>
          <w:sz w:val="24"/>
          <w:vertAlign w:val="superscript"/>
        </w:rPr>
        <w:t>1</w:t>
      </w:r>
      <w:r>
        <w:rPr>
          <w:rFonts w:ascii="Times New Roman" w:hAnsi="Times New Roman"/>
          <w:b w:val="false"/>
          <w:i w:val="false"/>
          <w:color w:val="000000"/>
          <w:sz w:val="24"/>
        </w:rPr>
        <w:t xml:space="preserve"> µg/L.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Toluene: 3,120 µg/L</w:t>
      </w:r>
    </w:p>
    <w:p>
      <w:pPr>
        <w:spacing w:before="0" w:after="0" w:line="480"/>
        <w:ind w:left="120"/>
        <w:jc w:val="both"/>
      </w:pPr>
      <w:r>
        <w:rPr>
          <w:rFonts w:ascii="Times New Roman" w:hAnsi="Times New Roman"/>
          <w:b w:val="false"/>
          <w:i w:val="false"/>
          <w:color w:val="000000"/>
          <w:sz w:val="24"/>
        </w:rPr>
        <w:t>The target level was set to be equal to that for PVC or Gasketed Service Lines. Calculations similar to those used above for benzene (Ong et al. (2008), equation 3.4b) indicate that 3,120 µg/L toluene in groundwater would result in 50 µg/L inside a 1" SIDR 9 IPS HDPE pipe after 24 hours of stagnation, which is 1/20th of the 1,000 µg/L MCL for toluene.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Ethylbenzene: 3,400 µg/L</w:t>
      </w:r>
    </w:p>
    <w:p>
      <w:pPr>
        <w:spacing w:before="0" w:after="0" w:line="480"/>
        <w:ind w:left="120"/>
        <w:jc w:val="both"/>
      </w:pPr>
      <w:r>
        <w:rPr>
          <w:rFonts w:ascii="Times New Roman" w:hAnsi="Times New Roman"/>
          <w:b w:val="false"/>
          <w:i w:val="false"/>
          <w:color w:val="000000"/>
          <w:sz w:val="24"/>
        </w:rPr>
        <w:t>The target level was set to be equal to the concentration of ethylbenzene in premium gasoline-saturated water (see discussion above for PVC or Gasketed Mains/Benzene). Unlike other target levels based on contaminant concentrations in gasoline-saturated water, the 1/8th safety factor was not applied because of the very low permeation rate of ethylbenzene through HDPE, the relatively low solubility of ethylbenzene in water, and the relatively high MCL (700 µg/L). Ong et al. (2008) found that permeation of HDPE by aqueous ethylbenzene was minimal and of no consequence for public health.</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Total Xylenes: 19,000 µg/L</w:t>
      </w:r>
    </w:p>
    <w:p>
      <w:pPr>
        <w:spacing w:before="0" w:after="0" w:line="480"/>
        <w:ind w:left="120"/>
        <w:jc w:val="both"/>
      </w:pPr>
      <w:r>
        <w:rPr>
          <w:rFonts w:ascii="Times New Roman" w:hAnsi="Times New Roman"/>
          <w:b w:val="false"/>
          <w:i w:val="false"/>
          <w:color w:val="000000"/>
          <w:sz w:val="24"/>
        </w:rPr>
        <w:t>The target level was set to be equal to the concentration of ethylbenzene in premium gasoline-saturated water following the same reasoning for ethylbenzene (above). The permeation rate and water solubility are also very low, and the MCL is 10,000 µg/L. Ong et al. (2008) found that permeation of HDPE by aqueous xylenes was minimal and of no consequence for public health.</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i w:val="false"/>
          <w:color w:val="000000"/>
          <w:sz w:val="24"/>
        </w:rPr>
        <w:t>SOIL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Target levels for soil were set to be the same for mains and service lines of any material discussed above under “Groundwater.” The underlying data support two significant figures for target levels in soil. Odd-even rounding was applied where appropriate.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Benzene: 2.0 mg/Kg</w:t>
      </w:r>
    </w:p>
    <w:p>
      <w:pPr>
        <w:spacing w:before="0" w:after="0" w:line="480"/>
        <w:ind w:left="120"/>
        <w:jc w:val="both"/>
      </w:pPr>
      <w:r>
        <w:rPr>
          <w:rFonts w:ascii="Times New Roman" w:hAnsi="Times New Roman"/>
          <w:b w:val="false"/>
          <w:i w:val="false"/>
          <w:color w:val="000000"/>
          <w:sz w:val="24"/>
        </w:rPr>
        <w:t>The target level was derived from the concentration of benzene (mg/Kg) that would result if soil that was 10% moisture and 1% organic matter was equilibrated with premium gasoline-saturated water (60 mg/L benzene – as per discussion of PVC or Gasketed Mains/Benzene above). The equilibrium concentration in soil was calculated using the approach of Chiou et al. (1983). The 1/8th safety factor discussed previously for groundwater was applied. Accordingly:</w:t>
      </w:r>
    </w:p>
    <w:p>
      <w:pPr>
        <w:spacing w:before="0" w:after="0" w:line="480"/>
        <w:ind w:left="120"/>
        <w:jc w:val="both"/>
      </w:pPr>
      <w:r>
        <w:drawing>
          <wp:inline distT="0" distB="0" distL="0" distR="0">
            <wp:extent cx="1362075" cy="295275"/>
            <wp:effectExtent l="0" t="0" r="0" b="0"/>
            <wp:docPr id="21" name="" descr="An equation which describes the equilibrium concentration of benzene in soil and reads in detail: C_T=(C_wK)_d+(C_w)^θ"/>
            <wp:cNvGraphicFramePr>
              <a:graphicFrameLocks noChangeAspect="true"/>
            </wp:cNvGraphicFramePr>
            <a:graphic>
              <a:graphicData uri="http://schemas.openxmlformats.org/drawingml/2006/picture">
                <pic:pic>
                  <pic:nvPicPr>
                    <pic:cNvPr id="1" name=""/>
                    <pic:cNvPicPr/>
                  </pic:nvPicPr>
                  <pic:blipFill>
                    <a:blip r:embed="rId709"/>
                    <a:stretch>
                      <a:fillRect/>
                    </a:stretch>
                  </pic:blipFill>
                  <pic:spPr>
                    <a:xfrm>
                      <a:off x="0" y="0"/>
                      <a:ext cx="1362075" cy="29527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where C</w:t>
      </w:r>
      <w:r>
        <w:rPr>
          <w:rFonts w:ascii="Times New Roman" w:hAnsi="Times New Roman"/>
          <w:b w:val="false"/>
          <w:i w:val="false"/>
          <w:color w:val="000000"/>
          <w:sz w:val="24"/>
          <w:vertAlign w:val="subscript"/>
        </w:rPr>
        <w:t>T</w:t>
      </w:r>
      <w:r>
        <w:rPr>
          <w:rFonts w:ascii="Times New Roman" w:hAnsi="Times New Roman"/>
          <w:b w:val="false"/>
          <w:i w:val="false"/>
          <w:color w:val="000000"/>
          <w:sz w:val="24"/>
        </w:rPr>
        <w:t xml:space="preserve"> is the total concentration of benzene in soil (mg/Kg), θ is the fraction of moisture in the soil (Kg/Kg), and Kd is the partition coefficient from water to soil (L/Kg). Further:</w:t>
      </w:r>
    </w:p>
    <w:p>
      <w:pPr>
        <w:spacing w:before="0" w:after="0" w:line="480"/>
        <w:ind w:left="120"/>
        <w:jc w:val="both"/>
      </w:pPr>
      <w:r>
        <w:drawing>
          <wp:inline distT="0" distB="0" distL="0" distR="0">
            <wp:extent cx="1076325" cy="285750"/>
            <wp:effectExtent l="0" t="0" r="0" b="0"/>
            <wp:docPr id="22" name="" descr="An equation which describes the partition coefficient from water to soil for benzene and reads in detail: K_d=K_omf_om"/>
            <wp:cNvGraphicFramePr>
              <a:graphicFrameLocks noChangeAspect="true"/>
            </wp:cNvGraphicFramePr>
            <a:graphic>
              <a:graphicData uri="http://schemas.openxmlformats.org/drawingml/2006/picture">
                <pic:pic>
                  <pic:nvPicPr>
                    <pic:cNvPr id="1" name=""/>
                    <pic:cNvPicPr/>
                  </pic:nvPicPr>
                  <pic:blipFill>
                    <a:blip r:embed="rId710"/>
                    <a:stretch>
                      <a:fillRect/>
                    </a:stretch>
                  </pic:blipFill>
                  <pic:spPr>
                    <a:xfrm>
                      <a:off x="0" y="0"/>
                      <a:ext cx="1076325" cy="285750"/>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 xml:space="preserve">where </w:t>
      </w:r>
      <w:r>
        <w:rPr>
          <w:rFonts w:ascii="Times New Roman" w:hAnsi="Times New Roman"/>
          <w:b w:val="false"/>
          <w:i/>
          <w:color w:val="000000"/>
          <w:sz w:val="24"/>
        </w:rPr>
        <w:t>K</w:t>
      </w:r>
      <w:r>
        <w:rPr>
          <w:rFonts w:ascii="Times New Roman" w:hAnsi="Times New Roman"/>
          <w:b w:val="false"/>
          <w:i w:val="false"/>
          <w:color w:val="000000"/>
          <w:sz w:val="24"/>
          <w:vertAlign w:val="subscript"/>
        </w:rPr>
        <w:t>om</w:t>
      </w:r>
      <w:r>
        <w:rPr>
          <w:rFonts w:ascii="Times New Roman" w:hAnsi="Times New Roman"/>
          <w:b w:val="false"/>
          <w:i w:val="false"/>
          <w:color w:val="000000"/>
          <w:sz w:val="24"/>
        </w:rPr>
        <w:t xml:space="preserve"> is the partition coefficient from water to organic matter in the soil, which is 16.8 L/Kg for benzene in soils with naturally occurring organic matter (Chiou et al. (1983)), and </w:t>
      </w:r>
      <w:r>
        <w:rPr>
          <w:rFonts w:ascii="Times New Roman" w:hAnsi="Times New Roman"/>
          <w:b w:val="false"/>
          <w:i/>
          <w:color w:val="000000"/>
          <w:sz w:val="24"/>
        </w:rPr>
        <w:t>f</w:t>
      </w:r>
      <w:r>
        <w:rPr>
          <w:rFonts w:ascii="Times New Roman" w:hAnsi="Times New Roman"/>
          <w:b w:val="false"/>
          <w:i w:val="false"/>
          <w:color w:val="000000"/>
          <w:sz w:val="24"/>
          <w:vertAlign w:val="subscript"/>
        </w:rPr>
        <w:t>om</w:t>
      </w:r>
      <w:r>
        <w:rPr>
          <w:rFonts w:ascii="Times New Roman" w:hAnsi="Times New Roman"/>
          <w:b w:val="false"/>
          <w:i w:val="false"/>
          <w:color w:val="000000"/>
          <w:sz w:val="24"/>
        </w:rPr>
        <w:t xml:space="preserve"> is the fraction of organic matter in the dry soil (Kg/Kg).</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For soil containing 1% naturally occurring organic matter and 10% moisture, the total concentration of benzene upon exposure to premium gasoline-saturated groundwater (60 mg/L benzene, as per above discussion of PVC or Gasketed Mains) would be: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4724400" cy="581025"/>
            <wp:effectExtent l="0" t="0" r="0" b="0"/>
            <wp:docPr id="23" name="" descr="An equation which describes the total concentration of benzene upon exposure to premium gasoline-saturated groundwater in soil containing 1% naturally occurring organic matter and 10% moisture, and reads in detail: C_T=(60mg/L×(16.8L/Kg×0.01Kg/Kg))+(60mg/L×0.1Kg/Kg)=16mg/Kg"/>
            <wp:cNvGraphicFramePr>
              <a:graphicFrameLocks noChangeAspect="true"/>
            </wp:cNvGraphicFramePr>
            <a:graphic>
              <a:graphicData uri="http://schemas.openxmlformats.org/drawingml/2006/picture">
                <pic:pic>
                  <pic:nvPicPr>
                    <pic:cNvPr id="1" name=""/>
                    <pic:cNvPicPr/>
                  </pic:nvPicPr>
                  <pic:blipFill>
                    <a:blip r:embed="rId711"/>
                    <a:stretch>
                      <a:fillRect/>
                    </a:stretch>
                  </pic:blipFill>
                  <pic:spPr>
                    <a:xfrm>
                      <a:off x="0" y="0"/>
                      <a:ext cx="4724400" cy="58102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Applying the 1/8th safety factor:</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2733675" cy="495300"/>
            <wp:effectExtent l="0" t="0" r="0" b="0"/>
            <wp:docPr id="24" name="" descr="An equation which describes benzene target levels in soil and reads in detail: Target Level=1/8×16mg/Kg=2.0mg/Kg"/>
            <wp:cNvGraphicFramePr>
              <a:graphicFrameLocks noChangeAspect="true"/>
            </wp:cNvGraphicFramePr>
            <a:graphic>
              <a:graphicData uri="http://schemas.openxmlformats.org/drawingml/2006/picture">
                <pic:pic>
                  <pic:nvPicPr>
                    <pic:cNvPr id="1" name=""/>
                    <pic:cNvPicPr/>
                  </pic:nvPicPr>
                  <pic:blipFill>
                    <a:blip r:embed="rId712"/>
                    <a:stretch>
                      <a:fillRect/>
                    </a:stretch>
                  </pic:blipFill>
                  <pic:spPr>
                    <a:xfrm>
                      <a:off x="0" y="0"/>
                      <a:ext cx="2733675" cy="49530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Toluene: 3.2 mg/Kg</w:t>
      </w:r>
    </w:p>
    <w:p>
      <w:pPr>
        <w:spacing w:before="0" w:after="0" w:line="480"/>
        <w:ind w:left="120"/>
        <w:jc w:val="both"/>
      </w:pPr>
      <w:r>
        <w:rPr>
          <w:rFonts w:ascii="Times New Roman" w:hAnsi="Times New Roman"/>
          <w:b w:val="false"/>
          <w:i w:val="false"/>
          <w:color w:val="000000"/>
          <w:sz w:val="24"/>
        </w:rPr>
        <w:t xml:space="preserve">The target level was derived in the same manner as for benzene except that the concentration of toluene in premium gasoline-saturated water is 50 mg/L and </w:t>
      </w:r>
      <w:r>
        <w:rPr>
          <w:rFonts w:ascii="Times New Roman" w:hAnsi="Times New Roman"/>
          <w:b w:val="false"/>
          <w:i/>
          <w:color w:val="000000"/>
          <w:sz w:val="24"/>
        </w:rPr>
        <w:t>K</w:t>
      </w:r>
      <w:r>
        <w:rPr>
          <w:rFonts w:ascii="Times New Roman" w:hAnsi="Times New Roman"/>
          <w:b w:val="false"/>
          <w:i w:val="false"/>
          <w:color w:val="000000"/>
          <w:sz w:val="24"/>
          <w:vertAlign w:val="subscript"/>
        </w:rPr>
        <w:t>om</w:t>
      </w:r>
      <w:r>
        <w:rPr>
          <w:rFonts w:ascii="Times New Roman" w:hAnsi="Times New Roman"/>
          <w:b w:val="false"/>
          <w:i w:val="false"/>
          <w:color w:val="000000"/>
          <w:sz w:val="24"/>
        </w:rPr>
        <w:t xml:space="preserve"> is 42 L/Kg. Accordingly:</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4629150" cy="581025"/>
            <wp:effectExtent l="0" t="0" r="0" b="0"/>
            <wp:docPr id="25" name="" descr="An equation which describes the concentration level of toluene in soil and reads in detail: C_T=(50mg/L×(42L/Kg×0.01Kg/Kg))+(50mg/L×0.1Kg/Kg)=26mg/Kg"/>
            <wp:cNvGraphicFramePr>
              <a:graphicFrameLocks noChangeAspect="true"/>
            </wp:cNvGraphicFramePr>
            <a:graphic>
              <a:graphicData uri="http://schemas.openxmlformats.org/drawingml/2006/picture">
                <pic:pic>
                  <pic:nvPicPr>
                    <pic:cNvPr id="1" name=""/>
                    <pic:cNvPicPr/>
                  </pic:nvPicPr>
                  <pic:blipFill>
                    <a:blip r:embed="rId713"/>
                    <a:stretch>
                      <a:fillRect/>
                    </a:stretch>
                  </pic:blipFill>
                  <pic:spPr>
                    <a:xfrm>
                      <a:off x="0" y="0"/>
                      <a:ext cx="4629150" cy="58102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and</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2733675" cy="476250"/>
            <wp:effectExtent l="0" t="0" r="0" b="0"/>
            <wp:docPr id="26" name="" descr="An equation which describes the target level of toluene in soil and reads in detail: Target Level=1/8×26mg/Kg=3.2mg/Kg"/>
            <wp:cNvGraphicFramePr>
              <a:graphicFrameLocks noChangeAspect="true"/>
            </wp:cNvGraphicFramePr>
            <a:graphic>
              <a:graphicData uri="http://schemas.openxmlformats.org/drawingml/2006/picture">
                <pic:pic>
                  <pic:nvPicPr>
                    <pic:cNvPr id="1" name=""/>
                    <pic:cNvPicPr/>
                  </pic:nvPicPr>
                  <pic:blipFill>
                    <a:blip r:embed="rId714"/>
                    <a:stretch>
                      <a:fillRect/>
                    </a:stretch>
                  </pic:blipFill>
                  <pic:spPr>
                    <a:xfrm>
                      <a:off x="0" y="0"/>
                      <a:ext cx="2733675" cy="4762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Ethylbenzene: 45 mg/Kg</w:t>
      </w:r>
    </w:p>
    <w:p>
      <w:pPr>
        <w:spacing w:before="0" w:after="0" w:line="480"/>
        <w:ind w:left="120"/>
        <w:jc w:val="both"/>
      </w:pPr>
      <w:r>
        <w:rPr>
          <w:rFonts w:ascii="Times New Roman" w:hAnsi="Times New Roman"/>
          <w:b w:val="false"/>
          <w:i w:val="false"/>
          <w:color w:val="000000"/>
          <w:sz w:val="24"/>
        </w:rPr>
        <w:t>The target level was based on the target level set for Groundwater/PVC or Gasketed Mains (40,000 µg/L, rounded from 39,100 µg/L, or 39.1 mg/L) and the principles of Chiou et al. (1983) discussed above. In a manner similar to that for benzene in soil, C</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xml:space="preserve"> was 3.4 mg/L, K</w:t>
      </w:r>
      <w:r>
        <w:rPr>
          <w:rFonts w:ascii="Times New Roman" w:hAnsi="Times New Roman"/>
          <w:b w:val="false"/>
          <w:i w:val="false"/>
          <w:color w:val="000000"/>
          <w:sz w:val="24"/>
          <w:vertAlign w:val="subscript"/>
        </w:rPr>
        <w:t>d</w:t>
      </w:r>
      <w:r>
        <w:rPr>
          <w:rFonts w:ascii="Times New Roman" w:hAnsi="Times New Roman"/>
          <w:b w:val="false"/>
          <w:i w:val="false"/>
          <w:color w:val="000000"/>
          <w:sz w:val="24"/>
        </w:rPr>
        <w:t xml:space="preserve"> was 0.106 L/Kg, and C</w:t>
      </w:r>
      <w:r>
        <w:rPr>
          <w:rFonts w:ascii="Times New Roman" w:hAnsi="Times New Roman"/>
          <w:b w:val="false"/>
          <w:i w:val="false"/>
          <w:color w:val="000000"/>
          <w:sz w:val="24"/>
          <w:vertAlign w:val="subscript"/>
        </w:rPr>
        <w:t>T</w:t>
      </w:r>
      <w:r>
        <w:rPr>
          <w:rFonts w:ascii="Times New Roman" w:hAnsi="Times New Roman"/>
          <w:b w:val="false"/>
          <w:i w:val="false"/>
          <w:color w:val="000000"/>
          <w:sz w:val="24"/>
        </w:rPr>
        <w:t xml:space="preserve"> was calculated to be 3.9 mg/Kg. The target level for soil that is equivalent to the target level set for groundwater was calculated as follows:</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4629150" cy="457200"/>
            <wp:effectExtent l="0" t="0" r="0" b="0"/>
            <wp:docPr id="27" name="" descr="An equation that describes the target level for ethylbenzene in soil and reads in detail: Target Level mg∕Kg=39.1mg∕L×(3.9mg∕Kg)/(3.4mg∕L)=45mg∕Kg"/>
            <wp:cNvGraphicFramePr>
              <a:graphicFrameLocks noChangeAspect="true"/>
            </wp:cNvGraphicFramePr>
            <a:graphic>
              <a:graphicData uri="http://schemas.openxmlformats.org/drawingml/2006/picture">
                <pic:pic>
                  <pic:nvPicPr>
                    <pic:cNvPr id="1" name=""/>
                    <pic:cNvPicPr/>
                  </pic:nvPicPr>
                  <pic:blipFill>
                    <a:blip r:embed="rId715"/>
                    <a:stretch>
                      <a:fillRect/>
                    </a:stretch>
                  </pic:blipFill>
                  <pic:spPr>
                    <a:xfrm>
                      <a:off x="0" y="0"/>
                      <a:ext cx="4629150" cy="45720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 xml:space="preserve">Total Xylenes: 52 mg/Kg </w:t>
      </w:r>
    </w:p>
    <w:p>
      <w:pPr>
        <w:spacing w:before="0" w:after="0" w:line="480"/>
        <w:ind w:left="120"/>
        <w:jc w:val="both"/>
      </w:pPr>
      <w:r>
        <w:rPr>
          <w:rFonts w:ascii="Times New Roman" w:hAnsi="Times New Roman"/>
          <w:b w:val="false"/>
          <w:i w:val="false"/>
          <w:color w:val="000000"/>
          <w:sz w:val="24"/>
        </w:rPr>
        <w:t>The target level was set in the same manner as for ethylbenzene (above), based on the groundwater target level of 48,000 µg/L (rounded from 47.5 mg/L). C</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xml:space="preserve"> was 19 mg/L, K</w:t>
      </w:r>
      <w:r>
        <w:rPr>
          <w:rFonts w:ascii="Times New Roman" w:hAnsi="Times New Roman"/>
          <w:b w:val="false"/>
          <w:i w:val="false"/>
          <w:color w:val="000000"/>
          <w:sz w:val="24"/>
          <w:vertAlign w:val="subscript"/>
        </w:rPr>
        <w:t>d</w:t>
      </w:r>
      <w:r>
        <w:rPr>
          <w:rFonts w:ascii="Times New Roman" w:hAnsi="Times New Roman"/>
          <w:b w:val="false"/>
          <w:i w:val="false"/>
          <w:color w:val="000000"/>
          <w:sz w:val="24"/>
        </w:rPr>
        <w:t xml:space="preserve"> was 1.001 L/Kg (assuming a mixture of m-, o-, and p-xylenes which is 60%, 20%, and 20%, respectively, which is typical of xylenes derived from petroleum), and C</w:t>
      </w:r>
      <w:r>
        <w:rPr>
          <w:rFonts w:ascii="Times New Roman" w:hAnsi="Times New Roman"/>
          <w:b w:val="false"/>
          <w:i w:val="false"/>
          <w:color w:val="000000"/>
          <w:sz w:val="24"/>
          <w:vertAlign w:val="subscript"/>
        </w:rPr>
        <w:t>T</w:t>
      </w:r>
      <w:r>
        <w:rPr>
          <w:rFonts w:ascii="Times New Roman" w:hAnsi="Times New Roman"/>
          <w:b w:val="false"/>
          <w:i w:val="false"/>
          <w:color w:val="000000"/>
          <w:sz w:val="24"/>
        </w:rPr>
        <w:t xml:space="preserve"> was calculated to be 21 mg/Kg. Hence: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4619625" cy="542925"/>
            <wp:effectExtent l="0" t="0" r="0" b="0"/>
            <wp:docPr id="28" name="" descr="An equation that describes the target level for xylenes in soil and reads in detail: Target Level mg∕Kg=47.5mg∕L×(21mg∕Kg)/(19mg∕L)=52mg∕Kg"/>
            <wp:cNvGraphicFramePr>
              <a:graphicFrameLocks noChangeAspect="true"/>
            </wp:cNvGraphicFramePr>
            <a:graphic>
              <a:graphicData uri="http://schemas.openxmlformats.org/drawingml/2006/picture">
                <pic:pic>
                  <pic:nvPicPr>
                    <pic:cNvPr id="1" name=""/>
                    <pic:cNvPicPr/>
                  </pic:nvPicPr>
                  <pic:blipFill>
                    <a:blip r:embed="rId716"/>
                    <a:stretch>
                      <a:fillRect/>
                    </a:stretch>
                  </pic:blipFill>
                  <pic:spPr>
                    <a:xfrm>
                      <a:off x="0" y="0"/>
                      <a:ext cx="4619625" cy="542925"/>
                    </a:xfrm>
                    <a:prstGeom prst="rect">
                      <a:avLst/>
                    </a:prstGeom>
                  </pic:spPr>
                </pic:pic>
              </a:graphicData>
            </a:graphic>
          </wp:inline>
        </w:drawing>
      </w:r>
    </w:p>
    <w:p>
      <w:pPr>
        <w:spacing w:before="0" w:after="0" w:line="480"/>
        <w:ind w:left="120"/>
        <w:jc w:val="both"/>
      </w:pPr>
      <w:r>
        <w:rPr>
          <w:rFonts w:ascii="Times New Roman" w:hAnsi="Times New Roman"/>
          <w:b/>
          <w:i w:val="false"/>
          <w:color w:val="000000"/>
          <w:sz w:val="24"/>
        </w:rPr>
        <w:t>NOTE:</w:t>
      </w:r>
      <w:r>
        <w:rPr>
          <w:rFonts w:ascii="Times New Roman" w:hAnsi="Times New Roman"/>
          <w:b w:val="false"/>
          <w:i w:val="false"/>
          <w:color w:val="000000"/>
          <w:sz w:val="24"/>
        </w:rPr>
        <w:t xml:space="preserve"> The 1/8th safety factor was applied above to the target levels for ethylbenzene and total xylenes for Groundwater, PVC or Gasketed Service Lines, thence the target levels for Groundwater, PVC or Gasketed Mains, were derived. Consequently, the 1/8th safety factor has also been applied to the target levels for both ethylbenzene and total xylenes in soil.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i w:val="false"/>
          <w:color w:val="000000"/>
          <w:sz w:val="24"/>
        </w:rPr>
        <w:t>REFERENCES</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Chiou, C. T., P. E. Porter and D. W. Schmedding. 1983. Partition equilibria of nonionic organic compounds between soil organic matter and water. Environ. Sci. Technol., 17(4)227-231.</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Ong, S. K., J. A. Gaunt, F. Mao, C. L. Cheng, L. Esteve-Agelet, and C. R. Hurburgh. 2008. Impact of hydrocarbons on PE/PVC pipes and pipe gaskets, Publication 91204. Awwa Research Foundation (presently Water Research Foundation), Denver, CO.</w:t>
      </w:r>
    </w:p>
    <w:p>
      <w:pPr>
        <w:spacing w:before="0" w:after="0"/>
        <w:ind w:left="120"/>
        <w:jc w:val="center"/>
      </w:pPr>
      <w:r>
        <w:br w:type="page"/>
      </w:r>
      <w:r>
        <w:rPr>
          <w:rFonts w:ascii="Times New Roman" w:hAnsi="Times New Roman"/>
          <w:b/>
          <w:i w:val="false"/>
          <w:color w:val="000000"/>
          <w:sz w:val="24"/>
        </w:rPr>
        <w:t>Appendix B-1 – Tier 2 Equations and Parameter Values (Old Model)</w:t>
      </w:r>
      <w:r>
        <w:br/>
      </w:r>
    </w:p>
    <w:p>
      <w:pPr>
        <w:spacing w:before="0" w:after="0"/>
        <w:ind w:left="120"/>
        <w:jc w:val="both"/>
      </w:pPr>
      <w:r>
        <w:rPr>
          <w:rFonts w:ascii="Times New Roman" w:hAnsi="Times New Roman"/>
          <w:b w:val="false"/>
          <w:i w:val="false"/>
          <w:color w:val="000000"/>
          <w:sz w:val="24"/>
        </w:rPr>
        <w:t>All Tier 1 equations and parameters apply at Tier 2 except as specified below.</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u w:val="single"/>
        </w:rPr>
        <w:t>Equation for Tier 2 Groundwater Contaminant Transport Model</w:t>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5080159" cy="774859"/>
            <wp:effectExtent l="0" t="0" r="0" b="0"/>
            <wp:docPr id="29" name="" descr="An equation that describes the Tier 2 Groundwater Contaminant Transport Model and reads in detail: C(x)=(C_s)exp(X/(2a_x) [1-√(1+(4λa_x)/u)])erf((S_w)/4√(a_yx))erf((S_d)/4√(a_zx))"/>
            <wp:cNvGraphicFramePr>
              <a:graphicFrameLocks noChangeAspect="true"/>
            </wp:cNvGraphicFramePr>
            <a:graphic>
              <a:graphicData uri="http://schemas.openxmlformats.org/drawingml/2006/picture">
                <pic:pic>
                  <pic:nvPicPr>
                    <pic:cNvPr id="1" name=""/>
                    <pic:cNvPicPr/>
                  </pic:nvPicPr>
                  <pic:blipFill>
                    <a:blip r:embed="rId717"/>
                    <a:stretch>
                      <a:fillRect/>
                    </a:stretch>
                  </pic:blipFill>
                  <pic:spPr>
                    <a:xfrm>
                      <a:off x="0" y="0"/>
                      <a:ext cx="5080159" cy="7748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u w:val="single"/>
        </w:rPr>
        <w:t>Variable definitions</w:t>
      </w:r>
    </w:p>
    <w:p>
      <w:pPr>
        <w:spacing w:before="0" w:after="0"/>
        <w:ind w:left="120"/>
        <w:jc w:val="both"/>
      </w:pPr>
      <w:r>
        <w:rPr>
          <w:rFonts w:ascii="Times New Roman" w:hAnsi="Times New Roman"/>
          <w:b w:val="false"/>
          <w:i w:val="false"/>
          <w:color w:val="000000"/>
          <w:sz w:val="24"/>
        </w:rPr>
        <w:t>x: distance in the x direction downgradient from the source</w:t>
      </w:r>
    </w:p>
    <w:p>
      <w:pPr>
        <w:spacing w:before="0" w:after="0"/>
        <w:ind w:left="120"/>
        <w:jc w:val="both"/>
      </w:pPr>
      <w:r>
        <w:rPr>
          <w:rFonts w:ascii="Times New Roman" w:hAnsi="Times New Roman"/>
          <w:b w:val="false"/>
          <w:i w:val="false"/>
          <w:color w:val="000000"/>
          <w:sz w:val="24"/>
        </w:rPr>
        <w:t>erf( ): the error function</w:t>
      </w:r>
    </w:p>
    <w:p>
      <w:pPr>
        <w:spacing w:before="0" w:after="0"/>
        <w:ind w:left="120"/>
        <w:jc w:val="both"/>
      </w:pPr>
      <w:r>
        <w:rPr>
          <w:rFonts w:ascii="Times New Roman" w:hAnsi="Times New Roman"/>
          <w:b w:val="false"/>
          <w:i w:val="false"/>
          <w:color w:val="000000"/>
          <w:sz w:val="24"/>
        </w:rPr>
        <w:t>C(x): chemical concentration in groundwater at x</w:t>
      </w:r>
    </w:p>
    <w:p>
      <w:pPr>
        <w:spacing w:before="0" w:after="0"/>
        <w:ind w:left="120"/>
        <w:jc w:val="both"/>
      </w:pPr>
      <w:r>
        <w:rPr>
          <w:rFonts w:ascii="Times New Roman" w:hAnsi="Times New Roman"/>
          <w:b w:val="false"/>
          <w:i w:val="false"/>
          <w:color w:val="000000"/>
          <w:sz w:val="24"/>
        </w:rPr>
        <w:t>C</w:t>
      </w:r>
      <w:r>
        <w:rPr>
          <w:rFonts w:ascii="Times New Roman" w:hAnsi="Times New Roman"/>
          <w:b w:val="false"/>
          <w:i w:val="false"/>
          <w:color w:val="000000"/>
          <w:sz w:val="24"/>
          <w:vertAlign w:val="subscript"/>
        </w:rPr>
        <w:t>s</w:t>
      </w:r>
      <w:r>
        <w:rPr>
          <w:rFonts w:ascii="Times New Roman" w:hAnsi="Times New Roman"/>
          <w:b w:val="false"/>
          <w:i w:val="false"/>
          <w:color w:val="000000"/>
          <w:sz w:val="24"/>
        </w:rPr>
        <w:t>: Source concentration in groundwater (groundwater concentration at x=0)</w:t>
      </w:r>
    </w:p>
    <w:p>
      <w:pPr>
        <w:spacing w:before="0" w:after="0"/>
        <w:ind w:left="120"/>
        <w:jc w:val="both"/>
      </w:pPr>
      <w:r>
        <w:rPr>
          <w:rFonts w:ascii="Times New Roman" w:hAnsi="Times New Roman"/>
          <w:b w:val="false"/>
          <w:i w:val="false"/>
          <w:color w:val="000000"/>
          <w:sz w:val="24"/>
        </w:rPr>
        <w:t>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width of the source (perpendicular to x)</w:t>
      </w:r>
    </w:p>
    <w:p>
      <w:pPr>
        <w:spacing w:before="0" w:after="0"/>
        <w:ind w:left="120"/>
        <w:jc w:val="both"/>
      </w:pPr>
      <w:r>
        <w:rPr>
          <w:rFonts w:ascii="Times New Roman" w:hAnsi="Times New Roman"/>
          <w:b w:val="false"/>
          <w:i w:val="false"/>
          <w:color w:val="000000"/>
          <w:sz w:val="24"/>
        </w:rPr>
        <w:t>S</w:t>
      </w:r>
      <w:r>
        <w:rPr>
          <w:rFonts w:ascii="Times New Roman" w:hAnsi="Times New Roman"/>
          <w:b w:val="false"/>
          <w:i w:val="false"/>
          <w:color w:val="000000"/>
          <w:sz w:val="24"/>
          <w:vertAlign w:val="subscript"/>
        </w:rPr>
        <w:t>d</w:t>
      </w:r>
      <w:r>
        <w:rPr>
          <w:rFonts w:ascii="Times New Roman" w:hAnsi="Times New Roman"/>
          <w:b w:val="false"/>
          <w:i w:val="false"/>
          <w:color w:val="000000"/>
          <w:sz w:val="24"/>
        </w:rPr>
        <w:t>: vertical thickness of the source</w:t>
      </w:r>
    </w:p>
    <w:p>
      <w:pPr>
        <w:spacing w:before="0" w:after="0"/>
        <w:ind w:left="120"/>
        <w:jc w:val="both"/>
      </w:pPr>
      <w:r>
        <w:rPr>
          <w:rFonts w:ascii="Times New Roman" w:hAnsi="Times New Roman"/>
          <w:b w:val="false"/>
          <w:i w:val="false"/>
          <w:color w:val="000000"/>
          <w:sz w:val="24"/>
        </w:rPr>
        <w:t>u: groundwater velocity (pore water velocity); u=Ki/θe</w:t>
      </w:r>
    </w:p>
    <w:p>
      <w:pPr>
        <w:spacing w:before="0" w:after="0"/>
        <w:ind w:left="120"/>
        <w:jc w:val="both"/>
      </w:pPr>
      <w:r>
        <w:rPr>
          <w:rFonts w:ascii="Times New Roman" w:hAnsi="Times New Roman"/>
          <w:b w:val="false"/>
          <w:i w:val="false"/>
          <w:color w:val="000000"/>
          <w:sz w:val="24"/>
        </w:rPr>
        <w:t>K: hydraulic conductivity</w:t>
      </w:r>
    </w:p>
    <w:p>
      <w:pPr>
        <w:spacing w:before="0" w:after="0"/>
        <w:ind w:left="120"/>
        <w:jc w:val="both"/>
      </w:pPr>
      <w:r>
        <w:rPr>
          <w:rFonts w:ascii="Times New Roman" w:hAnsi="Times New Roman"/>
          <w:b w:val="false"/>
          <w:i w:val="false"/>
          <w:color w:val="000000"/>
          <w:sz w:val="24"/>
        </w:rPr>
        <w:t>i: groundwater head gradient</w:t>
      </w:r>
    </w:p>
    <w:p>
      <w:pPr>
        <w:spacing w:before="0" w:after="0"/>
        <w:ind w:left="120"/>
        <w:jc w:val="both"/>
      </w:pPr>
      <w:r>
        <w:rPr>
          <w:rFonts w:ascii="Times New Roman" w:hAnsi="Times New Roman"/>
          <w:b w:val="false"/>
          <w:i w:val="false"/>
          <w:color w:val="000000"/>
          <w:sz w:val="24"/>
        </w:rPr>
        <w:t>θe: effective porosity</w:t>
      </w:r>
    </w:p>
    <w:p>
      <w:pPr>
        <w:spacing w:before="0" w:after="0"/>
        <w:ind w:left="120"/>
        <w:jc w:val="both"/>
      </w:pPr>
      <w:r>
        <w:rPr>
          <w:rFonts w:ascii="Times New Roman" w:hAnsi="Times New Roman"/>
          <w:b w:val="false"/>
          <w:i w:val="false"/>
          <w:color w:val="000000"/>
          <w:sz w:val="24"/>
        </w:rPr>
        <w:t>λ: first-order decay coefficient, chemical specific</w:t>
      </w:r>
    </w:p>
    <w:p>
      <w:pPr>
        <w:spacing w:before="0" w:after="0"/>
        <w:ind w:left="120"/>
        <w:jc w:val="both"/>
      </w:pPr>
      <w:r>
        <w:rPr>
          <w:rFonts w:ascii="Times New Roman" w:hAnsi="Times New Roman"/>
          <w:b w:val="false"/>
          <w:i w:val="false"/>
          <w:color w:val="000000"/>
          <w:sz w:val="24"/>
        </w:rPr>
        <w:t>αx, αy, αz: dispersivities in the x, y and z directions, respectively</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For the following lists of parameters, one of three is required: site-specific measurements, defaults or the option of either (which means the default may be used or replaced with a site-specific measurement).</w:t>
      </w:r>
    </w:p>
    <w:p>
      <w:pPr>
        <w:spacing w:before="0" w:after="0"/>
        <w:ind w:left="120"/>
        <w:jc w:val="both"/>
      </w:pPr>
      <w:r>
        <w:rPr>
          <w:rFonts w:ascii="Times New Roman" w:hAnsi="Times New Roman"/>
          <w:b w:val="false"/>
          <w:i w:val="false"/>
          <w:color w:val="000000"/>
          <w:sz w:val="24"/>
        </w:rPr>
        <w:t> </w:t>
      </w:r>
    </w:p>
    <w:p>
      <w:pPr>
        <w:spacing w:before="60" w:after="0" w:line="480"/>
        <w:ind w:left="120"/>
        <w:jc w:val="left"/>
      </w:pPr>
      <w:r>
        <w:rPr>
          <w:rFonts w:ascii="Times New Roman" w:hAnsi="Times New Roman"/>
          <w:b w:val="false"/>
          <w:i w:val="false"/>
          <w:color w:val="000000"/>
          <w:sz w:val="24"/>
        </w:rPr>
        <w:t>Soil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18"/>
        <w:gridCol w:w="4677"/>
        <w:gridCol w:w="1992"/>
        <w:gridCol w:w="1365"/>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ρ</w:t>
            </w:r>
            <w:r>
              <w:rPr>
                <w:rFonts w:ascii="Times New Roman" w:hAnsi="Times New Roman"/>
                <w:b w:val="false"/>
                <w:i w:val="false"/>
                <w:color w:val="000000"/>
                <w:sz w:val="14"/>
                <w:vertAlign w:val="subscript"/>
              </w:rPr>
              <w:t>s</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soil bulk density</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1.86 g/cm</w:t>
            </w:r>
            <w:r>
              <w:rPr>
                <w:rFonts w:ascii="Times New Roman" w:hAnsi="Times New Roman"/>
                <w:b w:val="false"/>
                <w:i w:val="false"/>
                <w:color w:val="000000"/>
                <w:sz w:val="14"/>
                <w:vertAlign w:val="superscript"/>
              </w:rPr>
              <w:t>3</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w:t>
            </w:r>
            <w:r>
              <w:rPr>
                <w:rFonts w:ascii="Times New Roman" w:hAnsi="Times New Roman"/>
                <w:b w:val="false"/>
                <w:i w:val="false"/>
                <w:color w:val="000000"/>
                <w:sz w:val="14"/>
                <w:vertAlign w:val="subscript"/>
              </w:rPr>
              <w:t>oc</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fraction organic carbon in the soil</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kg-C/kg-soil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T</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soil porosity</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as</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vadose zone</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3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ws</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vadose zone</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27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acrack</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air content in foundation/wall cracks</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330" w:hRule="atLeast"/>
        </w:trPr>
        <w:tc>
          <w:tcPr>
            <w:tcW w:w="9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w:t>
            </w:r>
            <w:r>
              <w:rPr>
                <w:rFonts w:ascii="Times New Roman" w:hAnsi="Times New Roman"/>
                <w:b w:val="false"/>
                <w:i w:val="false"/>
                <w:color w:val="000000"/>
                <w:sz w:val="14"/>
                <w:vertAlign w:val="subscript"/>
              </w:rPr>
              <w:t>wcrack</w:t>
            </w:r>
          </w:p>
        </w:tc>
        <w:tc>
          <w:tcPr>
            <w:tcW w:w="46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volumetric water content in foundation/wall cracks</w:t>
            </w:r>
          </w:p>
        </w:tc>
        <w:tc>
          <w:tcPr>
            <w:tcW w:w="19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-soil</w:t>
            </w:r>
          </w:p>
        </w:tc>
        <w:tc>
          <w:tcPr>
            <w:tcW w:w="136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91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467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infiltration rate of water through soil</w:t>
            </w:r>
          </w:p>
        </w:tc>
        <w:tc>
          <w:tcPr>
            <w:tcW w:w="199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cm/year</w:t>
            </w:r>
          </w:p>
        </w:tc>
        <w:tc>
          <w:tcPr>
            <w:tcW w:w="13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4"/>
        </w:rPr>
        <w:t>If the total porosity is measured, assume 1/3 is air filled and 2/3 is water filled for determining the water and air fraction in the vadose zone soil and floor cracks.</w:t>
      </w:r>
    </w:p>
    <w:p>
      <w:pPr>
        <w:spacing w:before="0" w:after="0"/>
        <w:ind w:left="120"/>
        <w:jc w:val="both"/>
      </w:pPr>
      <w:r>
        <w:rPr>
          <w:rFonts w:ascii="Times New Roman" w:hAnsi="Times New Roman"/>
          <w:b w:val="false"/>
          <w:i w:val="false"/>
          <w:color w:val="000000"/>
          <w:sz w:val="24"/>
        </w:rPr>
        <w:t> </w:t>
      </w:r>
    </w:p>
    <w:p>
      <w:pPr>
        <w:spacing w:before="60" w:after="0" w:line="480"/>
        <w:ind w:left="120"/>
        <w:jc w:val="left"/>
      </w:pPr>
      <w:r>
        <w:rPr>
          <w:rFonts w:ascii="Times New Roman" w:hAnsi="Times New Roman"/>
          <w:b w:val="false"/>
          <w:i w:val="false"/>
          <w:color w:val="000000"/>
          <w:sz w:val="24"/>
        </w:rPr>
        <w:t>Groundwater Transport Modeling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2686"/>
        <w:gridCol w:w="3580"/>
        <w:gridCol w:w="1790"/>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hydraulic conductivity</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16060 cm/year</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head gradient</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 cm/cm</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w:t>
            </w:r>
            <w:r>
              <w:rPr>
                <w:rFonts w:ascii="Times New Roman" w:hAnsi="Times New Roman"/>
                <w:b w:val="false"/>
                <w:i w:val="false"/>
                <w:color w:val="000000"/>
                <w:sz w:val="14"/>
                <w:vertAlign w:val="subscript"/>
              </w:rPr>
              <w:t>w</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width of the source</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use procedure specified in </w:t>
            </w:r>
            <w:hyperlink r:id="rId718">
              <w:r>
                <w:rPr>
                  <w:rStyle w:val="Hyperlink"/>
                  <w:rFonts w:ascii="Times New Roman" w:hAnsi="Times New Roman"/>
                  <w:b w:val="false"/>
                  <w:i w:val="false"/>
                  <w:color w:val="000000"/>
                  <w:sz w:val="14"/>
                </w:rPr>
                <w:t>135.10(2)</w:t>
              </w:r>
            </w:hyperlink>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site-specific</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w:t>
            </w:r>
            <w:r>
              <w:rPr>
                <w:rFonts w:ascii="Times New Roman" w:hAnsi="Times New Roman"/>
                <w:b w:val="false"/>
                <w:i w:val="false"/>
                <w:color w:val="000000"/>
                <w:sz w:val="14"/>
                <w:vertAlign w:val="subscript"/>
              </w:rPr>
              <w:t>d</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vertical thickness of the source</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m</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αx</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x direction</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0.1x</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αy</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y direction</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0.33αx</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αz</w:t>
            </w:r>
          </w:p>
        </w:tc>
        <w:tc>
          <w:tcPr>
            <w:tcW w:w="268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dispersivity in the z direction</w:t>
            </w:r>
          </w:p>
        </w:tc>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0.05αx</w:t>
            </w:r>
          </w:p>
        </w:tc>
        <w:tc>
          <w:tcPr>
            <w:tcW w:w="179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θe</w:t>
            </w:r>
          </w:p>
        </w:tc>
        <w:tc>
          <w:tcPr>
            <w:tcW w:w="268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porosity</w:t>
            </w:r>
          </w:p>
        </w:tc>
        <w:tc>
          <w:tcPr>
            <w:tcW w:w="358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c>
          <w:tcPr>
            <w:tcW w:w="179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4"/>
        </w:rPr>
        <w:t>where u=Ki/θe</w:t>
      </w:r>
    </w:p>
    <w:p>
      <w:pPr>
        <w:spacing w:before="60" w:after="0" w:line="480"/>
        <w:ind w:left="120"/>
        <w:jc w:val="left"/>
      </w:pPr>
      <w:r>
        <w:rPr>
          <w:rFonts w:ascii="Times New Roman" w:hAnsi="Times New Roman"/>
          <w:b w:val="false"/>
          <w:i w:val="false"/>
          <w:color w:val="000000"/>
          <w:sz w:val="24"/>
        </w:rPr>
        <w:t>First-order Decay Coefficients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984"/>
        <w:gridCol w:w="2984"/>
        <w:gridCol w:w="2984"/>
      </w:tblGrid>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Valueλ (d-1)</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Required</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0.0007</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Ethylbenzene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0.00013</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Xylenes</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Naphthalene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0.00013</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Benzo(a)pyrene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Benz(a)anthracene</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r>
        <w:trPr>
          <w:trHeight w:val="195" w:hRule="atLeast"/>
        </w:trPr>
        <w:tc>
          <w:tcPr>
            <w:tcW w:w="298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Chrysene</w:t>
            </w:r>
          </w:p>
        </w:tc>
        <w:tc>
          <w:tcPr>
            <w:tcW w:w="298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default</w:t>
            </w:r>
          </w:p>
        </w:tc>
      </w:tr>
    </w:tbl>
    <w:p>
      <w:pPr>
        <w:spacing w:before="60" w:after="0" w:line="480"/>
        <w:ind w:left="120"/>
        <w:jc w:val="left"/>
      </w:pPr>
      <w:r>
        <w:rPr>
          <w:rFonts w:ascii="Times New Roman" w:hAnsi="Times New Roman"/>
          <w:b w:val="false"/>
          <w:i w:val="false"/>
          <w:color w:val="000000"/>
          <w:sz w:val="24"/>
        </w:rPr>
        <w:t>Other Parameters for Groundwater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5372"/>
        <w:gridCol w:w="1342"/>
        <w:gridCol w:w="1342"/>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Lgw</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groundwater from the enclosed space foundation</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0.00014</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Lcrack</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537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34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c>
          <w:tcPr>
            <w:tcW w:w="13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60" w:after="0" w:line="480"/>
        <w:ind w:left="120"/>
        <w:jc w:val="left"/>
      </w:pPr>
      <w:r>
        <w:rPr>
          <w:rFonts w:ascii="Times New Roman" w:hAnsi="Times New Roman"/>
          <w:b w:val="false"/>
          <w:i w:val="false"/>
          <w:color w:val="000000"/>
          <w:sz w:val="24"/>
        </w:rPr>
        <w:t>Other Parameters for Soil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6"/>
        <w:gridCol w:w="5372"/>
        <w:gridCol w:w="1342"/>
        <w:gridCol w:w="1342"/>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s</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depth to subsurface soil sources from the enclosed space foundation</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270"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 cm *</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option</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0.000185 *</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Lcrack</w:t>
            </w:r>
          </w:p>
        </w:tc>
        <w:tc>
          <w:tcPr>
            <w:tcW w:w="53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foundation or wall thickness</w:t>
            </w:r>
          </w:p>
        </w:tc>
        <w:tc>
          <w:tcPr>
            <w:tcW w:w="134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cm</w:t>
            </w:r>
          </w:p>
        </w:tc>
        <w:tc>
          <w:tcPr>
            <w:tcW w:w="134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r>
        <w:trPr>
          <w:trHeight w:val="195" w:hRule="atLeast"/>
        </w:trPr>
        <w:tc>
          <w:tcPr>
            <w:tcW w:w="89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η</w:t>
            </w:r>
          </w:p>
        </w:tc>
        <w:tc>
          <w:tcPr>
            <w:tcW w:w="537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areal fraction of cracks in foundation/wall</w:t>
            </w:r>
          </w:p>
        </w:tc>
        <w:tc>
          <w:tcPr>
            <w:tcW w:w="134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c>
          <w:tcPr>
            <w:tcW w:w="13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0" w:after="0"/>
        <w:ind w:left="120"/>
        <w:jc w:val="both"/>
      </w:pPr>
      <w:r>
        <w:rPr>
          <w:rFonts w:ascii="Times New Roman" w:hAnsi="Times New Roman"/>
          <w:b w:val="false"/>
          <w:i w:val="false"/>
          <w:color w:val="000000"/>
          <w:sz w:val="24"/>
        </w:rPr>
        <w:t>*These values are an average of residential and nonresidential factors.</w:t>
      </w:r>
    </w:p>
    <w:p>
      <w:pPr>
        <w:spacing w:before="60" w:after="0" w:line="480"/>
        <w:ind w:left="120"/>
        <w:jc w:val="left"/>
      </w:pPr>
      <w:r>
        <w:rPr>
          <w:rFonts w:ascii="Times New Roman" w:hAnsi="Times New Roman"/>
          <w:b w:val="false"/>
          <w:i w:val="false"/>
          <w:color w:val="000000"/>
          <w:sz w:val="24"/>
        </w:rPr>
        <w:t>Soil Leaching to Groundwater</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0"/>
        <w:gridCol w:w="5694"/>
        <w:gridCol w:w="2847"/>
        <w:gridCol w:w="2343"/>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284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 Value</w:t>
            </w:r>
          </w:p>
        </w:tc>
        <w:tc>
          <w:tcPr>
            <w:tcW w:w="234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w:t>
            </w:r>
          </w:p>
        </w:tc>
      </w:tr>
      <w:tr>
        <w:trPr>
          <w:trHeight w:val="195" w:hRule="atLeast"/>
        </w:trPr>
        <w:tc>
          <w:tcPr>
            <w:tcW w:w="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δ</w:t>
            </w:r>
          </w:p>
        </w:tc>
        <w:tc>
          <w:tcPr>
            <w:tcW w:w="569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groundwater mixing zone</w:t>
            </w:r>
          </w:p>
        </w:tc>
        <w:tc>
          <w:tcPr>
            <w:tcW w:w="284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m</w:t>
            </w:r>
          </w:p>
        </w:tc>
        <w:tc>
          <w:tcPr>
            <w:tcW w:w="23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default</w:t>
            </w:r>
          </w:p>
        </w:tc>
      </w:tr>
    </w:tbl>
    <w:p>
      <w:pPr>
        <w:spacing w:before="60" w:after="0" w:line="480"/>
        <w:ind w:left="120"/>
        <w:jc w:val="left"/>
      </w:pPr>
      <w:r>
        <w:rPr>
          <w:rFonts w:ascii="Times New Roman" w:hAnsi="Times New Roman"/>
          <w:b w:val="false"/>
          <w:i w:val="false"/>
          <w:color w:val="000000"/>
          <w:sz w:val="24"/>
        </w:rPr>
        <w:t>Building Parameters for Iowa Tier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54"/>
        <w:gridCol w:w="3760"/>
        <w:gridCol w:w="1969"/>
        <w:gridCol w:w="1969"/>
      </w:tblGrid>
      <w:tr>
        <w:trPr>
          <w:trHeight w:val="43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Parameter</w:t>
            </w:r>
          </w:p>
        </w:tc>
        <w:tc>
          <w:tcPr>
            <w:tcW w:w="19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Residential</w:t>
            </w:r>
          </w:p>
        </w:tc>
        <w:tc>
          <w:tcPr>
            <w:tcW w:w="196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Nonresidential</w:t>
            </w:r>
          </w:p>
        </w:tc>
      </w:tr>
      <w:tr>
        <w:trPr>
          <w:trHeight w:val="195" w:hRule="atLeast"/>
        </w:trPr>
        <w:tc>
          <w:tcPr>
            <w:tcW w:w="12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 (s-1)</w:t>
            </w:r>
          </w:p>
        </w:tc>
        <w:tc>
          <w:tcPr>
            <w:tcW w:w="37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air exchange rate</w:t>
            </w:r>
          </w:p>
        </w:tc>
        <w:tc>
          <w:tcPr>
            <w:tcW w:w="19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0.00014</w:t>
            </w:r>
          </w:p>
        </w:tc>
        <w:tc>
          <w:tcPr>
            <w:tcW w:w="196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0.00023</w:t>
            </w:r>
          </w:p>
        </w:tc>
      </w:tr>
      <w:tr>
        <w:trPr>
          <w:trHeight w:val="270" w:hRule="atLeast"/>
        </w:trPr>
        <w:tc>
          <w:tcPr>
            <w:tcW w:w="125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w:t>
            </w:r>
            <w:r>
              <w:rPr>
                <w:rFonts w:ascii="Times New Roman" w:hAnsi="Times New Roman"/>
                <w:b w:val="false"/>
                <w:i w:val="false"/>
                <w:color w:val="000000"/>
                <w:sz w:val="14"/>
                <w:vertAlign w:val="subscript"/>
              </w:rPr>
              <w:t>B</w:t>
            </w:r>
          </w:p>
        </w:tc>
        <w:tc>
          <w:tcPr>
            <w:tcW w:w="376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enclosed space volume/infiltration area ratio</w:t>
            </w:r>
          </w:p>
        </w:tc>
        <w:tc>
          <w:tcPr>
            <w:tcW w:w="196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cm</w:t>
            </w:r>
          </w:p>
        </w:tc>
        <w:tc>
          <w:tcPr>
            <w:tcW w:w="19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cm</w:t>
            </w:r>
          </w:p>
        </w:tc>
      </w:tr>
    </w:tbl>
    <w:p>
      <w:pPr>
        <w:spacing w:before="0" w:after="0"/>
        <w:ind w:left="120"/>
        <w:jc w:val="both"/>
      </w:pPr>
      <w:r>
        <w:rPr>
          <w:rFonts w:ascii="Times New Roman" w:hAnsi="Times New Roman"/>
          <w:b w:val="false"/>
          <w:i w:val="false"/>
          <w:color w:val="000000"/>
          <w:sz w:val="24"/>
          <w:u w:val="single"/>
        </w:rPr>
        <w:t>Other Parameters</w:t>
      </w:r>
    </w:p>
    <w:p>
      <w:pPr>
        <w:spacing w:before="0" w:after="0"/>
        <w:ind w:left="120"/>
        <w:jc w:val="both"/>
      </w:pPr>
      <w:r>
        <w:rPr>
          <w:rFonts w:ascii="Times New Roman" w:hAnsi="Times New Roman"/>
          <w:b w:val="false"/>
          <w:i w:val="false"/>
          <w:color w:val="000000"/>
          <w:sz w:val="24"/>
        </w:rPr>
        <w:t>For Tier 2, the following are the same as Tier 1 values (refer to Appendix A): chemical-specific parameters, slope factors and reference doses, and exposure factors (except for those listed below).</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Exposure Factors for Tier 2 Groundwater Vapor to Enclosed Space Modeling:</w:t>
      </w:r>
    </w:p>
    <w:p>
      <w:pPr>
        <w:spacing w:before="0" w:after="0"/>
        <w:ind w:left="120"/>
        <w:jc w:val="both"/>
      </w:pPr>
      <w:r>
        <w:rPr>
          <w:rFonts w:ascii="Times New Roman" w:hAnsi="Times New Roman"/>
          <w:b w:val="false"/>
          <w:i w:val="false"/>
          <w:color w:val="000000"/>
          <w:sz w:val="24"/>
        </w:rPr>
        <w:t>Potential Residential: use residential exposure and residential building parameters.</w:t>
      </w:r>
    </w:p>
    <w:p>
      <w:pPr>
        <w:spacing w:before="0" w:after="0"/>
        <w:ind w:left="120"/>
        <w:jc w:val="both"/>
      </w:pPr>
      <w:r>
        <w:rPr>
          <w:rFonts w:ascii="Times New Roman" w:hAnsi="Times New Roman"/>
          <w:b w:val="false"/>
          <w:i w:val="false"/>
          <w:color w:val="000000"/>
          <w:sz w:val="24"/>
        </w:rPr>
        <w:t>Potential Nonresidential: use nonresidential exposure and nonresidential building parameters.</w:t>
      </w:r>
    </w:p>
    <w:p>
      <w:pPr>
        <w:spacing w:before="60" w:after="0" w:line="480"/>
        <w:ind w:left="120"/>
        <w:jc w:val="left"/>
      </w:pPr>
      <w:r>
        <w:rPr>
          <w:rFonts w:ascii="Times New Roman" w:hAnsi="Times New Roman"/>
          <w:b w:val="false"/>
          <w:i w:val="false"/>
          <w:color w:val="000000"/>
          <w:sz w:val="24"/>
          <w:u w:val="single"/>
        </w:rPr>
        <w:t>Diesel and Waste Oil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Chemical-Specific Values for Tier 1</w:t>
            </w:r>
          </w:p>
        </w:tc>
      </w:tr>
      <w:tr>
        <w:trPr>
          <w:trHeight w:val="36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w:t>
            </w:r>
            <w:r>
              <w:br/>
            </w:r>
            <w:r>
              <w:rPr>
                <w:rFonts w:ascii="Times New Roman" w:hAnsi="Times New Roman"/>
                <w:b w:val="false"/>
                <w:i w:val="false"/>
                <w:color w:val="000000"/>
                <w:sz w:val="14"/>
              </w:rPr>
              <w:t>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Soil to Plastic </w:t>
            </w:r>
            <w:r>
              <w:br/>
            </w:r>
            <w:r>
              <w:rPr>
                <w:rFonts w:ascii="Times New Roman" w:hAnsi="Times New Roman"/>
                <w:b w:val="false"/>
                <w:i w:val="false"/>
                <w:color w:val="000000"/>
                <w:sz w:val="14"/>
              </w:rPr>
              <w:t>Water Line</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4"/>
        </w:rPr>
        <w:t>Due to difficulties with analytical methods for the four individual chemicals listed in the above table, Total Extractable Hydrocarbon (TEH) default values were calculated for each chemical, using the assumption that diesel contains 0.2% naphthalene, 0.001% benzo(a)pyrene, 0.001% benz(a)anthracene, and 0.001%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TEH Default Values</w:t>
            </w:r>
          </w:p>
        </w:tc>
      </w:tr>
      <w:tr>
        <w:trPr>
          <w:trHeight w:val="36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Soil to Plastic </w:t>
            </w:r>
            <w:r>
              <w:br/>
            </w:r>
            <w:r>
              <w:rPr>
                <w:rFonts w:ascii="Times New Roman" w:hAnsi="Times New Roman"/>
                <w:b w:val="false"/>
                <w:i w:val="false"/>
                <w:color w:val="000000"/>
                <w:sz w:val="14"/>
              </w:rPr>
              <w:t>Water Line</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4"/>
        </w:rPr>
        <w:t>The lowest TEH default value for each pathway (shown as a shaded box) was used in the Tier 1 Table.</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390"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TEH Default Values</w:t>
            </w:r>
          </w:p>
        </w:tc>
      </w:tr>
      <w:tr>
        <w:trPr>
          <w:trHeight w:val="360"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Benzo(a)</w:t>
            </w:r>
            <w:r>
              <w:br/>
            </w:r>
            <w:r>
              <w:rPr>
                <w:rFonts w:ascii="Times New Roman" w:hAnsi="Times New Roman"/>
                <w:b w:val="false"/>
                <w:i w:val="false"/>
                <w:color w:val="000000"/>
                <w:sz w:val="14"/>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Benz(a)</w:t>
            </w:r>
            <w:r>
              <w:br/>
            </w:r>
            <w:r>
              <w:rPr>
                <w:rFonts w:ascii="Times New Roman" w:hAnsi="Times New Roman"/>
                <w:b w:val="false"/>
                <w:i w:val="false"/>
                <w:color w:val="000000"/>
                <w:sz w:val="14"/>
              </w:rPr>
              <w:t>anthracene</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Chrysene</w:t>
            </w:r>
          </w:p>
        </w:tc>
      </w:tr>
      <w:tr>
        <w:trPr>
          <w:trHeight w:val="195" w:hRule="atLeast"/>
        </w:trPr>
        <w:tc>
          <w:tcPr>
            <w:tcW w:w="1536"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(ug/L)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450"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19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400,000</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w:t>
            </w:r>
            <w:r>
              <w:br/>
            </w:r>
            <w:r>
              <w:rPr>
                <w:rFonts w:ascii="Times New Roman" w:hAnsi="Times New Roman"/>
                <w:b w:val="false"/>
                <w:i w:val="false"/>
                <w:color w:val="000000"/>
                <w:sz w:val="14"/>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Soil to Plastic </w:t>
            </w:r>
            <w:r>
              <w:br/>
            </w:r>
            <w:r>
              <w:rPr>
                <w:rFonts w:ascii="Times New Roman" w:hAnsi="Times New Roman"/>
                <w:b w:val="false"/>
                <w:i w:val="false"/>
                <w:color w:val="000000"/>
                <w:sz w:val="14"/>
              </w:rPr>
              <w:t>Water Line</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right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4"/>
        </w:rPr>
        <w:t>The lowest TEH default value for each pathway (shown as a shaded box) was used in the Tier 1 Table.</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7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ac/rule/567.135.2.pdf" Type="http://schemas.openxmlformats.org/officeDocument/2006/relationships/hyperlink" Id="rId7"/>
    <Relationship TargetMode="External" Target="https://www.legis.iowa.gov/docs/iac/rule/567.135.1.pdf" Type="http://schemas.openxmlformats.org/officeDocument/2006/relationships/hyperlink" Id="rId8"/>
    <Relationship TargetMode="External" Target="https://www.legis.iowa.gov/docs/iac/rule/567.135.20.pdf" Type="http://schemas.openxmlformats.org/officeDocument/2006/relationships/hyperlink" Id="rId9"/>
    <Relationship TargetMode="External" Target="https://www.legis.iowa.gov/docs/iac/rule/567.135.5.pdf" Type="http://schemas.openxmlformats.org/officeDocument/2006/relationships/hyperlink" Id="rId10"/>
    <Relationship TargetMode="External" Target="https://www.legis.iowa.gov/docs/iac/rule/567.135.1.pdf" Type="http://schemas.openxmlformats.org/officeDocument/2006/relationships/hyperlink" Id="rId11"/>
    <Relationship TargetMode="External" Target="https://www.legis.iowa.gov/docs/iac/rule/567.135.1.pdf" Type="http://schemas.openxmlformats.org/officeDocument/2006/relationships/hyperlink" Id="rId12"/>
    <Relationship TargetMode="External" Target="https://www.legis.iowa.gov/docs/iac/rule/567.135.3.pdf" Type="http://schemas.openxmlformats.org/officeDocument/2006/relationships/hyperlink" Id="rId13"/>
    <Relationship TargetMode="External" Target="https://www.legis.iowa.gov/docs/iac/rule/567.135.4.pdf" Type="http://schemas.openxmlformats.org/officeDocument/2006/relationships/hyperlink" Id="rId14"/>
    <Relationship TargetMode="External" Target="https://www.legis.iowa.gov/docs/iac/rule/567.135.5.pdf" Type="http://schemas.openxmlformats.org/officeDocument/2006/relationships/hyperlink" Id="rId15"/>
    <Relationship TargetMode="External" Target="https://www.legis.iowa.gov/docs/iac/rule/567.135.6.pdf" Type="http://schemas.openxmlformats.org/officeDocument/2006/relationships/hyperlink" Id="rId16"/>
    <Relationship TargetMode="External" Target="https://www.legis.iowa.gov/docs/iac/rule/567.135.15.pdf" Type="http://schemas.openxmlformats.org/officeDocument/2006/relationships/hyperlink" Id="rId17"/>
    <Relationship TargetMode="External" Target="https://www.legis.iowa.gov/docs/iac/rule/567.135.20.pdf" Type="http://schemas.openxmlformats.org/officeDocument/2006/relationships/hyperlink" Id="rId18"/>
    <Relationship TargetMode="External" Target="https://www.legis.iowa.gov/docs/iac/rule/567.135.20.pdf" Type="http://schemas.openxmlformats.org/officeDocument/2006/relationships/hyperlink" Id="rId19"/>
    <Relationship TargetMode="External" Target="https://www.legis.iowa.gov/docs/iac/rule/567.135.20.pdf" Type="http://schemas.openxmlformats.org/officeDocument/2006/relationships/hyperlink" Id="rId20"/>
    <Relationship TargetMode="External" Target="https://www.legis.iowa.gov/docs/iac/rule/567.135.8.pdf" Type="http://schemas.openxmlformats.org/officeDocument/2006/relationships/hyperlink" Id="rId21"/>
    <Relationship TargetMode="External" Target="https://www.legis.iowa.gov/docs/iac/rule/567.135.12.pdf" Type="http://schemas.openxmlformats.org/officeDocument/2006/relationships/hyperlink" Id="rId22"/>
    <Relationship TargetMode="External" Target="https://www.legis.iowa.gov/docs/iac/rule/567.135.1.pdf" Type="http://schemas.openxmlformats.org/officeDocument/2006/relationships/hyperlink" Id="rId23"/>
    <Relationship TargetMode="External" Target="https://www.legis.iowa.gov/docs/iac/rule/567.135.1.pdf" Type="http://schemas.openxmlformats.org/officeDocument/2006/relationships/hyperlink" Id="rId24"/>
    <Relationship TargetMode="External" Target="https://www.legis.iowa.gov/docs/ico/chapter/214A.2.pdf" Type="http://schemas.openxmlformats.org/officeDocument/2006/relationships/hyperlink" Id="rId25"/>
    <Relationship TargetMode="External" Target="https://www.legis.iowa.gov/docs/iac/rule/567.135.8.pdf" Type="http://schemas.openxmlformats.org/officeDocument/2006/relationships/hyperlink" Id="rId26"/>
    <Relationship TargetMode="External" Target="https://www.legis.iowa.gov/docs/ico/chapter/252B.2.pdf" Type="http://schemas.openxmlformats.org/officeDocument/2006/relationships/hyperlink" Id="rId27"/>
    <Relationship TargetMode="External" Target="https://www.legis.iowa.gov/docs/ico/chapter/214A.2.pdf" Type="http://schemas.openxmlformats.org/officeDocument/2006/relationships/hyperlink" Id="rId28"/>
    <Relationship TargetMode="External" Target="https://www.legis.iowa.gov/docs/ico/chapter/455B.474.pdf" Type="http://schemas.openxmlformats.org/officeDocument/2006/relationships/hyperlink" Id="rId29"/>
    <Relationship TargetMode="External" Target="https://www.legis.iowa.gov/docs/ico/chapter/558.1.pdf" Type="http://schemas.openxmlformats.org/officeDocument/2006/relationships/hyperlink" Id="rId30"/>
    <Relationship TargetMode="External" Target="https://www.legis.iowa.gov/docs/ico/chapter/558.1.pdf" Type="http://schemas.openxmlformats.org/officeDocument/2006/relationships/hyperlink" Id="rId31"/>
    <Relationship TargetMode="External" Target="https://www.legis.iowa.gov/docs/iac/rule/567.41.3.pdf" Type="http://schemas.openxmlformats.org/officeDocument/2006/relationships/hyperlink" Id="rId32"/>
    <Relationship TargetMode="External" Target="https://www.legis.iowa.gov/docs/iac/chapter/567.39.pdf" Type="http://schemas.openxmlformats.org/officeDocument/2006/relationships/hyperlink" Id="rId33"/>
    <Relationship TargetMode="External" Target="https://www.legis.iowa.gov/docs/iac/chapter/567.49.pdf" Type="http://schemas.openxmlformats.org/officeDocument/2006/relationships/hyperlink" Id="rId34"/>
    <Relationship TargetMode="External" Target="https://www.legis.iowa.gov/docs/ico/chapter/252B.1.pdf" Type="http://schemas.openxmlformats.org/officeDocument/2006/relationships/hyperlink" Id="rId35"/>
    <Relationship TargetMode="External" Target="https://www.legis.iowa.gov/docs/iac/rule/567.135.15.pdf" Type="http://schemas.openxmlformats.org/officeDocument/2006/relationships/hyperlink" Id="rId36"/>
    <Relationship TargetMode="External" Target="https://www.legis.iowa.gov/docs/iac/rule/567.135.5.pdf" Type="http://schemas.openxmlformats.org/officeDocument/2006/relationships/hyperlink" Id="rId37"/>
    <Relationship TargetMode="External" Target="https://www.legis.iowa.gov/docs/iac/rule/567.135.15.pdf" Type="http://schemas.openxmlformats.org/officeDocument/2006/relationships/hyperlink" Id="rId38"/>
    <Relationship TargetMode="External" Target="https://www.legis.iowa.gov/docs/iac/rule/567.135.15.pdf" Type="http://schemas.openxmlformats.org/officeDocument/2006/relationships/hyperlink" Id="rId39"/>
    <Relationship TargetMode="External" Target="https://www.legis.iowa.gov/docs/iac/rule/567.61.3.pdf" Type="http://schemas.openxmlformats.org/officeDocument/2006/relationships/hyperlink" Id="rId40"/>
    <Relationship TargetMode="External" Target="https://www.legis.iowa.gov/docs/iac/rule/567.61.3.pdf" Type="http://schemas.openxmlformats.org/officeDocument/2006/relationships/hyperlink" Id="rId41"/>
    <Relationship TargetMode="External" Target="https://www.legis.iowa.gov/docs/iac/rule/567.61.3.pdf" Type="http://schemas.openxmlformats.org/officeDocument/2006/relationships/hyperlink" Id="rId42"/>
    <Relationship TargetMode="External" Target="https://www.legis.iowa.gov/docs/iac/rule/567.61.3.pdf" Type="http://schemas.openxmlformats.org/officeDocument/2006/relationships/hyperlink" Id="rId43"/>
    <Relationship TargetMode="External" Target="https://www.legis.iowa.gov/docs/iac/chapter/567.135.pdf" Type="http://schemas.openxmlformats.org/officeDocument/2006/relationships/hyperlink" Id="rId44"/>
    <Relationship TargetMode="External" Target="https://www.legis.iowa.gov/docs/iac/chapter/567.135.pdf" Type="http://schemas.openxmlformats.org/officeDocument/2006/relationships/hyperlink" Id="rId45"/>
    <Relationship TargetMode="External" Target="https://www.legis.iowa.gov/docs/iac/rule/567.135.9.pdf" Type="http://schemas.openxmlformats.org/officeDocument/2006/relationships/hyperlink" Id="rId46"/>
    <Relationship TargetMode="External" Target="https://www.legis.iowa.gov/docs/iac/rule/567.135.4.pdf" Type="http://schemas.openxmlformats.org/officeDocument/2006/relationships/hyperlink" Id="rId47"/>
    <Relationship TargetMode="External" Target="https://www.legis.iowa.gov/docs/iac/rule/567.135.19.pdf" Type="http://schemas.openxmlformats.org/officeDocument/2006/relationships/hyperlink" Id="rId48"/>
    <Relationship TargetMode="External" Target="https://www.legis.iowa.gov/docs/iac/chapter/567.135.pdf" Type="http://schemas.openxmlformats.org/officeDocument/2006/relationships/hyperlink" Id="rId49"/>
    <Relationship TargetMode="External" Target="https://www.legis.iowa.gov/docs/iac/chapter/567.134.pdf" Type="http://schemas.openxmlformats.org/officeDocument/2006/relationships/hyperlink" Id="rId50"/>
    <Relationship TargetMode="External" Target="https://www.legis.iowa.gov/docs/ico/chapter/252B.2.pdf" Type="http://schemas.openxmlformats.org/officeDocument/2006/relationships/hyperlink" Id="rId51"/>
    <Relationship TargetMode="External" Target="https://www.legis.iowa.gov/docs/iac/rule/567.135.3.pdf" Type="http://schemas.openxmlformats.org/officeDocument/2006/relationships/hyperlink" Id="rId52"/>
    <Relationship TargetMode="External" Target="https://www.legis.iowa.gov/docs/iac/rule/567.135.3.pdf" Type="http://schemas.openxmlformats.org/officeDocument/2006/relationships/hyperlink" Id="rId53"/>
    <Relationship TargetMode="External" Target="https://www.legis.iowa.gov/docs/iac/rule/567.135.4.pdf" Type="http://schemas.openxmlformats.org/officeDocument/2006/relationships/hyperlink" Id="rId54"/>
    <Relationship TargetMode="External" Target="https://www.legis.iowa.gov/docs/iac/rule/567.135.4.pdf" Type="http://schemas.openxmlformats.org/officeDocument/2006/relationships/hyperlink" Id="rId55"/>
    <Relationship TargetMode="External" Target="https://www.legis.iowa.gov/docs/iac/rule/567.135.3.pdf" Type="http://schemas.openxmlformats.org/officeDocument/2006/relationships/hyperlink" Id="rId56"/>
    <Relationship TargetMode="External" Target="https://www.legis.iowa.gov/docs/iac/rule/567.135.3.pdf" Type="http://schemas.openxmlformats.org/officeDocument/2006/relationships/hyperlink" Id="rId57"/>
    <Relationship TargetMode="External" Target="https://www.legis.iowa.gov/docs/iac/rule/567.135.3.pdf" Type="http://schemas.openxmlformats.org/officeDocument/2006/relationships/hyperlink" Id="rId58"/>
    <Relationship TargetMode="External" Target="https://www.legis.iowa.gov/docs/iac/chapter/481.282.pdf" Type="http://schemas.openxmlformats.org/officeDocument/2006/relationships/hyperlink" Id="rId59"/>
    <Relationship TargetMode="External" Target="https://www.legis.iowa.gov/docs/iac/rule/567.135.3.pdf" Type="http://schemas.openxmlformats.org/officeDocument/2006/relationships/hyperlink" Id="rId60"/>
    <Relationship TargetMode="External" Target="https://www.legis.iowa.gov/docs/iac/rule/567.135.4.pdf" Type="http://schemas.openxmlformats.org/officeDocument/2006/relationships/hyperlink" Id="rId61"/>
    <Relationship TargetMode="External" Target="https://www.legis.iowa.gov/docs/iac/rule/567.135.4.pdf" Type="http://schemas.openxmlformats.org/officeDocument/2006/relationships/hyperlink" Id="rId62"/>
    <Relationship TargetMode="External" Target="https://www.legis.iowa.gov/docs/iac/rule/567.135.3.pdf" Type="http://schemas.openxmlformats.org/officeDocument/2006/relationships/hyperlink" Id="rId63"/>
    <Relationship TargetMode="External" Target="https://www.legis.iowa.gov/docs/iac/rule/567.135.3.pdf" Type="http://schemas.openxmlformats.org/officeDocument/2006/relationships/hyperlink" Id="rId64"/>
    <Relationship TargetMode="External" Target="https://www.legis.iowa.gov/docs/iac/rule/567.135.3.pdf" Type="http://schemas.openxmlformats.org/officeDocument/2006/relationships/hyperlink" Id="rId65"/>
    <Relationship TargetMode="External" Target="https://www.legis.iowa.gov/docs/iac/rule/567.135.3.pdf" Type="http://schemas.openxmlformats.org/officeDocument/2006/relationships/hyperlink" Id="rId66"/>
    <Relationship TargetMode="External" Target="https://www.legis.iowa.gov/docs/iac/rule/567.135.3.pdf" Type="http://schemas.openxmlformats.org/officeDocument/2006/relationships/hyperlink" Id="rId67"/>
    <Relationship TargetMode="External" Target="https://www.legis.iowa.gov/docs/iac/rule/567.135.3.pdf" Type="http://schemas.openxmlformats.org/officeDocument/2006/relationships/hyperlink" Id="rId68"/>
    <Relationship TargetMode="External" Target="https://www.legis.iowa.gov/docs/iac/rule/567.135.3.pdf" Type="http://schemas.openxmlformats.org/officeDocument/2006/relationships/hyperlink" Id="rId69"/>
    <Relationship TargetMode="External" Target="https://www.legis.iowa.gov/docs/iac/rule/567.135.4.pdf" Type="http://schemas.openxmlformats.org/officeDocument/2006/relationships/hyperlink" Id="rId70"/>
    <Relationship TargetMode="External" Target="https://www.legis.iowa.gov/docs/iac/chapter/567.134.pdf" Type="http://schemas.openxmlformats.org/officeDocument/2006/relationships/hyperlink" Id="rId71"/>
    <Relationship TargetMode="External" Target="https://www.legis.iowa.gov/docs/iac/rule/567.134.11.pdf" Type="http://schemas.openxmlformats.org/officeDocument/2006/relationships/hyperlink" Id="rId72"/>
    <Relationship TargetMode="External" Target="https://www.legis.iowa.gov/docs/iac/rule/567.134.11.pdf" Type="http://schemas.openxmlformats.org/officeDocument/2006/relationships/hyperlink" Id="rId73"/>
    <Relationship TargetMode="External" Target="https://www.legis.iowa.gov/docs/iac/rule/567.135.3.pdf" Type="http://schemas.openxmlformats.org/officeDocument/2006/relationships/hyperlink" Id="rId74"/>
    <Relationship TargetMode="External" Target="https://www.legis.iowa.gov/docs/iac/rule/567.135.3.pdf" Type="http://schemas.openxmlformats.org/officeDocument/2006/relationships/hyperlink" Id="rId75"/>
    <Relationship TargetMode="External" Target="https://www.legis.iowa.gov/docs/iac/rule/567.135.3.pdf" Type="http://schemas.openxmlformats.org/officeDocument/2006/relationships/hyperlink" Id="rId76"/>
    <Relationship TargetMode="External" Target="https://www.legis.iowa.gov/docs/iac/chapter/567.134.pdf" Type="http://schemas.openxmlformats.org/officeDocument/2006/relationships/hyperlink" Id="rId77"/>
    <Relationship TargetMode="External" Target="https://www.legis.iowa.gov/docs/iac/chapter/567.134.pdf" Type="http://schemas.openxmlformats.org/officeDocument/2006/relationships/hyperlink" Id="rId78"/>
    <Relationship TargetMode="External" Target="https://www.legis.iowa.gov/docs/iac/rule/567.135.3.pdf" Type="http://schemas.openxmlformats.org/officeDocument/2006/relationships/hyperlink" Id="rId79"/>
    <Relationship TargetMode="External" Target="https://www.legis.iowa.gov/docs/iac/rule/567.135.3.pdf" Type="http://schemas.openxmlformats.org/officeDocument/2006/relationships/hyperlink" Id="rId80"/>
    <Relationship TargetMode="External" Target="https://www.legis.iowa.gov/docs/iac/rule/567.135.3.pdf" Type="http://schemas.openxmlformats.org/officeDocument/2006/relationships/hyperlink" Id="rId81"/>
    <Relationship TargetMode="External" Target="https://www.legis.iowa.gov/docs/iac/rule/567.135.15.pdf" Type="http://schemas.openxmlformats.org/officeDocument/2006/relationships/hyperlink" Id="rId82"/>
    <Relationship TargetMode="External" Target="https://www.legis.iowa.gov/docs/iac/rule/567.135.7.pdf" Type="http://schemas.openxmlformats.org/officeDocument/2006/relationships/hyperlink" Id="rId83"/>
    <Relationship TargetMode="External" Target="https://www.legis.iowa.gov/docs/iac/rule/567.135.12.pdf" Type="http://schemas.openxmlformats.org/officeDocument/2006/relationships/hyperlink" Id="rId84"/>
    <Relationship TargetMode="External" Target="https://www.legis.iowa.gov/docs/iac/rule/567.135.4.pdf" Type="http://schemas.openxmlformats.org/officeDocument/2006/relationships/hyperlink" Id="rId85"/>
    <Relationship TargetMode="External" Target="https://www.legis.iowa.gov/docs/iac/rule/567.135.15.pdf" Type="http://schemas.openxmlformats.org/officeDocument/2006/relationships/hyperlink" Id="rId86"/>
    <Relationship TargetMode="External" Target="https://www.legis.iowa.gov/docs/iac/rule/567.135.3.pdf" Type="http://schemas.openxmlformats.org/officeDocument/2006/relationships/hyperlink" Id="rId87"/>
    <Relationship TargetMode="External" Target="https://www.legis.iowa.gov/docs/iac/rule/567.135.5.pdf" Type="http://schemas.openxmlformats.org/officeDocument/2006/relationships/hyperlink" Id="rId88"/>
    <Relationship TargetMode="External" Target="https://www.legis.iowa.gov/docs/iac/rule/567.135.5.pdf" Type="http://schemas.openxmlformats.org/officeDocument/2006/relationships/hyperlink" Id="rId89"/>
    <Relationship TargetMode="External" Target="https://www.legis.iowa.gov/docs/iac/rule/567.135.3.pdf" Type="http://schemas.openxmlformats.org/officeDocument/2006/relationships/hyperlink" Id="rId90"/>
    <Relationship TargetMode="External" Target="https://www.legis.iowa.gov/docs/iac/rule/567.135.4.pdf" Type="http://schemas.openxmlformats.org/officeDocument/2006/relationships/hyperlink" Id="rId91"/>
    <Relationship TargetMode="External" Target="https://www.legis.iowa.gov/docs/iac/rule/567.135.3.pdf" Type="http://schemas.openxmlformats.org/officeDocument/2006/relationships/hyperlink" Id="rId92"/>
    <Relationship TargetMode="External" Target="https://www.legis.iowa.gov/docs/iac/rule/567.135.3.pdf" Type="http://schemas.openxmlformats.org/officeDocument/2006/relationships/hyperlink" Id="rId93"/>
    <Relationship TargetMode="External" Target="https://www.legis.iowa.gov/docs/iac/rule/567.135.3.pdf" Type="http://schemas.openxmlformats.org/officeDocument/2006/relationships/hyperlink" Id="rId94"/>
    <Relationship TargetMode="External" Target="https://www.legis.iowa.gov/docs/iac/rule/567.135.3.pdf" Type="http://schemas.openxmlformats.org/officeDocument/2006/relationships/hyperlink" Id="rId95"/>
    <Relationship TargetMode="External" Target="https://www.legis.iowa.gov/docs/iac/rule/567.135.3.pdf" Type="http://schemas.openxmlformats.org/officeDocument/2006/relationships/hyperlink" Id="rId96"/>
    <Relationship TargetMode="External" Target="https://www.legis.iowa.gov/docs/iac/rule/567.135.3.pdf" Type="http://schemas.openxmlformats.org/officeDocument/2006/relationships/hyperlink" Id="rId97"/>
    <Relationship TargetMode="External" Target="https://www.legis.iowa.gov/docs/iac/rule/567.135.3.pdf" Type="http://schemas.openxmlformats.org/officeDocument/2006/relationships/hyperlink" Id="rId98"/>
    <Relationship TargetMode="External" Target="https://www.legis.iowa.gov/docs/iac/rule/567.134.14.pdf" Type="http://schemas.openxmlformats.org/officeDocument/2006/relationships/hyperlink" Id="rId99"/>
    <Relationship TargetMode="External" Target="https://www.legis.iowa.gov/docs/iac/chapter/567.136.pdf" Type="http://schemas.openxmlformats.org/officeDocument/2006/relationships/hyperlink" Id="rId100"/>
    <Relationship TargetMode="External" Target="https://www.legis.iowa.gov/docs/iac/rule/567.135.3.pdf" Type="http://schemas.openxmlformats.org/officeDocument/2006/relationships/hyperlink" Id="rId101"/>
    <Relationship TargetMode="External" Target="https://www.legis.iowa.gov/docs/iac/rule/567.135.3.pdf" Type="http://schemas.openxmlformats.org/officeDocument/2006/relationships/hyperlink" Id="rId102"/>
    <Relationship TargetMode="External" Target="https://www.legis.iowa.gov/docs/iac/chapter/567.136.pdf" Type="http://schemas.openxmlformats.org/officeDocument/2006/relationships/hyperlink" Id="rId103"/>
    <Relationship TargetMode="External" Target="https://www.legis.iowa.gov/docs/iac/rule/567.135.5.pdf" Type="http://schemas.openxmlformats.org/officeDocument/2006/relationships/hyperlink" Id="rId104"/>
    <Relationship TargetMode="External" Target="https://www.legis.iowa.gov/docs/iac/rule/567.135.5.pdf" Type="http://schemas.openxmlformats.org/officeDocument/2006/relationships/hyperlink" Id="rId105"/>
    <Relationship TargetMode="External" Target="https://www.legis.iowa.gov/docs/iac/rule/567.135.4.pdf" Type="http://schemas.openxmlformats.org/officeDocument/2006/relationships/hyperlink" Id="rId106"/>
    <Relationship TargetMode="External" Target="https://www.legis.iowa.gov/docs/iac/rule/567.135.3.pdf" Type="http://schemas.openxmlformats.org/officeDocument/2006/relationships/hyperlink" Id="rId107"/>
    <Relationship TargetMode="External" Target="https://www.legis.iowa.gov/docs/iac/rule/567.135.3.pdf" Type="http://schemas.openxmlformats.org/officeDocument/2006/relationships/hyperlink" Id="rId108"/>
    <Relationship TargetMode="External" Target="https://www.legis.iowa.gov/docs/iac/rule/567.135.4.pdf" Type="http://schemas.openxmlformats.org/officeDocument/2006/relationships/hyperlink" Id="rId109"/>
    <Relationship TargetMode="External" Target="https://www.legis.iowa.gov/docs/iac/chapter/567.136.pdf" Type="http://schemas.openxmlformats.org/officeDocument/2006/relationships/hyperlink" Id="rId110"/>
    <Relationship TargetMode="External" Target="https://www.legis.iowa.gov/docs/iac/rule/567.135.3.pdf" Type="http://schemas.openxmlformats.org/officeDocument/2006/relationships/hyperlink" Id="rId111"/>
    <Relationship TargetMode="External" Target="https://www.legis.iowa.gov/docs/iac/rule/567.135.3.pdf" Type="http://schemas.openxmlformats.org/officeDocument/2006/relationships/hyperlink" Id="rId112"/>
    <Relationship TargetMode="External" Target="https://www.legis.iowa.gov/docs/iac/chapter/567.136.pdf" Type="http://schemas.openxmlformats.org/officeDocument/2006/relationships/hyperlink" Id="rId113"/>
    <Relationship TargetMode="External" Target="https://www.legis.iowa.gov/docs/iac/chapter/567.136.pdf" Type="http://schemas.openxmlformats.org/officeDocument/2006/relationships/hyperlink" Id="rId114"/>
    <Relationship TargetMode="External" Target="https://www.legis.iowa.gov/docs/iac/rule/567.135.3.pdf" Type="http://schemas.openxmlformats.org/officeDocument/2006/relationships/hyperlink" Id="rId115"/>
    <Relationship TargetMode="External" Target="https://www.legis.iowa.gov/docs/iac/rule/567.135.3.pdf" Type="http://schemas.openxmlformats.org/officeDocument/2006/relationships/hyperlink" Id="rId116"/>
    <Relationship TargetMode="External" Target="https://www.legis.iowa.gov/docs/iac/rule/567.135.3.pdf" Type="http://schemas.openxmlformats.org/officeDocument/2006/relationships/hyperlink" Id="rId117"/>
    <Relationship TargetMode="External" Target="https://www.legis.iowa.gov/docs/ico/chapter/455B.473.pdf" Type="http://schemas.openxmlformats.org/officeDocument/2006/relationships/hyperlink" Id="rId118"/>
    <Relationship TargetMode="External" Target="https://www.legis.iowa.gov/docs/ico/chapter/455B.473.pdf" Type="http://schemas.openxmlformats.org/officeDocument/2006/relationships/hyperlink" Id="rId119"/>
    <Relationship TargetMode="External" Target="https://www.legis.iowa.gov/docs/ico/chapter/455B.473.pdf" Type="http://schemas.openxmlformats.org/officeDocument/2006/relationships/hyperlink" Id="rId120"/>
    <Relationship TargetMode="External" Target="https://www.legis.iowa.gov/docs/iac/rule/567.135.3.pdf" Type="http://schemas.openxmlformats.org/officeDocument/2006/relationships/hyperlink" Id="rId121"/>
    <Relationship TargetMode="External" Target="https://www.legis.iowa.gov/docs/iac/rule/567.135.5.pdf" Type="http://schemas.openxmlformats.org/officeDocument/2006/relationships/hyperlink" Id="rId122"/>
    <Relationship TargetMode="External" Target="https://www.legis.iowa.gov/docs/iac/rule/567.135.3.pdf" Type="http://schemas.openxmlformats.org/officeDocument/2006/relationships/hyperlink" Id="rId123"/>
    <Relationship TargetMode="External" Target="https://www.legis.iowa.gov/docs/iac/rule/567.135.3.pdf" Type="http://schemas.openxmlformats.org/officeDocument/2006/relationships/hyperlink" Id="rId124"/>
    <Relationship TargetMode="External" Target="https://www.legis.iowa.gov/docs/iac/rule/567.135.15.pdf" Type="http://schemas.openxmlformats.org/officeDocument/2006/relationships/hyperlink" Id="rId125"/>
    <Relationship TargetMode="External" Target="https://www.legis.iowa.gov/docs/iac/rule/567.135.15.pdf" Type="http://schemas.openxmlformats.org/officeDocument/2006/relationships/hyperlink" Id="rId126"/>
    <Relationship TargetMode="External" Target="https://www.legis.iowa.gov/docs/iac/rule/567.135.3.pdf" Type="http://schemas.openxmlformats.org/officeDocument/2006/relationships/hyperlink" Id="rId127"/>
    <Relationship TargetMode="External" Target="https://www.legis.iowa.gov/docs/iac/rule/567.135.3.pdf" Type="http://schemas.openxmlformats.org/officeDocument/2006/relationships/hyperlink" Id="rId128"/>
    <Relationship TargetMode="External" Target="https://www.legis.iowa.gov/docs/iac/rule/567.135.3.pdf" Type="http://schemas.openxmlformats.org/officeDocument/2006/relationships/hyperlink" Id="rId129"/>
    <Relationship TargetMode="External" Target="https://www.legis.iowa.gov/docs/iac/rule/567.135.19.pdf" Type="http://schemas.openxmlformats.org/officeDocument/2006/relationships/hyperlink" Id="rId130"/>
    <Relationship TargetMode="External" Target="https://www.legis.iowa.gov/docs/ico/chapter/455B.475.pdf" Type="http://schemas.openxmlformats.org/officeDocument/2006/relationships/hyperlink" Id="rId131"/>
    <Relationship TargetMode="External" Target="https://www.legis.iowa.gov/docs/iac/rule/567.135.6.pdf" Type="http://schemas.openxmlformats.org/officeDocument/2006/relationships/hyperlink" Id="rId132"/>
    <Relationship TargetMode="External" Target="https://www.legis.iowa.gov/docs/iac/rule/567.135.7.pdf" Type="http://schemas.openxmlformats.org/officeDocument/2006/relationships/hyperlink" Id="rId133"/>
    <Relationship TargetMode="External" Target="https://www.legis.iowa.gov/docs/iac/rule/567.135.19.pdf" Type="http://schemas.openxmlformats.org/officeDocument/2006/relationships/hyperlink" Id="rId134"/>
    <Relationship TargetMode="External" Target="https://www.legis.iowa.gov/docs/iac/rule/567.135.3.pdf" Type="http://schemas.openxmlformats.org/officeDocument/2006/relationships/hyperlink" Id="rId135"/>
    <Relationship TargetMode="External" Target="https://www.legis.iowa.gov/docs/iac/rule/567.135.5.pdf" Type="http://schemas.openxmlformats.org/officeDocument/2006/relationships/hyperlink" Id="rId136"/>
    <Relationship TargetMode="External" Target="https://www.legis.iowa.gov/docs/iac/rule/567.135.5.pdf" Type="http://schemas.openxmlformats.org/officeDocument/2006/relationships/hyperlink" Id="rId137"/>
    <Relationship TargetMode="External" Target="https://www.legis.iowa.gov/docs/iac/rule/567.135.19.pdf" Type="http://schemas.openxmlformats.org/officeDocument/2006/relationships/hyperlink" Id="rId138"/>
    <Relationship TargetMode="External" Target="https://www.legis.iowa.gov/docs/iac/rule/567.135.5.pdf" Type="http://schemas.openxmlformats.org/officeDocument/2006/relationships/hyperlink" Id="rId139"/>
    <Relationship TargetMode="External" Target="https://www.legis.iowa.gov/docs/iac/rule/567.135.5.pdf" Type="http://schemas.openxmlformats.org/officeDocument/2006/relationships/hyperlink" Id="rId140"/>
    <Relationship TargetMode="External" Target="https://www.legis.iowa.gov/docs/iac/rule/567.135.5.pdf" Type="http://schemas.openxmlformats.org/officeDocument/2006/relationships/hyperlink" Id="rId141"/>
    <Relationship TargetMode="External" Target="https://www.legis.iowa.gov/docs/iac/rule/567.135.5.pdf" Type="http://schemas.openxmlformats.org/officeDocument/2006/relationships/hyperlink" Id="rId142"/>
    <Relationship TargetMode="External" Target="https://www.legis.iowa.gov/docs/iac/chapter/567.136.pdf" Type="http://schemas.openxmlformats.org/officeDocument/2006/relationships/hyperlink" Id="rId143"/>
    <Relationship TargetMode="External" Target="https://www.legis.iowa.gov/docs/iac/chapter/567.136.pdf" Type="http://schemas.openxmlformats.org/officeDocument/2006/relationships/hyperlink" Id="rId144"/>
    <Relationship TargetMode="External" Target="https://www.legis.iowa.gov/docs/iac/rule/567.135.5.pdf" Type="http://schemas.openxmlformats.org/officeDocument/2006/relationships/hyperlink" Id="rId145"/>
    <Relationship TargetMode="External" Target="https://www.legis.iowa.gov/docs/iac/rule/567.135.5.pdf" Type="http://schemas.openxmlformats.org/officeDocument/2006/relationships/hyperlink" Id="rId146"/>
    <Relationship TargetMode="External" Target="https://www.legis.iowa.gov/docs/iac/rule/567.135.19.pdf" Type="http://schemas.openxmlformats.org/officeDocument/2006/relationships/hyperlink" Id="rId147"/>
    <Relationship TargetMode="External" Target="https://www.legis.iowa.gov/docs/iac/rule/567.135.5.pdf" Type="http://schemas.openxmlformats.org/officeDocument/2006/relationships/hyperlink" Id="rId148"/>
    <Relationship TargetMode="External" Target="https://www.legis.iowa.gov/docs/iac/rule/567.135.5.pdf" Type="http://schemas.openxmlformats.org/officeDocument/2006/relationships/hyperlink" Id="rId149"/>
    <Relationship TargetMode="External" Target="https://www.legis.iowa.gov/docs/iac/rule/567.135.19.pdf" Type="http://schemas.openxmlformats.org/officeDocument/2006/relationships/hyperlink" Id="rId150"/>
    <Relationship TargetMode="External" Target="https://www.legis.iowa.gov/docs/iac/rule/567.135.3.pdf" Type="http://schemas.openxmlformats.org/officeDocument/2006/relationships/hyperlink" Id="rId151"/>
    <Relationship TargetMode="External" Target="https://www.legis.iowa.gov/docs/iac/rule/567.135.19.pdf" Type="http://schemas.openxmlformats.org/officeDocument/2006/relationships/hyperlink" Id="rId152"/>
    <Relationship TargetMode="External" Target="https://www.legis.iowa.gov/docs/iac/rule/567.135.19.pdf" Type="http://schemas.openxmlformats.org/officeDocument/2006/relationships/hyperlink" Id="rId153"/>
    <Relationship TargetMode="External" Target="https://www.legis.iowa.gov/docs/iac/rule/567.135.7.pdf" Type="http://schemas.openxmlformats.org/officeDocument/2006/relationships/hyperlink" Id="rId154"/>
    <Relationship TargetMode="External" Target="https://www.legis.iowa.gov/docs/iac/rule/567.135.7.pdf" Type="http://schemas.openxmlformats.org/officeDocument/2006/relationships/hyperlink" Id="rId155"/>
    <Relationship TargetMode="External" Target="https://www.legis.iowa.gov/docs/iac/rule/567.135.7.pdf" Type="http://schemas.openxmlformats.org/officeDocument/2006/relationships/hyperlink" Id="rId156"/>
    <Relationship TargetMode="External" Target="https://www.legis.iowa.gov/docs/iac/rule/567.135.7.pdf" Type="http://schemas.openxmlformats.org/officeDocument/2006/relationships/hyperlink" Id="rId157"/>
    <Relationship TargetMode="External" Target="https://www.legis.iowa.gov/docs/iac/rule/567.135.6.pdf" Type="http://schemas.openxmlformats.org/officeDocument/2006/relationships/hyperlink" Id="rId158"/>
    <Relationship TargetMode="External" Target="https://www.legis.iowa.gov/docs/iac/rule/567.135.6.pdf" Type="http://schemas.openxmlformats.org/officeDocument/2006/relationships/hyperlink" Id="rId159"/>
    <Relationship TargetMode="External" Target="https://www.legis.iowa.gov/docs/iac/rule/567.135.3.pdf" Type="http://schemas.openxmlformats.org/officeDocument/2006/relationships/hyperlink" Id="rId160"/>
    <Relationship TargetMode="External" Target="https://www.legis.iowa.gov/docs/iac/rule/567.135.3.pdf" Type="http://schemas.openxmlformats.org/officeDocument/2006/relationships/hyperlink" Id="rId161"/>
    <Relationship TargetMode="External" Target="https://www.legis.iowa.gov/docs/iac/rule/567.135.3.pdf" Type="http://schemas.openxmlformats.org/officeDocument/2006/relationships/hyperlink" Id="rId162"/>
    <Relationship TargetMode="External" Target="https://www.legis.iowa.gov/docs/iac/rule/567.135.5.pdf" Type="http://schemas.openxmlformats.org/officeDocument/2006/relationships/hyperlink" Id="rId163"/>
    <Relationship TargetMode="External" Target="https://www.legis.iowa.gov/docs/iac/rule/567.135.6.pdf" Type="http://schemas.openxmlformats.org/officeDocument/2006/relationships/hyperlink" Id="rId164"/>
    <Relationship TargetMode="External" Target="https://www.legis.iowa.gov/docs/iac/rule/567.135.7.pdf" Type="http://schemas.openxmlformats.org/officeDocument/2006/relationships/hyperlink" Id="rId165"/>
    <Relationship TargetMode="External" Target="https://www.legis.iowa.gov/docs/iac/rule/567.135.19.pdf" Type="http://schemas.openxmlformats.org/officeDocument/2006/relationships/hyperlink" Id="rId166"/>
    <Relationship TargetMode="External" Target="https://www.legis.iowa.gov/docs/iac/chapter/567.10.pdf" Type="http://schemas.openxmlformats.org/officeDocument/2006/relationships/hyperlink" Id="rId167"/>
    <Relationship TargetMode="External" Target="https://www.legis.iowa.gov/docs/ico/chapter/455B.476.pdf" Type="http://schemas.openxmlformats.org/officeDocument/2006/relationships/hyperlink" Id="rId168"/>
    <Relationship TargetMode="External" Target="https://www.legis.iowa.gov/docs/ico/chapter/455B.477.pdf" Type="http://schemas.openxmlformats.org/officeDocument/2006/relationships/hyperlink" Id="rId169"/>
    <Relationship TargetMode="External" Target="https://www.legis.iowa.gov/docs/iac/rule/567.135.3.pdf" Type="http://schemas.openxmlformats.org/officeDocument/2006/relationships/hyperlink" Id="rId170"/>
    <Relationship TargetMode="External" Target="https://www.legis.iowa.gov/docs/iac/rule/567.135.5.pdf" Type="http://schemas.openxmlformats.org/officeDocument/2006/relationships/hyperlink" Id="rId171"/>
    <Relationship TargetMode="External" Target="https://www.legis.iowa.gov/docs/iac/rule/567.135.6.pdf" Type="http://schemas.openxmlformats.org/officeDocument/2006/relationships/hyperlink" Id="rId172"/>
    <Relationship TargetMode="External" Target="https://www.legis.iowa.gov/docs/iac/rule/567.135.7.pdf" Type="http://schemas.openxmlformats.org/officeDocument/2006/relationships/hyperlink" Id="rId173"/>
    <Relationship TargetMode="External" Target="https://www.legis.iowa.gov/docs/ico/chapter/455B.476.pdf" Type="http://schemas.openxmlformats.org/officeDocument/2006/relationships/hyperlink" Id="rId174"/>
    <Relationship TargetMode="External" Target="https://www.legis.iowa.gov/docs/iac/rule/567.135.3.pdf" Type="http://schemas.openxmlformats.org/officeDocument/2006/relationships/hyperlink" Id="rId175"/>
    <Relationship TargetMode="External" Target="https://www.legis.iowa.gov/docs/iac/rule/567.135.3.pdf" Type="http://schemas.openxmlformats.org/officeDocument/2006/relationships/hyperlink" Id="rId176"/>
    <Relationship TargetMode="External" Target="https://www.legis.iowa.gov/docs/iac/rule/567.135.3.pdf" Type="http://schemas.openxmlformats.org/officeDocument/2006/relationships/hyperlink" Id="rId177"/>
    <Relationship TargetMode="External" Target="https://www.legis.iowa.gov/docs/iac/chapter/7.2506.pdf" Type="http://schemas.openxmlformats.org/officeDocument/2006/relationships/hyperlink" Id="rId178"/>
    <Relationship TargetMode="External" Target="https://www.legis.iowa.gov/docs/iac/chapter/561.2506.pdf" Type="http://schemas.openxmlformats.org/officeDocument/2006/relationships/hyperlink" Id="rId179"/>
    <Relationship TargetMode="External" Target="https://www.legis.iowa.gov/docs/ico/chapter/455B.473.pdf" Type="http://schemas.openxmlformats.org/officeDocument/2006/relationships/hyperlink" Id="rId180"/>
    <Relationship TargetMode="External" Target="https://www.legis.iowa.gov/docs/iac/rule/567.135.3.pdf" Type="http://schemas.openxmlformats.org/officeDocument/2006/relationships/hyperlink" Id="rId181"/>
    <Relationship TargetMode="External" Target="https://www.legis.iowa.gov/docs/iac/rule/567.135.3.pdf" Type="http://schemas.openxmlformats.org/officeDocument/2006/relationships/hyperlink" Id="rId182"/>
    <Relationship TargetMode="External" Target="https://www.legis.iowa.gov/docs/iac/rule/567.135.5.pdf" Type="http://schemas.openxmlformats.org/officeDocument/2006/relationships/hyperlink" Id="rId183"/>
    <Relationship TargetMode="External" Target="https://www.legis.iowa.gov/docs/iac/rule/567.135.5.pdf" Type="http://schemas.openxmlformats.org/officeDocument/2006/relationships/hyperlink" Id="rId184"/>
    <Relationship TargetMode="External" Target="https://www.legis.iowa.gov/docs/iac/rule/567.135.4.pdf" Type="http://schemas.openxmlformats.org/officeDocument/2006/relationships/hyperlink" Id="rId185"/>
    <Relationship TargetMode="External" Target="https://www.legis.iowa.gov/docs/iac/rule/567.135.4.pdf" Type="http://schemas.openxmlformats.org/officeDocument/2006/relationships/hyperlink" Id="rId186"/>
    <Relationship TargetMode="External" Target="https://www.legis.iowa.gov/docs/iac/rule/567.135.6.pdf" Type="http://schemas.openxmlformats.org/officeDocument/2006/relationships/hyperlink" Id="rId187"/>
    <Relationship TargetMode="External" Target="https://www.legis.iowa.gov/docs/iac/rule/567.135.15.pdf" Type="http://schemas.openxmlformats.org/officeDocument/2006/relationships/hyperlink" Id="rId188"/>
    <Relationship TargetMode="External" Target="https://www.legis.iowa.gov/docs/iac/rule/567.135.4.pdf" Type="http://schemas.openxmlformats.org/officeDocument/2006/relationships/hyperlink" Id="rId189"/>
    <Relationship TargetMode="External" Target="https://www.legis.iowa.gov/docs/iac/rule/567.135.4.pdf" Type="http://schemas.openxmlformats.org/officeDocument/2006/relationships/hyperlink" Id="rId190"/>
    <Relationship TargetMode="External" Target="https://www.legis.iowa.gov/docs/iac/rule/567.135.4.pdf" Type="http://schemas.openxmlformats.org/officeDocument/2006/relationships/hyperlink" Id="rId191"/>
    <Relationship TargetMode="External" Target="https://www.legis.iowa.gov/docs/iac/rule/567.135.4.pdf" Type="http://schemas.openxmlformats.org/officeDocument/2006/relationships/hyperlink" Id="rId192"/>
    <Relationship TargetMode="External" Target="https://www.legis.iowa.gov/docs/iac/rule/567.135.5.pdf" Type="http://schemas.openxmlformats.org/officeDocument/2006/relationships/hyperlink" Id="rId193"/>
    <Relationship TargetMode="External" Target="https://www.legis.iowa.gov/docs/iac/rule/567.135.5.pdf" Type="http://schemas.openxmlformats.org/officeDocument/2006/relationships/hyperlink" Id="rId194"/>
    <Relationship TargetMode="External" Target="https://www.legis.iowa.gov/docs/iac/rule/567.135.15.pdf" Type="http://schemas.openxmlformats.org/officeDocument/2006/relationships/hyperlink" Id="rId195"/>
    <Relationship TargetMode="External" Target="https://www.legis.iowa.gov/docs/iac/rule/567.135.15.pdf" Type="http://schemas.openxmlformats.org/officeDocument/2006/relationships/hyperlink" Id="rId196"/>
    <Relationship TargetMode="External" Target="https://www.legis.iowa.gov/docs/iac/rule/567.135.5.pdf" Type="http://schemas.openxmlformats.org/officeDocument/2006/relationships/hyperlink" Id="rId197"/>
    <Relationship TargetMode="External" Target="https://www.legis.iowa.gov/docs/iac/rule/567.135.5.pdf" Type="http://schemas.openxmlformats.org/officeDocument/2006/relationships/hyperlink" Id="rId198"/>
    <Relationship TargetMode="External" Target="https://www.legis.iowa.gov/docs/iac/rule/567.135.15.pdf" Type="http://schemas.openxmlformats.org/officeDocument/2006/relationships/hyperlink" Id="rId199"/>
    <Relationship TargetMode="External" Target="https://www.legis.iowa.gov/docs/iac/chapter/567.134.pdf" Type="http://schemas.openxmlformats.org/officeDocument/2006/relationships/hyperlink" Id="rId200"/>
    <Relationship TargetMode="External" Target="https://www.legis.iowa.gov/docs/ico/chapter/214A.1.pdf" Type="http://schemas.openxmlformats.org/officeDocument/2006/relationships/hyperlink" Id="rId201"/>
    <Relationship TargetMode="External" Target="https://www.legis.iowa.gov/docs/ico/chapter/455G.32.pdf" Type="http://schemas.openxmlformats.org/officeDocument/2006/relationships/hyperlink" Id="rId202"/>
    <Relationship TargetMode="External" Target="https://www.legis.iowa.gov/docs/ico/chapter/455G.33.pdf" Type="http://schemas.openxmlformats.org/officeDocument/2006/relationships/hyperlink" Id="rId203"/>
    <Relationship TargetMode="External" Target="https://www.legis.iowa.gov/docs/iac/rule/567.135.4.pdf" Type="http://schemas.openxmlformats.org/officeDocument/2006/relationships/hyperlink" Id="rId204"/>
    <Relationship TargetMode="External" Target="https://www.legis.iowa.gov/docs/iac/rule/567.135.4.pdf" Type="http://schemas.openxmlformats.org/officeDocument/2006/relationships/hyperlink" Id="rId205"/>
    <Relationship TargetMode="External" Target="https://www.legis.iowa.gov/docs/iac/rule/567.135.4.pdf" Type="http://schemas.openxmlformats.org/officeDocument/2006/relationships/hyperlink" Id="rId206"/>
    <Relationship TargetMode="External" Target="https://www.legis.iowa.gov/docs/iac/rule/567.135.5.pdf" Type="http://schemas.openxmlformats.org/officeDocument/2006/relationships/hyperlink" Id="rId207"/>
    <Relationship TargetMode="External" Target="https://www.legis.iowa.gov/docs/iac/rule/567.135.5.pdf" Type="http://schemas.openxmlformats.org/officeDocument/2006/relationships/hyperlink" Id="rId208"/>
    <Relationship TargetMode="External" Target="https://www.legis.iowa.gov/docs/iac/rule/567.135.4.pdf" Type="http://schemas.openxmlformats.org/officeDocument/2006/relationships/hyperlink" Id="rId209"/>
    <Relationship TargetMode="External" Target="https://www.legis.iowa.gov/docs/iac/rule/567.135.5.pdf" Type="http://schemas.openxmlformats.org/officeDocument/2006/relationships/hyperlink" Id="rId210"/>
    <Relationship TargetMode="External" Target="https://www.legis.iowa.gov/docs/iac/rule/567.135.4.pdf" Type="http://schemas.openxmlformats.org/officeDocument/2006/relationships/hyperlink" Id="rId211"/>
    <Relationship TargetMode="External" Target="https://www.legis.iowa.gov/docs/iac/rule/567.135.4.pdf" Type="http://schemas.openxmlformats.org/officeDocument/2006/relationships/hyperlink" Id="rId212"/>
    <Relationship TargetMode="External" Target="https://www.legis.iowa.gov/docs/iac/rule/567.135.4.pdf" Type="http://schemas.openxmlformats.org/officeDocument/2006/relationships/hyperlink" Id="rId213"/>
    <Relationship TargetMode="External" Target="https://www.legis.iowa.gov/docs/iac/rule/567.135.4.pdf" Type="http://schemas.openxmlformats.org/officeDocument/2006/relationships/hyperlink" Id="rId214"/>
    <Relationship TargetMode="External" Target="https://www.legis.iowa.gov/docs/iac/rule/567.135.15.pdf" Type="http://schemas.openxmlformats.org/officeDocument/2006/relationships/hyperlink" Id="rId215"/>
    <Relationship TargetMode="External" Target="https://www.legis.iowa.gov/docs/iac/rule/567.135.3.pdf" Type="http://schemas.openxmlformats.org/officeDocument/2006/relationships/hyperlink" Id="rId216"/>
    <Relationship TargetMode="External" Target="https://www.legis.iowa.gov/docs/iac/rule/567.135.3.pdf" Type="http://schemas.openxmlformats.org/officeDocument/2006/relationships/hyperlink" Id="rId217"/>
    <Relationship TargetMode="External" Target="https://www.legis.iowa.gov/docs/iac/rule/567.135.6.pdf" Type="http://schemas.openxmlformats.org/officeDocument/2006/relationships/hyperlink" Id="rId218"/>
    <Relationship TargetMode="External" Target="https://www.legis.iowa.gov/docs/iac/rule/567.135.6.pdf" Type="http://schemas.openxmlformats.org/officeDocument/2006/relationships/hyperlink" Id="rId219"/>
    <Relationship TargetMode="External" Target="https://www.legis.iowa.gov/docs/iac/rule/567.135.7.pdf" Type="http://schemas.openxmlformats.org/officeDocument/2006/relationships/hyperlink" Id="rId220"/>
    <Relationship TargetMode="External" Target="https://www.legis.iowa.gov/docs/iac/rule/567.135.7.pdf" Type="http://schemas.openxmlformats.org/officeDocument/2006/relationships/hyperlink" Id="rId221"/>
    <Relationship TargetMode="External" Target="https://www.legis.iowa.gov/docs/iac/rule/567.135.9.pdf" Type="http://schemas.openxmlformats.org/officeDocument/2006/relationships/hyperlink" Id="rId222"/>
    <Relationship TargetMode="External" Target="https://www.legis.iowa.gov/docs/iac/rule/567.135.7.pdf" Type="http://schemas.openxmlformats.org/officeDocument/2006/relationships/hyperlink" Id="rId223"/>
    <Relationship TargetMode="External" Target="https://www.legis.iowa.gov/docs/iac/rule/567.135.8.pdf" Type="http://schemas.openxmlformats.org/officeDocument/2006/relationships/hyperlink" Id="rId224"/>
    <Relationship TargetMode="External" Target="https://www.legis.iowa.gov/docs/iac/rule/567.135.12.pdf" Type="http://schemas.openxmlformats.org/officeDocument/2006/relationships/hyperlink" Id="rId225"/>
    <Relationship TargetMode="External" Target="https://www.legis.iowa.gov/docs/iac/rule/567.135.15.pdf" Type="http://schemas.openxmlformats.org/officeDocument/2006/relationships/hyperlink" Id="rId226"/>
    <Relationship TargetMode="External" Target="https://www.legis.iowa.gov/docs/ico/chapter/455G.32.pdf" Type="http://schemas.openxmlformats.org/officeDocument/2006/relationships/hyperlink" Id="rId227"/>
    <Relationship TargetMode="External" Target="https://www.legis.iowa.gov/docs/ico/chapter/455G.33.pdf" Type="http://schemas.openxmlformats.org/officeDocument/2006/relationships/hyperlink" Id="rId228"/>
    <Relationship TargetMode="External" Target="https://www.legis.iowa.gov/docs/iac/rule/567.135.3.pdf" Type="http://schemas.openxmlformats.org/officeDocument/2006/relationships/hyperlink" Id="rId229"/>
    <Relationship TargetMode="External" Target="https://www.legis.iowa.gov/docs/iac/rule/567.135.3.pdf" Type="http://schemas.openxmlformats.org/officeDocument/2006/relationships/hyperlink" Id="rId230"/>
    <Relationship TargetMode="External" Target="https://www.legis.iowa.gov/docs/iac/rule/567.135.4.pdf" Type="http://schemas.openxmlformats.org/officeDocument/2006/relationships/hyperlink" Id="rId231"/>
    <Relationship TargetMode="External" Target="https://www.legis.iowa.gov/docs/iac/rule/567.135.4.pdf" Type="http://schemas.openxmlformats.org/officeDocument/2006/relationships/hyperlink" Id="rId232"/>
    <Relationship TargetMode="External" Target="https://www.legis.iowa.gov/docs/iac/rule/567.135.5.pdf" Type="http://schemas.openxmlformats.org/officeDocument/2006/relationships/hyperlink" Id="rId233"/>
    <Relationship TargetMode="External" Target="https://www.legis.iowa.gov/docs/iac/rule/567.135.15.pdf" Type="http://schemas.openxmlformats.org/officeDocument/2006/relationships/hyperlink" Id="rId234"/>
    <Relationship TargetMode="External" Target="https://www.legis.iowa.gov/docs/iac/rule/567.135.4.pdf" Type="http://schemas.openxmlformats.org/officeDocument/2006/relationships/hyperlink" Id="rId235"/>
    <Relationship TargetMode="External" Target="https://www.legis.iowa.gov/docs/iac/rule/567.135.4.pdf" Type="http://schemas.openxmlformats.org/officeDocument/2006/relationships/hyperlink" Id="rId236"/>
    <Relationship TargetMode="External" Target="https://www.legis.iowa.gov/docs/iac/rule/567.135.3.pdf" Type="http://schemas.openxmlformats.org/officeDocument/2006/relationships/hyperlink" Id="rId237"/>
    <Relationship TargetMode="External" Target="https://www.legis.iowa.gov/docs/iac/rule/567.135.4.pdf" Type="http://schemas.openxmlformats.org/officeDocument/2006/relationships/hyperlink" Id="rId238"/>
    <Relationship TargetMode="External" Target="https://www.legis.iowa.gov/docs/iac/rule/567.135.4.pdf" Type="http://schemas.openxmlformats.org/officeDocument/2006/relationships/hyperlink" Id="rId239"/>
    <Relationship TargetMode="External" Target="https://www.legis.iowa.gov/docs/iac/rule/567.135.4.pdf" Type="http://schemas.openxmlformats.org/officeDocument/2006/relationships/hyperlink" Id="rId240"/>
    <Relationship TargetMode="External" Target="https://www.legis.iowa.gov/docs/ico/chapter/455G.32.pdf" Type="http://schemas.openxmlformats.org/officeDocument/2006/relationships/hyperlink" Id="rId241"/>
    <Relationship TargetMode="External" Target="https://www.legis.iowa.gov/docs/ico/chapter/455G.33.pdf" Type="http://schemas.openxmlformats.org/officeDocument/2006/relationships/hyperlink" Id="rId242"/>
    <Relationship TargetMode="External" Target="https://www.legis.iowa.gov/docs/iac/rule/567.135.15.pdf" Type="http://schemas.openxmlformats.org/officeDocument/2006/relationships/hyperlink" Id="rId243"/>
    <Relationship TargetMode="External" Target="https://www.legis.iowa.gov/docs/iac/rule/567.135.5.pdf" Type="http://schemas.openxmlformats.org/officeDocument/2006/relationships/hyperlink" Id="rId244"/>
    <Relationship TargetMode="External" Target="https://www.legis.iowa.gov/docs/iac/rule/567.135.4.pdf" Type="http://schemas.openxmlformats.org/officeDocument/2006/relationships/hyperlink" Id="rId245"/>
    <Relationship TargetMode="External" Target="https://www.legis.iowa.gov/docs/iac/rule/567.135.4.pdf" Type="http://schemas.openxmlformats.org/officeDocument/2006/relationships/hyperlink" Id="rId246"/>
    <Relationship TargetMode="External" Target="https://www.legis.iowa.gov/docs/iac/rule/567.135.4.pdf" Type="http://schemas.openxmlformats.org/officeDocument/2006/relationships/hyperlink" Id="rId247"/>
    <Relationship TargetMode="External" Target="https://www.legis.iowa.gov/docs/iac/chapter/567.134.pdf" Type="http://schemas.openxmlformats.org/officeDocument/2006/relationships/hyperlink" Id="rId248"/>
    <Relationship TargetMode="External" Target="https://www.legis.iowa.gov/docs/iac/rule/567.135.19.pdf" Type="http://schemas.openxmlformats.org/officeDocument/2006/relationships/hyperlink" Id="rId249"/>
    <Relationship TargetMode="External" Target="https://www.legis.iowa.gov/docs/iac/rule/567.135.19.pdf" Type="http://schemas.openxmlformats.org/officeDocument/2006/relationships/hyperlink" Id="rId250"/>
    <Relationship TargetMode="External" Target="https://www.legis.iowa.gov/docs/iac/chapter/567.134.pdf" Type="http://schemas.openxmlformats.org/officeDocument/2006/relationships/hyperlink" Id="rId251"/>
    <Relationship TargetMode="External" Target="https://www.legis.iowa.gov/docs/iac/rule/567.135.5.pdf" Type="http://schemas.openxmlformats.org/officeDocument/2006/relationships/hyperlink" Id="rId252"/>
    <Relationship TargetMode="External" Target="https://www.legis.iowa.gov/docs/iac/rule/567.135.6.pdf" Type="http://schemas.openxmlformats.org/officeDocument/2006/relationships/hyperlink" Id="rId253"/>
    <Relationship TargetMode="External" Target="https://www.legis.iowa.gov/docs/iac/rule/567.135.4.pdf" Type="http://schemas.openxmlformats.org/officeDocument/2006/relationships/hyperlink" Id="rId254"/>
    <Relationship TargetMode="External" Target="https://www.legis.iowa.gov/docs/iac/rule/567.135.4.pdf" Type="http://schemas.openxmlformats.org/officeDocument/2006/relationships/hyperlink" Id="rId255"/>
    <Relationship TargetMode="External" Target="https://www.legis.iowa.gov/docs/iac/chapter/567.134.pdf" Type="http://schemas.openxmlformats.org/officeDocument/2006/relationships/hyperlink" Id="rId256"/>
    <Relationship TargetMode="External" Target="https://www.legis.iowa.gov/docs/iac/rule/567.135.19.pdf" Type="http://schemas.openxmlformats.org/officeDocument/2006/relationships/hyperlink" Id="rId257"/>
    <Relationship TargetMode="External" Target="https://www.legis.iowa.gov/docs/iac/rule/567.135.19.pdf" Type="http://schemas.openxmlformats.org/officeDocument/2006/relationships/hyperlink" Id="rId258"/>
    <Relationship TargetMode="External" Target="https://www.legis.iowa.gov/docs/iac/chapter/567.134.pdf" Type="http://schemas.openxmlformats.org/officeDocument/2006/relationships/hyperlink" Id="rId259"/>
    <Relationship TargetMode="External" Target="https://www.legis.iowa.gov/docs/iac/chapter/567.134.pdf" Type="http://schemas.openxmlformats.org/officeDocument/2006/relationships/hyperlink" Id="rId260"/>
    <Relationship TargetMode="External" Target="https://www.legis.iowa.gov/docs/iac/chapter/567.136.pdf" Type="http://schemas.openxmlformats.org/officeDocument/2006/relationships/hyperlink" Id="rId261"/>
    <Relationship TargetMode="External" Target="https://www.legis.iowa.gov/docs/iac/rule/567.135.6.pdf" Type="http://schemas.openxmlformats.org/officeDocument/2006/relationships/hyperlink" Id="rId262"/>
    <Relationship TargetMode="External" Target="https://www.legis.iowa.gov/docs/iac/rule/567.135.4.pdf" Type="http://schemas.openxmlformats.org/officeDocument/2006/relationships/hyperlink" Id="rId263"/>
    <Relationship TargetMode="External" Target="https://www.legis.iowa.gov/docs/iac/rule/567.135.4.pdf" Type="http://schemas.openxmlformats.org/officeDocument/2006/relationships/hyperlink" Id="rId264"/>
    <Relationship TargetMode="External" Target="https://www.legis.iowa.gov/docs/iac/rule/567.135.4.pdf" Type="http://schemas.openxmlformats.org/officeDocument/2006/relationships/hyperlink" Id="rId265"/>
    <Relationship TargetMode="External" Target="https://www.legis.iowa.gov/docs/iac/rule/567.135.4.pdf" Type="http://schemas.openxmlformats.org/officeDocument/2006/relationships/hyperlink" Id="rId266"/>
    <Relationship TargetMode="External" Target="https://www.legis.iowa.gov/docs/iac/rule/567.135.4.pdf" Type="http://schemas.openxmlformats.org/officeDocument/2006/relationships/hyperlink" Id="rId267"/>
    <Relationship TargetMode="External" Target="https://www.legis.iowa.gov/docs/iac/rule/567.135.3.pdf" Type="http://schemas.openxmlformats.org/officeDocument/2006/relationships/hyperlink" Id="rId268"/>
    <Relationship TargetMode="External" Target="https://www.legis.iowa.gov/docs/iac/rule/567.135.4.pdf" Type="http://schemas.openxmlformats.org/officeDocument/2006/relationships/hyperlink" Id="rId269"/>
    <Relationship TargetMode="External" Target="https://www.legis.iowa.gov/docs/iac/rule/567.135.4.pdf" Type="http://schemas.openxmlformats.org/officeDocument/2006/relationships/hyperlink" Id="rId270"/>
    <Relationship TargetMode="External" Target="https://www.legis.iowa.gov/docs/iac/rule/567.135.4.pdf" Type="http://schemas.openxmlformats.org/officeDocument/2006/relationships/hyperlink" Id="rId271"/>
    <Relationship TargetMode="External" Target="https://www.legis.iowa.gov/docs/iac/rule/567.135.4.pdf" Type="http://schemas.openxmlformats.org/officeDocument/2006/relationships/hyperlink" Id="rId272"/>
    <Relationship TargetMode="External" Target="https://www.legis.iowa.gov/docs/iac/rule/567.135.4.pdf" Type="http://schemas.openxmlformats.org/officeDocument/2006/relationships/hyperlink" Id="rId273"/>
    <Relationship TargetMode="External" Target="https://www.legis.iowa.gov/docs/iac/rule/567.135.5.pdf" Type="http://schemas.openxmlformats.org/officeDocument/2006/relationships/hyperlink" Id="rId274"/>
    <Relationship TargetMode="External" Target="https://www.legis.iowa.gov/docs/iac/rule/567.135.5.pdf" Type="http://schemas.openxmlformats.org/officeDocument/2006/relationships/hyperlink" Id="rId275"/>
    <Relationship TargetMode="External" Target="https://www.legis.iowa.gov/docs/iac/rule/567.135.5.pdf" Type="http://schemas.openxmlformats.org/officeDocument/2006/relationships/hyperlink" Id="rId276"/>
    <Relationship TargetMode="External" Target="https://www.legis.iowa.gov/docs/iac/rule/567.135.5.pdf" Type="http://schemas.openxmlformats.org/officeDocument/2006/relationships/hyperlink" Id="rId277"/>
    <Relationship TargetMode="External" Target="https://www.legis.iowa.gov/docs/iac/rule/567.135.5.pdf" Type="http://schemas.openxmlformats.org/officeDocument/2006/relationships/hyperlink" Id="rId278"/>
    <Relationship TargetMode="External" Target="https://www.legis.iowa.gov/docs/iac/rule/567.135.5.pdf" Type="http://schemas.openxmlformats.org/officeDocument/2006/relationships/hyperlink" Id="rId279"/>
    <Relationship TargetMode="External" Target="https://www.legis.iowa.gov/docs/iac/rule/567.135.15.pdf" Type="http://schemas.openxmlformats.org/officeDocument/2006/relationships/hyperlink" Id="rId280"/>
    <Relationship TargetMode="External" Target="https://www.legis.iowa.gov/docs/iac/rule/567.135.1.pdf" Type="http://schemas.openxmlformats.org/officeDocument/2006/relationships/hyperlink" Id="rId281"/>
    <Relationship TargetMode="External" Target="https://www.legis.iowa.gov/docs/iac/rule/567.135.20.pdf" Type="http://schemas.openxmlformats.org/officeDocument/2006/relationships/hyperlink" Id="rId282"/>
    <Relationship TargetMode="External" Target="https://www.legis.iowa.gov/docs/iac/rule/567.135.1.pdf" Type="http://schemas.openxmlformats.org/officeDocument/2006/relationships/hyperlink" Id="rId283"/>
    <Relationship TargetMode="External" Target="https://www.legis.iowa.gov/docs/iac/rule/567.135.20.pdf" Type="http://schemas.openxmlformats.org/officeDocument/2006/relationships/hyperlink" Id="rId284"/>
    <Relationship TargetMode="External" Target="https://www.legis.iowa.gov/docs/iac/rule/567.135.5.pdf" Type="http://schemas.openxmlformats.org/officeDocument/2006/relationships/hyperlink" Id="rId285"/>
    <Relationship TargetMode="External" Target="https://www.legis.iowa.gov/docs/iac/rule/567.135.5.pdf" Type="http://schemas.openxmlformats.org/officeDocument/2006/relationships/hyperlink" Id="rId286"/>
    <Relationship TargetMode="External" Target="https://www.legis.iowa.gov/docs/iac/rule/567.135.5.pdf" Type="http://schemas.openxmlformats.org/officeDocument/2006/relationships/hyperlink" Id="rId287"/>
    <Relationship TargetMode="External" Target="https://www.legis.iowa.gov/docs/iac/rule/567.135.5.pdf" Type="http://schemas.openxmlformats.org/officeDocument/2006/relationships/hyperlink" Id="rId288"/>
    <Relationship TargetMode="External" Target="https://www.legis.iowa.gov/docs/iac/rule/567.135.5.pdf" Type="http://schemas.openxmlformats.org/officeDocument/2006/relationships/hyperlink" Id="rId289"/>
    <Relationship TargetMode="External" Target="https://www.legis.iowa.gov/docs/iac/rule/567.135.5.pdf" Type="http://schemas.openxmlformats.org/officeDocument/2006/relationships/hyperlink" Id="rId290"/>
    <Relationship TargetMode="External" Target="https://www.legis.iowa.gov/docs/iac/rule/567.135.5.pdf" Type="http://schemas.openxmlformats.org/officeDocument/2006/relationships/hyperlink" Id="rId291"/>
    <Relationship TargetMode="External" Target="https://www.legis.iowa.gov/docs/iac/rule/567.135.5.pdf" Type="http://schemas.openxmlformats.org/officeDocument/2006/relationships/hyperlink" Id="rId292"/>
    <Relationship TargetMode="External" Target="https://www.legis.iowa.gov/docs/iac/rule/567.135.5.pdf" Type="http://schemas.openxmlformats.org/officeDocument/2006/relationships/hyperlink" Id="rId293"/>
    <Relationship TargetMode="External" Target="https://www.legis.iowa.gov/docs/iac/rule/567.135.5.pdf" Type="http://schemas.openxmlformats.org/officeDocument/2006/relationships/hyperlink" Id="rId294"/>
    <Relationship TargetMode="External" Target="https://www.legis.iowa.gov/docs/iac/rule/567.135.5.pdf" Type="http://schemas.openxmlformats.org/officeDocument/2006/relationships/hyperlink" Id="rId295"/>
    <Relationship TargetMode="External" Target="https://www.legis.iowa.gov/docs/iac/rule/567.135.5.pdf" Type="http://schemas.openxmlformats.org/officeDocument/2006/relationships/hyperlink" Id="rId296"/>
    <Relationship TargetMode="External" Target="https://www.legis.iowa.gov/docs/iac/rule/567.135.5.pdf" Type="http://schemas.openxmlformats.org/officeDocument/2006/relationships/hyperlink" Id="rId297"/>
    <Relationship TargetMode="External" Target="https://www.legis.iowa.gov/docs/iac/rule/567.135.5.pdf" Type="http://schemas.openxmlformats.org/officeDocument/2006/relationships/hyperlink" Id="rId298"/>
    <Relationship TargetMode="External" Target="https://www.legis.iowa.gov/docs/iac/rule/567.135.5.pdf" Type="http://schemas.openxmlformats.org/officeDocument/2006/relationships/hyperlink" Id="rId299"/>
    <Relationship TargetMode="External" Target="https://www.legis.iowa.gov/docs/iac/rule/567.135.5.pdf" Type="http://schemas.openxmlformats.org/officeDocument/2006/relationships/hyperlink" Id="rId300"/>
    <Relationship TargetMode="External" Target="https://www.legis.iowa.gov/docs/iac/rule/567.135.5.pdf" Type="http://schemas.openxmlformats.org/officeDocument/2006/relationships/hyperlink" Id="rId301"/>
    <Relationship TargetMode="External" Target="https://www.legis.iowa.gov/docs/iac/rule/567.135.5.pdf" Type="http://schemas.openxmlformats.org/officeDocument/2006/relationships/hyperlink" Id="rId302"/>
    <Relationship TargetMode="External" Target="https://www.legis.iowa.gov/docs/iac/rule/567.135.5.pdf" Type="http://schemas.openxmlformats.org/officeDocument/2006/relationships/hyperlink" Id="rId303"/>
    <Relationship TargetMode="External" Target="https://www.legis.iowa.gov/docs/iac/rule/567.135.6.pdf" Type="http://schemas.openxmlformats.org/officeDocument/2006/relationships/hyperlink" Id="rId304"/>
    <Relationship TargetMode="External" Target="https://www.legis.iowa.gov/docs/iac/rule/567.135.5.pdf" Type="http://schemas.openxmlformats.org/officeDocument/2006/relationships/hyperlink" Id="rId305"/>
    <Relationship TargetMode="External" Target="https://www.legis.iowa.gov/docs/iac/rule/567.135.5.pdf" Type="http://schemas.openxmlformats.org/officeDocument/2006/relationships/hyperlink" Id="rId306"/>
    <Relationship TargetMode="External" Target="https://www.legis.iowa.gov/docs/iac/rule/567.135.5.pdf" Type="http://schemas.openxmlformats.org/officeDocument/2006/relationships/hyperlink" Id="rId307"/>
    <Relationship TargetMode="External" Target="https://www.legis.iowa.gov/docs/iac/rule/567.135.5.pdf" Type="http://schemas.openxmlformats.org/officeDocument/2006/relationships/hyperlink" Id="rId308"/>
    <Relationship TargetMode="External" Target="https://www.legis.iowa.gov/docs/iac/rule/567.135.6.pdf" Type="http://schemas.openxmlformats.org/officeDocument/2006/relationships/hyperlink" Id="rId309"/>
    <Relationship TargetMode="External" Target="https://www.legis.iowa.gov/docs/iac/rule/567.135.5.pdf" Type="http://schemas.openxmlformats.org/officeDocument/2006/relationships/hyperlink" Id="rId310"/>
    <Relationship TargetMode="External" Target="https://www.legis.iowa.gov/docs/iac/rule/567.135.5.pdf" Type="http://schemas.openxmlformats.org/officeDocument/2006/relationships/hyperlink" Id="rId311"/>
    <Relationship TargetMode="External" Target="https://www.legis.iowa.gov/docs/iac/rule/567.135.5.pdf" Type="http://schemas.openxmlformats.org/officeDocument/2006/relationships/hyperlink" Id="rId312"/>
    <Relationship TargetMode="External" Target="https://www.legis.iowa.gov/docs/iac/rule/567.135.5.pdf" Type="http://schemas.openxmlformats.org/officeDocument/2006/relationships/hyperlink" Id="rId313"/>
    <Relationship TargetMode="External" Target="https://www.legis.iowa.gov/docs/iac/rule/567.135.5.pdf" Type="http://schemas.openxmlformats.org/officeDocument/2006/relationships/hyperlink" Id="rId314"/>
    <Relationship TargetMode="External" Target="https://www.legis.iowa.gov/docs/iac/rule/567.135.4.pdf" Type="http://schemas.openxmlformats.org/officeDocument/2006/relationships/hyperlink" Id="rId315"/>
    <Relationship TargetMode="External" Target="https://www.legis.iowa.gov/docs/iac/rule/567.135.5.pdf" Type="http://schemas.openxmlformats.org/officeDocument/2006/relationships/hyperlink" Id="rId316"/>
    <Relationship TargetMode="External" Target="https://www.legis.iowa.gov/docs/iac/rule/567.135.5.pdf" Type="http://schemas.openxmlformats.org/officeDocument/2006/relationships/hyperlink" Id="rId317"/>
    <Relationship TargetMode="External" Target="https://www.legis.iowa.gov/docs/iac/rule/567.135.5.pdf" Type="http://schemas.openxmlformats.org/officeDocument/2006/relationships/hyperlink" Id="rId318"/>
    <Relationship TargetMode="External" Target="https://www.legis.iowa.gov/docs/iac/rule/567.135.5.pdf" Type="http://schemas.openxmlformats.org/officeDocument/2006/relationships/hyperlink" Id="rId319"/>
    <Relationship TargetMode="External" Target="https://www.legis.iowa.gov/docs/iac/rule/567.135.5.pdf" Type="http://schemas.openxmlformats.org/officeDocument/2006/relationships/hyperlink" Id="rId320"/>
    <Relationship TargetMode="External" Target="https://www.legis.iowa.gov/docs/iac/rule/567.135.20.pdf" Type="http://schemas.openxmlformats.org/officeDocument/2006/relationships/hyperlink" Id="rId321"/>
    <Relationship TargetMode="External" Target="https://www.legis.iowa.gov/docs/iac/chapter/567.105.pdf" Type="http://schemas.openxmlformats.org/officeDocument/2006/relationships/hyperlink" Id="rId322"/>
    <Relationship TargetMode="External" Target="https://www.legis.iowa.gov/docs/iac/rule/567.105.3.pdf" Type="http://schemas.openxmlformats.org/officeDocument/2006/relationships/hyperlink" Id="rId323"/>
    <Relationship TargetMode="External" Target="https://www.legis.iowa.gov/docs/iac/rule/567.135.8.pdf" Type="http://schemas.openxmlformats.org/officeDocument/2006/relationships/hyperlink" Id="rId324"/>
    <Relationship TargetMode="External" Target="https://www.legis.iowa.gov/docs/iac/rule/567.135.5.pdf" Type="http://schemas.openxmlformats.org/officeDocument/2006/relationships/hyperlink" Id="rId325"/>
    <Relationship TargetMode="External" Target="https://www.legis.iowa.gov/docs/iac/rule/567.135.5.pdf" Type="http://schemas.openxmlformats.org/officeDocument/2006/relationships/hyperlink" Id="rId326"/>
    <Relationship TargetMode="External" Target="https://www.legis.iowa.gov/docs/iac/rule/567.135.5.pdf" Type="http://schemas.openxmlformats.org/officeDocument/2006/relationships/hyperlink" Id="rId327"/>
    <Relationship TargetMode="External" Target="https://www.legis.iowa.gov/docs/iac/rule/567.135.5.pdf" Type="http://schemas.openxmlformats.org/officeDocument/2006/relationships/hyperlink" Id="rId328"/>
    <Relationship TargetMode="External" Target="https://www.legis.iowa.gov/docs/iac/rule/567.135.6.pdf" Type="http://schemas.openxmlformats.org/officeDocument/2006/relationships/hyperlink" Id="rId329"/>
    <Relationship TargetMode="External" Target="https://www.legis.iowa.gov/docs/iac/rule/567.135.6.pdf" Type="http://schemas.openxmlformats.org/officeDocument/2006/relationships/hyperlink" Id="rId330"/>
    <Relationship TargetMode="External" Target="https://www.legis.iowa.gov/docs/iac/rule/567.135.5.pdf" Type="http://schemas.openxmlformats.org/officeDocument/2006/relationships/hyperlink" Id="rId331"/>
    <Relationship TargetMode="External" Target="https://www.legis.iowa.gov/docs/iac/rule/567.135.5.pdf" Type="http://schemas.openxmlformats.org/officeDocument/2006/relationships/hyperlink" Id="rId332"/>
    <Relationship TargetMode="External" Target="https://www.legis.iowa.gov/docs/iac/rule/567.135.4.pdf" Type="http://schemas.openxmlformats.org/officeDocument/2006/relationships/hyperlink" Id="rId333"/>
    <Relationship TargetMode="External" Target="https://www.legis.iowa.gov/docs/iac/rule/567.135.9.pdf" Type="http://schemas.openxmlformats.org/officeDocument/2006/relationships/hyperlink" Id="rId334"/>
    <Relationship TargetMode="External" Target="https://www.legis.iowa.gov/docs/iac/rule/567.135.6.pdf" Type="http://schemas.openxmlformats.org/officeDocument/2006/relationships/hyperlink" Id="rId335"/>
    <Relationship TargetMode="External" Target="https://www.legis.iowa.gov/docs/iac/rule/567.135.15.pdf" Type="http://schemas.openxmlformats.org/officeDocument/2006/relationships/hyperlink" Id="rId336"/>
    <Relationship TargetMode="External" Target="https://www.legis.iowa.gov/docs/iac/rule/567.135.9.pdf" Type="http://schemas.openxmlformats.org/officeDocument/2006/relationships/hyperlink" Id="rId337"/>
    <Relationship TargetMode="External" Target="https://www.legis.iowa.gov/docs/iac/rule/567.135.8.pdf" Type="http://schemas.openxmlformats.org/officeDocument/2006/relationships/hyperlink" Id="rId338"/>
    <Relationship TargetMode="External" Target="https://www.legis.iowa.gov/docs/iac/rule/567.135.8.pdf" Type="http://schemas.openxmlformats.org/officeDocument/2006/relationships/hyperlink" Id="rId339"/>
    <Relationship TargetMode="External" Target="https://www.legis.iowa.gov/docs/iac/rule/567.135.14.pdf" Type="http://schemas.openxmlformats.org/officeDocument/2006/relationships/hyperlink" Id="rId340"/>
    <Relationship TargetMode="External" Target="https://www.legis.iowa.gov/docs/iac/rule/567.135.7.pdf" Type="http://schemas.openxmlformats.org/officeDocument/2006/relationships/hyperlink" Id="rId341"/>
    <Relationship TargetMode="External" Target="https://www.legis.iowa.gov/docs/iac/rule/567.135.12.pdf" Type="http://schemas.openxmlformats.org/officeDocument/2006/relationships/hyperlink" Id="rId342"/>
    <Relationship TargetMode="External" Target="https://www.legis.iowa.gov/docs/iac/chapter/567.105.pdf" Type="http://schemas.openxmlformats.org/officeDocument/2006/relationships/hyperlink" Id="rId343"/>
    <Relationship TargetMode="External" Target="https://www.legis.iowa.gov/docs/iac/rule/567.105.3.pdf" Type="http://schemas.openxmlformats.org/officeDocument/2006/relationships/hyperlink" Id="rId344"/>
    <Relationship TargetMode="External" Target="https://www.legis.iowa.gov/docs/iac/rule/567.135.7.pdf" Type="http://schemas.openxmlformats.org/officeDocument/2006/relationships/hyperlink" Id="rId345"/>
    <Relationship TargetMode="External" Target="https://www.legis.iowa.gov/docs/iac/rule/567.135.12.pdf" Type="http://schemas.openxmlformats.org/officeDocument/2006/relationships/hyperlink" Id="rId346"/>
    <Relationship TargetMode="External" Target="https://www.legis.iowa.gov/docs/iac/rule/567.105.3.pdf" Type="http://schemas.openxmlformats.org/officeDocument/2006/relationships/hyperlink" Id="rId347"/>
    <Relationship TargetMode="External" Target="https://www.legis.iowa.gov/docs/iac/rule/567.135.1.pdf" Type="http://schemas.openxmlformats.org/officeDocument/2006/relationships/hyperlink" Id="rId348"/>
    <Relationship TargetMode="External" Target="https://www.legis.iowa.gov/docs/iac/rule/567.135.6.pdf" Type="http://schemas.openxmlformats.org/officeDocument/2006/relationships/hyperlink" Id="rId349"/>
    <Relationship TargetMode="External" Target="https://www.legis.iowa.gov/docs/iac/rule/567.135.7.pdf" Type="http://schemas.openxmlformats.org/officeDocument/2006/relationships/hyperlink" Id="rId350"/>
    <Relationship TargetMode="External" Target="https://www.legis.iowa.gov/docs/iac/rule/567.135.7.pdf" Type="http://schemas.openxmlformats.org/officeDocument/2006/relationships/hyperlink" Id="rId351"/>
    <Relationship TargetMode="External" Target="https://www.legis.iowa.gov/docs/iac/rule/567.135.7.pdf" Type="http://schemas.openxmlformats.org/officeDocument/2006/relationships/hyperlink" Id="rId352"/>
    <Relationship TargetMode="External" Target="https://www.legis.iowa.gov/docs/iac/rule/567.135.7.pdf" Type="http://schemas.openxmlformats.org/officeDocument/2006/relationships/hyperlink" Id="rId353"/>
    <Relationship TargetMode="External" Target="https://www.legis.iowa.gov/docs/iac/rule/567.135.7.pdf" Type="http://schemas.openxmlformats.org/officeDocument/2006/relationships/hyperlink" Id="rId354"/>
    <Relationship TargetMode="External" Target="https://www.legis.iowa.gov/docs/iac/rule/567.135.7.pdf" Type="http://schemas.openxmlformats.org/officeDocument/2006/relationships/hyperlink" Id="rId355"/>
    <Relationship TargetMode="External" Target="https://www.legis.iowa.gov/docs/iac/rule/567.135.8.pdf" Type="http://schemas.openxmlformats.org/officeDocument/2006/relationships/hyperlink" Id="rId356"/>
    <Relationship TargetMode="External" Target="https://www.legis.iowa.gov/docs/iac/rule/567.135.12.pdf" Type="http://schemas.openxmlformats.org/officeDocument/2006/relationships/hyperlink" Id="rId357"/>
    <Relationship TargetMode="External" Target="https://www.legis.iowa.gov/docs/iac/rule/567.135.7.pdf" Type="http://schemas.openxmlformats.org/officeDocument/2006/relationships/hyperlink" Id="rId358"/>
    <Relationship TargetMode="External" Target="https://www.legis.iowa.gov/docs/iac/rule/567.135.12.pdf" Type="http://schemas.openxmlformats.org/officeDocument/2006/relationships/hyperlink" Id="rId359"/>
    <Relationship TargetMode="External" Target="https://www.legis.iowa.gov/docs/iac/rule/567.135.10.pdf" Type="http://schemas.openxmlformats.org/officeDocument/2006/relationships/hyperlink" Id="rId360"/>
    <Relationship TargetMode="External" Target="https://www.legis.iowa.gov/docs/iac/rule/567.135.10.pdf" Type="http://schemas.openxmlformats.org/officeDocument/2006/relationships/hyperlink" Id="rId361"/>
    <Relationship TargetMode="External" Target="https://www.legis.iowa.gov/docs/iac/rule/567.135.11.pdf" Type="http://schemas.openxmlformats.org/officeDocument/2006/relationships/hyperlink" Id="rId362"/>
    <Relationship TargetMode="External" Target="https://www.legis.iowa.gov/docs/iac/rule/567.135.12.pdf" Type="http://schemas.openxmlformats.org/officeDocument/2006/relationships/hyperlink" Id="rId363"/>
    <Relationship TargetMode="External" Target="https://www.legis.iowa.gov/docs/ico/chapter/455B.474.pdf" Type="http://schemas.openxmlformats.org/officeDocument/2006/relationships/hyperlink" Id="rId364"/>
    <Relationship TargetMode="External" Target="https://www.legis.iowa.gov/docs/iac/rule/567.135.8.pdf" Type="http://schemas.openxmlformats.org/officeDocument/2006/relationships/hyperlink" Id="rId365"/>
    <Relationship TargetMode="External" Target="https://www.legis.iowa.gov/docs/iac/rule/567.135.12.pdf" Type="http://schemas.openxmlformats.org/officeDocument/2006/relationships/hyperlink" Id="rId366"/>
    <Relationship TargetMode="External" Target="https://www.legis.iowa.gov/docs/iac/rule/567.135.6.pdf" Type="http://schemas.openxmlformats.org/officeDocument/2006/relationships/hyperlink" Id="rId367"/>
    <Relationship TargetMode="External" Target="https://www.legis.iowa.gov/docs/iac/rule/567.135.12.pdf" Type="http://schemas.openxmlformats.org/officeDocument/2006/relationships/hyperlink" Id="rId368"/>
    <Relationship TargetMode="External" Target="https://www.legis.iowa.gov/docs/iac/rule/567.135.10.pdf" Type="http://schemas.openxmlformats.org/officeDocument/2006/relationships/hyperlink" Id="rId369"/>
    <Relationship TargetMode="External" Target="https://www.legis.iowa.gov/docs/iac/rule/567.135.10.pdf" Type="http://schemas.openxmlformats.org/officeDocument/2006/relationships/hyperlink" Id="rId370"/>
    <Relationship TargetMode="External" Target="https://www.legis.iowa.gov/docs/iac/rule/567.135.10.pdf" Type="http://schemas.openxmlformats.org/officeDocument/2006/relationships/hyperlink" Id="rId371"/>
    <Relationship TargetMode="External" Target="https://www.legis.iowa.gov/docs/iac/rule/567.135.6.pdf" Type="http://schemas.openxmlformats.org/officeDocument/2006/relationships/hyperlink" Id="rId372"/>
    <Relationship TargetMode="External" Target="https://www.legis.iowa.gov/docs/iac/rule/567.135.9.pdf" Type="http://schemas.openxmlformats.org/officeDocument/2006/relationships/hyperlink" Id="rId373"/>
    <Relationship TargetMode="External" Target="https://www.legis.iowa.gov/docs/iac/rule/567.135.10.pdf" Type="http://schemas.openxmlformats.org/officeDocument/2006/relationships/hyperlink" Id="rId374"/>
    <Relationship TargetMode="External" Target="https://www.legis.iowa.gov/docs/iac/rule/567.135.8.pdf" Type="http://schemas.openxmlformats.org/officeDocument/2006/relationships/hyperlink" Id="rId375"/>
    <Relationship TargetMode="External" Target="https://www.legis.iowa.gov/docs/iac/rule/567.135.6.pdf" Type="http://schemas.openxmlformats.org/officeDocument/2006/relationships/hyperlink" Id="rId376"/>
    <Relationship TargetMode="External" Target="https://www.legis.iowa.gov/docs/iac/rule/567.135.15.pdf" Type="http://schemas.openxmlformats.org/officeDocument/2006/relationships/hyperlink" Id="rId377"/>
    <Relationship TargetMode="External" Target="https://www.legis.iowa.gov/docs/iac/rule/567.135.14.pdf" Type="http://schemas.openxmlformats.org/officeDocument/2006/relationships/hyperlink" Id="rId378"/>
    <Relationship TargetMode="External" Target="https://www.legis.iowa.gov/docs/iac/rule/567.135.6.pdf" Type="http://schemas.openxmlformats.org/officeDocument/2006/relationships/hyperlink" Id="rId379"/>
    <Relationship TargetMode="External" Target="https://www.legis.iowa.gov/docs/iac/rule/567.135.15.pdf" Type="http://schemas.openxmlformats.org/officeDocument/2006/relationships/hyperlink" Id="rId380"/>
    <Relationship TargetMode="External" Target="https://www.legis.iowa.gov/docs/iac/rule/567.135.7.pdf" Type="http://schemas.openxmlformats.org/officeDocument/2006/relationships/hyperlink" Id="rId381"/>
    <Relationship TargetMode="External" Target="https://www.legis.iowa.gov/docs/iac/rule/567.135.7.pdf" Type="http://schemas.openxmlformats.org/officeDocument/2006/relationships/hyperlink" Id="rId382"/>
    <Relationship TargetMode="External" Target="https://www.legis.iowa.gov/docs/iac/rule/567.135.6.pdf" Type="http://schemas.openxmlformats.org/officeDocument/2006/relationships/hyperlink" Id="rId383"/>
    <Relationship TargetMode="External" Target="https://www.legis.iowa.gov/docs/iac/rule/567.135.7.pdf" Type="http://schemas.openxmlformats.org/officeDocument/2006/relationships/hyperlink" Id="rId384"/>
    <Relationship TargetMode="External" Target="https://www.legis.iowa.gov/docs/iac/rule/567.135.7.pdf" Type="http://schemas.openxmlformats.org/officeDocument/2006/relationships/hyperlink" Id="rId385"/>
    <Relationship TargetMode="External" Target="https://www.legis.iowa.gov/docs/iac/rule/567.135.5.pdf" Type="http://schemas.openxmlformats.org/officeDocument/2006/relationships/hyperlink" Id="rId386"/>
    <Relationship TargetMode="External" Target="https://www.legis.iowa.gov/docs/iac/rule/567.135.5.pdf" Type="http://schemas.openxmlformats.org/officeDocument/2006/relationships/hyperlink" Id="rId387"/>
    <Relationship TargetMode="External" Target="https://www.legis.iowa.gov/docs/iac/rule/567.135.5.pdf" Type="http://schemas.openxmlformats.org/officeDocument/2006/relationships/hyperlink" Id="rId388"/>
    <Relationship TargetMode="External" Target="https://www.legis.iowa.gov/docs/iac/chapter/567.136.pdf" Type="http://schemas.openxmlformats.org/officeDocument/2006/relationships/hyperlink" Id="rId389"/>
    <Relationship TargetMode="External" Target="https://www.legis.iowa.gov/docs/iac/chapter/567.39.pdf" Type="http://schemas.openxmlformats.org/officeDocument/2006/relationships/hyperlink" Id="rId390"/>
    <Relationship TargetMode="External" Target="https://www.legis.iowa.gov/docs/iac/chapter/567.49.pdf" Type="http://schemas.openxmlformats.org/officeDocument/2006/relationships/hyperlink" Id="rId391"/>
    <Relationship TargetMode="External" Target="https://www.legis.iowa.gov/docs/iac/chapter/567.39.pdf" Type="http://schemas.openxmlformats.org/officeDocument/2006/relationships/hyperlink" Id="rId392"/>
    <Relationship TargetMode="External" Target="https://www.legis.iowa.gov/docs/iac/chapter/567.49.pdf" Type="http://schemas.openxmlformats.org/officeDocument/2006/relationships/hyperlink" Id="rId393"/>
    <Relationship TargetMode="External" Target="https://www.legis.iowa.gov/docs/iac/chapter/567.39.pdf" Type="http://schemas.openxmlformats.org/officeDocument/2006/relationships/hyperlink" Id="rId394"/>
    <Relationship TargetMode="External" Target="https://www.legis.iowa.gov/docs/iac/chapter/567.49.pdf" Type="http://schemas.openxmlformats.org/officeDocument/2006/relationships/hyperlink" Id="rId395"/>
    <Relationship TargetMode="External" Target="https://www.legis.iowa.gov/docs/iac/rule/567.135.10.pdf" Type="http://schemas.openxmlformats.org/officeDocument/2006/relationships/hyperlink" Id="rId396"/>
    <Relationship TargetMode="External" Target="https://www.legis.iowa.gov/docs/iac/rule/567.135.9.pdf" Type="http://schemas.openxmlformats.org/officeDocument/2006/relationships/hyperlink" Id="rId397"/>
    <Relationship TargetMode="External" Target="https://www.legis.iowa.gov/docs/iac/rule/567.135.9.pdf" Type="http://schemas.openxmlformats.org/officeDocument/2006/relationships/hyperlink" Id="rId398"/>
    <Relationship TargetMode="External" Target="https://www.legis.iowa.gov/docs/iac/chapter/567.105.pdf" Type="http://schemas.openxmlformats.org/officeDocument/2006/relationships/hyperlink" Id="rId399"/>
    <Relationship TargetMode="External" Target="https://www.legis.iowa.gov/docs/iac/rule/567.135.7.pdf" Type="http://schemas.openxmlformats.org/officeDocument/2006/relationships/hyperlink" Id="rId400"/>
    <Relationship TargetMode="External" Target="https://www.legis.iowa.gov/docs/iac/chapter/567.105.pdf" Type="http://schemas.openxmlformats.org/officeDocument/2006/relationships/hyperlink" Id="rId401"/>
    <Relationship TargetMode="External" Target="https://www.legis.iowa.gov/docs/iac/chapter/567.105.pdf" Type="http://schemas.openxmlformats.org/officeDocument/2006/relationships/hyperlink" Id="rId402"/>
    <Relationship TargetMode="External" Target="https://www.legis.iowa.gov/docs/iac/rule/567.135.7.pdf" Type="http://schemas.openxmlformats.org/officeDocument/2006/relationships/hyperlink" Id="rId403"/>
    <Relationship TargetMode="External" Target="https://www.legis.iowa.gov/docs/iac/chapter/567.105.pdf" Type="http://schemas.openxmlformats.org/officeDocument/2006/relationships/hyperlink" Id="rId404"/>
    <Relationship TargetMode="External" Target="https://www.legis.iowa.gov/docs/iac/rule/567.135.10.pdf" Type="http://schemas.openxmlformats.org/officeDocument/2006/relationships/hyperlink" Id="rId405"/>
    <Relationship TargetMode="External" Target="https://www.legis.iowa.gov/docs/iac/chapter/567.43.pdf" Type="http://schemas.openxmlformats.org/officeDocument/2006/relationships/hyperlink" Id="rId406"/>
    <Relationship TargetMode="External" Target="https://www.legis.iowa.gov/docs/iac/chapter/567.43.pdf" Type="http://schemas.openxmlformats.org/officeDocument/2006/relationships/hyperlink" Id="rId407"/>
    <Relationship TargetMode="External" Target="https://www.legis.iowa.gov/docs/iac/rule/567.135.9.pdf" Type="http://schemas.openxmlformats.org/officeDocument/2006/relationships/hyperlink" Id="rId408"/>
    <Relationship TargetMode="External" Target="https://www.legis.iowa.gov/docs/iac/rule/567.61.3.pdf" Type="http://schemas.openxmlformats.org/officeDocument/2006/relationships/hyperlink" Id="rId409"/>
    <Relationship TargetMode="External" Target="https://www.legis.iowa.gov/docs/iac/rule/567.61.3.pdf" Type="http://schemas.openxmlformats.org/officeDocument/2006/relationships/hyperlink" Id="rId410"/>
    <Relationship TargetMode="External" Target="https://www.legis.iowa.gov/docs/iac/rule/567.61.3.pdf" Type="http://schemas.openxmlformats.org/officeDocument/2006/relationships/hyperlink" Id="rId411"/>
    <Relationship TargetMode="External" Target="https://www.legis.iowa.gov/docs/iac/rule/567.61.3.pdf" Type="http://schemas.openxmlformats.org/officeDocument/2006/relationships/hyperlink" Id="rId412"/>
    <Relationship TargetMode="External" Target="https://www.legis.iowa.gov/docs/iac/rule/567.135.16.pdf" Type="http://schemas.openxmlformats.org/officeDocument/2006/relationships/hyperlink" Id="rId413"/>
    <Relationship TargetMode="External" Target="https://www.legis.iowa.gov/docs/iac/rule/567.135.10.pdf" Type="http://schemas.openxmlformats.org/officeDocument/2006/relationships/hyperlink" Id="rId414"/>
    <Relationship TargetMode="External" Target="https://www.legis.iowa.gov/docs/ico/chapter/455B.474.pdf" Type="http://schemas.openxmlformats.org/officeDocument/2006/relationships/hyperlink" Id="rId415"/>
    <Relationship TargetMode="External" Target="https://www.legis.iowa.gov/docs/iac/chapter/567.135.pdf" Type="http://schemas.openxmlformats.org/officeDocument/2006/relationships/hyperlink" Id="rId416"/>
    <Relationship TargetMode="External" Target="https://www.legis.iowa.gov/docs/iac/rule/567.135.9.pdf" Type="http://schemas.openxmlformats.org/officeDocument/2006/relationships/hyperlink" Id="rId417"/>
    <Relationship TargetMode="External" Target="https://www.legis.iowa.gov/docs/iac/rule/567.135.7.pdf" Type="http://schemas.openxmlformats.org/officeDocument/2006/relationships/hyperlink" Id="rId418"/>
    <Relationship TargetMode="External" Target="https://www.legis.iowa.gov/docs/iac/rule/567.135.8.pdf" Type="http://schemas.openxmlformats.org/officeDocument/2006/relationships/hyperlink" Id="rId419"/>
    <Relationship TargetMode="External" Target="https://www.legis.iowa.gov/docs/iac/rule/567.135.9.pdf" Type="http://schemas.openxmlformats.org/officeDocument/2006/relationships/hyperlink" Id="rId420"/>
    <Relationship TargetMode="External" Target="https://www.legis.iowa.gov/docs/iac/rule/567.135.10.pdf" Type="http://schemas.openxmlformats.org/officeDocument/2006/relationships/hyperlink" Id="rId421"/>
    <Relationship TargetMode="External" Target="https://www.legis.iowa.gov/docs/iac/rule/567.135.12.pdf" Type="http://schemas.openxmlformats.org/officeDocument/2006/relationships/hyperlink" Id="rId422"/>
    <Relationship TargetMode="External" Target="https://www.legis.iowa.gov/docs/iac/rule/567.135.9.pdf" Type="http://schemas.openxmlformats.org/officeDocument/2006/relationships/hyperlink" Id="rId423"/>
    <Relationship TargetMode="External" Target="https://www.legis.iowa.gov/docs/iac/rule/567.135.12.pdf" Type="http://schemas.openxmlformats.org/officeDocument/2006/relationships/hyperlink" Id="rId424"/>
    <Relationship TargetMode="External" Target="https://www.legis.iowa.gov/docs/iac/rule/567.135.10.pdf" Type="http://schemas.openxmlformats.org/officeDocument/2006/relationships/hyperlink" Id="rId425"/>
    <Relationship TargetMode="External" Target="https://www.legis.iowa.gov/docs/iac/rule/567.135.9.pdf" Type="http://schemas.openxmlformats.org/officeDocument/2006/relationships/hyperlink" Id="rId426"/>
    <Relationship TargetMode="External" Target="https://www.legis.iowa.gov/docs/iac/rule/567.135.12.pdf" Type="http://schemas.openxmlformats.org/officeDocument/2006/relationships/hyperlink" Id="rId427"/>
    <Relationship TargetMode="External" Target="https://www.legis.iowa.gov/docs/iac/rule/567.135.9.pdf" Type="http://schemas.openxmlformats.org/officeDocument/2006/relationships/hyperlink" Id="rId428"/>
    <Relationship TargetMode="External" Target="https://www.legis.iowa.gov/docs/iac/rule/567.135.7.pdf" Type="http://schemas.openxmlformats.org/officeDocument/2006/relationships/hyperlink" Id="rId429"/>
    <Relationship TargetMode="External" Target="https://www.legis.iowa.gov/docs/iac/rule/567.135.9.pdf" Type="http://schemas.openxmlformats.org/officeDocument/2006/relationships/hyperlink" Id="rId430"/>
    <Relationship TargetMode="External" Target="https://www.legis.iowa.gov/docs/iac/rule/567.135.10.pdf" Type="http://schemas.openxmlformats.org/officeDocument/2006/relationships/hyperlink" Id="rId431"/>
    <Relationship TargetMode="External" Target="https://www.legis.iowa.gov/docs/iac/rule/567.135.10.pdf" Type="http://schemas.openxmlformats.org/officeDocument/2006/relationships/hyperlink" Id="rId432"/>
    <Relationship TargetMode="External" Target="https://www.legis.iowa.gov/docs/iac/rule/567.135.10.pdf" Type="http://schemas.openxmlformats.org/officeDocument/2006/relationships/hyperlink" Id="rId433"/>
    <Relationship TargetMode="External" Target="https://www.legis.iowa.gov/docs/iac/rule/567.135.10.pdf" Type="http://schemas.openxmlformats.org/officeDocument/2006/relationships/hyperlink" Id="rId434"/>
    <Relationship TargetMode="External" Target="https://www.legis.iowa.gov/docs/iac/rule/567.135.8.pdf" Type="http://schemas.openxmlformats.org/officeDocument/2006/relationships/hyperlink" Id="rId435"/>
    <Relationship TargetMode="External" Target="https://www.legis.iowa.gov/docs/iac/rule/567.135.11.pdf" Type="http://schemas.openxmlformats.org/officeDocument/2006/relationships/hyperlink" Id="rId436"/>
    <Relationship TargetMode="External" Target="https://www.legis.iowa.gov/docs/iac/rule/567.135.10.pdf" Type="http://schemas.openxmlformats.org/officeDocument/2006/relationships/hyperlink" Id="rId437"/>
    <Relationship TargetMode="External" Target="https://www.legis.iowa.gov/docs/iac/rule/567.135.10.pdf" Type="http://schemas.openxmlformats.org/officeDocument/2006/relationships/hyperlink" Id="rId438"/>
    <Relationship TargetMode="External" Target="https://www.legis.iowa.gov/docs/iac/rule/567.135.10.pdf" Type="http://schemas.openxmlformats.org/officeDocument/2006/relationships/hyperlink" Id="rId439"/>
    <Relationship TargetMode="External" Target="https://www.legis.iowa.gov/docs/iac/rule/567.135.10.pdf" Type="http://schemas.openxmlformats.org/officeDocument/2006/relationships/hyperlink" Id="rId440"/>
    <Relationship TargetMode="External" Target="https://www.legis.iowa.gov/docs/iac/rule/567.135.8.pdf" Type="http://schemas.openxmlformats.org/officeDocument/2006/relationships/hyperlink" Id="rId441"/>
    <Relationship TargetMode="External" Target="https://www.legis.iowa.gov/docs/iac/rule/567.135.12.pdf" Type="http://schemas.openxmlformats.org/officeDocument/2006/relationships/hyperlink" Id="rId442"/>
    <Relationship TargetMode="External" Target="https://www.legis.iowa.gov/docs/iac/rule/567.135.10.pdf" Type="http://schemas.openxmlformats.org/officeDocument/2006/relationships/hyperlink" Id="rId443"/>
    <Relationship TargetMode="External" Target="https://www.legis.iowa.gov/docs/iac/rule/567.135.10.pdf" Type="http://schemas.openxmlformats.org/officeDocument/2006/relationships/hyperlink" Id="rId444"/>
    <Relationship TargetMode="External" Target="https://www.legis.iowa.gov/docs/iac/rule/567.135.8.pdf" Type="http://schemas.openxmlformats.org/officeDocument/2006/relationships/hyperlink" Id="rId445"/>
    <Relationship TargetMode="External" Target="https://www.legis.iowa.gov/docs/iac/rule/567.135.10.pdf" Type="http://schemas.openxmlformats.org/officeDocument/2006/relationships/hyperlink" Id="rId446"/>
    <Relationship TargetMode="External" Target="https://www.legis.iowa.gov/docs/iac/rule/567.135.10.pdf" Type="http://schemas.openxmlformats.org/officeDocument/2006/relationships/hyperlink" Id="rId447"/>
    <Relationship TargetMode="External" Target="https://www.legis.iowa.gov/docs/iac/rule/567.135.10.pdf" Type="http://schemas.openxmlformats.org/officeDocument/2006/relationships/hyperlink" Id="rId448"/>
    <Relationship TargetMode="External" Target="https://www.legis.iowa.gov/docs/iac/rule/567.135.10.pdf" Type="http://schemas.openxmlformats.org/officeDocument/2006/relationships/hyperlink" Id="rId449"/>
    <Relationship TargetMode="External" Target="https://www.legis.iowa.gov/docs/iac/rule/567.135.10.pdf" Type="http://schemas.openxmlformats.org/officeDocument/2006/relationships/hyperlink" Id="rId450"/>
    <Relationship TargetMode="External" Target="https://www.legis.iowa.gov/docs/iac/rule/567.135.10.pdf" Type="http://schemas.openxmlformats.org/officeDocument/2006/relationships/hyperlink" Id="rId451"/>
    <Relationship TargetMode="External" Target="https://www.legis.iowa.gov/docs/iac/rule/567.135.10.pdf" Type="http://schemas.openxmlformats.org/officeDocument/2006/relationships/hyperlink" Id="rId452"/>
    <Relationship TargetMode="External" Target="https://www.legis.iowa.gov/docs/iac/rule/567.135.10.pdf" Type="http://schemas.openxmlformats.org/officeDocument/2006/relationships/hyperlink" Id="rId453"/>
    <Relationship TargetMode="External" Target="https://www.legis.iowa.gov/docs/iac/rule/567.135.12.pdf" Type="http://schemas.openxmlformats.org/officeDocument/2006/relationships/hyperlink" Id="rId454"/>
    <Relationship TargetMode="External" Target="https://www.legis.iowa.gov/docs/iac/rule/567.135.10.pdf" Type="http://schemas.openxmlformats.org/officeDocument/2006/relationships/hyperlink" Id="rId455"/>
    <Relationship TargetMode="External" Target="https://www.legis.iowa.gov/docs/iac/rule/567.135.10.pdf" Type="http://schemas.openxmlformats.org/officeDocument/2006/relationships/hyperlink" Id="rId456"/>
    <Relationship TargetMode="External" Target="https://www.legis.iowa.gov/docs/iac/rule/567.135.10.pdf" Type="http://schemas.openxmlformats.org/officeDocument/2006/relationships/hyperlink" Id="rId457"/>
    <Relationship TargetMode="External" Target="https://www.legis.iowa.gov/docs/iac/rule/567.135.12.pdf" Type="http://schemas.openxmlformats.org/officeDocument/2006/relationships/hyperlink" Id="rId458"/>
    <Relationship TargetMode="External" Target="https://www.legis.iowa.gov/docs/iac/rule/567.135.10.pdf" Type="http://schemas.openxmlformats.org/officeDocument/2006/relationships/hyperlink" Id="rId459"/>
    <Relationship TargetMode="External" Target="https://www.legis.iowa.gov/docs/iac/rule/567.135.11.pdf" Type="http://schemas.openxmlformats.org/officeDocument/2006/relationships/hyperlink" Id="rId460"/>
    <Relationship TargetMode="External" Target="https://www.legis.iowa.gov/docs/iac/rule/567.135.10.pdf" Type="http://schemas.openxmlformats.org/officeDocument/2006/relationships/hyperlink" Id="rId461"/>
    <Relationship TargetMode="External" Target="https://www.legis.iowa.gov/docs/iac/rule/567.135.10.pdf" Type="http://schemas.openxmlformats.org/officeDocument/2006/relationships/hyperlink" Id="rId462"/>
    <Relationship TargetMode="External" Target="https://www.legis.iowa.gov/docs/iac/rule/567.135.10.pdf" Type="http://schemas.openxmlformats.org/officeDocument/2006/relationships/hyperlink" Id="rId463"/>
    <Relationship TargetMode="External" Target="https://www.legis.iowa.gov/docs/iac/chapter/567.43.pdf" Type="http://schemas.openxmlformats.org/officeDocument/2006/relationships/hyperlink" Id="rId464"/>
    <Relationship TargetMode="External" Target="https://www.legis.iowa.gov/docs/iac/rule/567.135.10.pdf" Type="http://schemas.openxmlformats.org/officeDocument/2006/relationships/hyperlink" Id="rId465"/>
    <Relationship TargetMode="External" Target="https://www.legis.iowa.gov/docs/iac/rule/567.135.10.pdf" Type="http://schemas.openxmlformats.org/officeDocument/2006/relationships/hyperlink" Id="rId466"/>
    <Relationship TargetMode="External" Target="https://www.legis.iowa.gov/docs/iac/rule/567.135.10.pdf" Type="http://schemas.openxmlformats.org/officeDocument/2006/relationships/hyperlink" Id="rId467"/>
    <Relationship TargetMode="External" Target="https://www.legis.iowa.gov/docs/iac/rule/567.135.12.pdf" Type="http://schemas.openxmlformats.org/officeDocument/2006/relationships/hyperlink" Id="rId468"/>
    <Relationship TargetMode="External" Target="https://www.legis.iowa.gov/docs/iac/chapter/567.39.pdf" Type="http://schemas.openxmlformats.org/officeDocument/2006/relationships/hyperlink" Id="rId469"/>
    <Relationship TargetMode="External" Target="https://www.legis.iowa.gov/docs/iac/chapter/567.49.pdf" Type="http://schemas.openxmlformats.org/officeDocument/2006/relationships/hyperlink" Id="rId470"/>
    <Relationship TargetMode="External" Target="https://www.legis.iowa.gov/docs/iac/rule/567.135.10.pdf" Type="http://schemas.openxmlformats.org/officeDocument/2006/relationships/hyperlink" Id="rId471"/>
    <Relationship TargetMode="External" Target="https://www.legis.iowa.gov/docs/iac/rule/567.135.10.pdf" Type="http://schemas.openxmlformats.org/officeDocument/2006/relationships/hyperlink" Id="rId472"/>
    <Relationship TargetMode="External" Target="https://www.legis.iowa.gov/docs/iac/rule/567.135.10.pdf" Type="http://schemas.openxmlformats.org/officeDocument/2006/relationships/hyperlink" Id="rId473"/>
    <Relationship TargetMode="External" Target="https://www.legis.iowa.gov/docs/iac/rule/567.135.9.pdf" Type="http://schemas.openxmlformats.org/officeDocument/2006/relationships/hyperlink" Id="rId474"/>
    <Relationship TargetMode="External" Target="https://www.legis.iowa.gov/docs/iac/rule/567.135.11.pdf" Type="http://schemas.openxmlformats.org/officeDocument/2006/relationships/hyperlink" Id="rId475"/>
    <Relationship TargetMode="External" Target="https://www.legis.iowa.gov/docs/iac/rule/567.135.12.pdf" Type="http://schemas.openxmlformats.org/officeDocument/2006/relationships/hyperlink" Id="rId476"/>
    <Relationship TargetMode="External" Target="https://www.legis.iowa.gov/docs/iac/rule/567.135.12.pdf" Type="http://schemas.openxmlformats.org/officeDocument/2006/relationships/hyperlink" Id="rId477"/>
    <Relationship TargetMode="External" Target="https://www.legis.iowa.gov/docs/iac/chapter/567.39.pdf" Type="http://schemas.openxmlformats.org/officeDocument/2006/relationships/hyperlink" Id="rId478"/>
    <Relationship TargetMode="External" Target="https://www.legis.iowa.gov/docs/iac/chapter/567.49.pdf" Type="http://schemas.openxmlformats.org/officeDocument/2006/relationships/hyperlink" Id="rId479"/>
    <Relationship TargetMode="External" Target="https://www.legis.iowa.gov/docs/iac/chapter/567.39.pdf" Type="http://schemas.openxmlformats.org/officeDocument/2006/relationships/hyperlink" Id="rId480"/>
    <Relationship TargetMode="External" Target="https://www.legis.iowa.gov/docs/iac/chapter/567.49.pdf" Type="http://schemas.openxmlformats.org/officeDocument/2006/relationships/hyperlink" Id="rId481"/>
    <Relationship TargetMode="External" Target="https://www.legis.iowa.gov/docs/iac/rule/567.135.10.pdf" Type="http://schemas.openxmlformats.org/officeDocument/2006/relationships/hyperlink" Id="rId482"/>
    <Relationship TargetMode="External" Target="https://www.legis.iowa.gov/docs/iac/chapter/567.39.pdf" Type="http://schemas.openxmlformats.org/officeDocument/2006/relationships/hyperlink" Id="rId483"/>
    <Relationship TargetMode="External" Target="https://www.legis.iowa.gov/docs/iac/chapter/567.49.pdf" Type="http://schemas.openxmlformats.org/officeDocument/2006/relationships/hyperlink" Id="rId484"/>
    <Relationship TargetMode="External" Target="https://www.legis.iowa.gov/docs/iac/rule/567.135.10.pdf" Type="http://schemas.openxmlformats.org/officeDocument/2006/relationships/hyperlink" Id="rId485"/>
    <Relationship TargetMode="External" Target="https://www.legis.iowa.gov/docs/iac/rule/567.135.12.pdf" Type="http://schemas.openxmlformats.org/officeDocument/2006/relationships/hyperlink" Id="rId486"/>
    <Relationship TargetMode="External" Target="https://www.legis.iowa.gov/docs/iac/rule/567.135.9.pdf" Type="http://schemas.openxmlformats.org/officeDocument/2006/relationships/hyperlink" Id="rId487"/>
    <Relationship TargetMode="External" Target="https://www.legis.iowa.gov/docs/iac/rule/567.135.10.pdf" Type="http://schemas.openxmlformats.org/officeDocument/2006/relationships/hyperlink" Id="rId488"/>
    <Relationship TargetMode="External" Target="https://www.legis.iowa.gov/docs/iac/rule/567.135.10.pdf" Type="http://schemas.openxmlformats.org/officeDocument/2006/relationships/hyperlink" Id="rId489"/>
    <Relationship TargetMode="External" Target="https://www.legis.iowa.gov/docs/iac/rule/567.135.10.pdf" Type="http://schemas.openxmlformats.org/officeDocument/2006/relationships/hyperlink" Id="rId490"/>
    <Relationship TargetMode="External" Target="https://www.legis.iowa.gov/docs/iac/rule/567.135.10.pdf" Type="http://schemas.openxmlformats.org/officeDocument/2006/relationships/hyperlink" Id="rId491"/>
    <Relationship TargetMode="External" Target="https://www.legis.iowa.gov/docs/iac/rule/567.135.10.pdf" Type="http://schemas.openxmlformats.org/officeDocument/2006/relationships/hyperlink" Id="rId492"/>
    <Relationship TargetMode="External" Target="https://www.legis.iowa.gov/docs/iac/rule/567.135.10.pdf" Type="http://schemas.openxmlformats.org/officeDocument/2006/relationships/hyperlink" Id="rId493"/>
    <Relationship TargetMode="External" Target="https://www.legis.iowa.gov/docs/iac/rule/567.135.10.pdf" Type="http://schemas.openxmlformats.org/officeDocument/2006/relationships/hyperlink" Id="rId494"/>
    <Relationship TargetMode="External" Target="https://www.legis.iowa.gov/docs/iac/rule/567.135.10.pdf" Type="http://schemas.openxmlformats.org/officeDocument/2006/relationships/hyperlink" Id="rId495"/>
    <Relationship TargetMode="External" Target="https://www.legis.iowa.gov/docs/iac/rule/567.135.12.pdf" Type="http://schemas.openxmlformats.org/officeDocument/2006/relationships/hyperlink" Id="rId496"/>
    <Relationship TargetMode="External" Target="https://www.legis.iowa.gov/docs/iac/rule/567.135.16.pdf" Type="http://schemas.openxmlformats.org/officeDocument/2006/relationships/hyperlink" Id="rId497"/>
    <Relationship TargetMode="External" Target="https://www.legis.iowa.gov/docs/iac/rule/567.135.12.pdf" Type="http://schemas.openxmlformats.org/officeDocument/2006/relationships/hyperlink" Id="rId498"/>
    <Relationship TargetMode="External" Target="https://www.legis.iowa.gov/docs/iac/rule/567.135.10.pdf" Type="http://schemas.openxmlformats.org/officeDocument/2006/relationships/hyperlink" Id="rId499"/>
    <Relationship TargetMode="External" Target="https://www.legis.iowa.gov/docs/iac/rule/567.135.12.pdf" Type="http://schemas.openxmlformats.org/officeDocument/2006/relationships/hyperlink" Id="rId500"/>
    <Relationship TargetMode="External" Target="https://www.legis.iowa.gov/docs/iac/rule/567.135.12.pdf" Type="http://schemas.openxmlformats.org/officeDocument/2006/relationships/hyperlink" Id="rId501"/>
    <Relationship TargetMode="External" Target="https://www.legis.iowa.gov/docs/iac/rule/567.135.12.pdf" Type="http://schemas.openxmlformats.org/officeDocument/2006/relationships/hyperlink" Id="rId502"/>
    <Relationship TargetMode="External" Target="https://www.legis.iowa.gov/docs/iac/rule/567.135.9.pdf" Type="http://schemas.openxmlformats.org/officeDocument/2006/relationships/hyperlink" Id="rId503"/>
    <Relationship TargetMode="External" Target="https://www.legis.iowa.gov/docs/iac/rule/567.135.10.pdf" Type="http://schemas.openxmlformats.org/officeDocument/2006/relationships/hyperlink" Id="rId504"/>
    <Relationship TargetMode="External" Target="https://www.legis.iowa.gov/docs/iac/rule/567.135.10.pdf" Type="http://schemas.openxmlformats.org/officeDocument/2006/relationships/hyperlink" Id="rId505"/>
    <Relationship TargetMode="External" Target="https://www.legis.iowa.gov/docs/iac/rule/567.135.10.pdf" Type="http://schemas.openxmlformats.org/officeDocument/2006/relationships/hyperlink" Id="rId506"/>
    <Relationship TargetMode="External" Target="https://www.legis.iowa.gov/docs/iac/rule/567.135.12.pdf" Type="http://schemas.openxmlformats.org/officeDocument/2006/relationships/hyperlink" Id="rId507"/>
    <Relationship TargetMode="External" Target="https://www.legis.iowa.gov/docs/iac/rule/567.135.16.pdf" Type="http://schemas.openxmlformats.org/officeDocument/2006/relationships/hyperlink" Id="rId508"/>
    <Relationship TargetMode="External" Target="https://www.legis.iowa.gov/docs/iac/rule/567.135.12.pdf" Type="http://schemas.openxmlformats.org/officeDocument/2006/relationships/hyperlink" Id="rId509"/>
    <Relationship TargetMode="External" Target="https://www.legis.iowa.gov/docs/iac/rule/567.135.10.pdf" Type="http://schemas.openxmlformats.org/officeDocument/2006/relationships/hyperlink" Id="rId510"/>
    <Relationship TargetMode="External" Target="https://www.legis.iowa.gov/docs/iac/rule/567.135.12.pdf" Type="http://schemas.openxmlformats.org/officeDocument/2006/relationships/hyperlink" Id="rId511"/>
    <Relationship TargetMode="External" Target="https://www.legis.iowa.gov/docs/iac/rule/567.135.12.pdf" Type="http://schemas.openxmlformats.org/officeDocument/2006/relationships/hyperlink" Id="rId512"/>
    <Relationship TargetMode="External" Target="https://www.legis.iowa.gov/docs/iac/rule/567.135.12.pdf" Type="http://schemas.openxmlformats.org/officeDocument/2006/relationships/hyperlink" Id="rId513"/>
    <Relationship TargetMode="External" Target="https://www.legis.iowa.gov/docs/iac/rule/567.135.10.pdf" Type="http://schemas.openxmlformats.org/officeDocument/2006/relationships/hyperlink" Id="rId514"/>
    <Relationship TargetMode="External" Target="https://www.legis.iowa.gov/docs/iac/rule/567.135.12.pdf" Type="http://schemas.openxmlformats.org/officeDocument/2006/relationships/hyperlink" Id="rId515"/>
    <Relationship TargetMode="External" Target="https://www.legis.iowa.gov/docs/iac/rule/567.135.12.pdf" Type="http://schemas.openxmlformats.org/officeDocument/2006/relationships/hyperlink" Id="rId516"/>
    <Relationship TargetMode="External" Target="https://www.legis.iowa.gov/docs/iac/rule/567.135.12.pdf" Type="http://schemas.openxmlformats.org/officeDocument/2006/relationships/hyperlink" Id="rId517"/>
    <Relationship TargetMode="External" Target="https://www.legis.iowa.gov/docs/iac/rule/567.135.12.pdf" Type="http://schemas.openxmlformats.org/officeDocument/2006/relationships/hyperlink" Id="rId518"/>
    <Relationship TargetMode="External" Target="https://www.legis.iowa.gov/docs/iac/rule/567.135.10.pdf" Type="http://schemas.openxmlformats.org/officeDocument/2006/relationships/hyperlink" Id="rId519"/>
    <Relationship TargetMode="External" Target="https://www.legis.iowa.gov/docs/iac/rule/567.135.9.pdf" Type="http://schemas.openxmlformats.org/officeDocument/2006/relationships/hyperlink" Id="rId520"/>
    <Relationship TargetMode="External" Target="https://www.legis.iowa.gov/docs/iac/rule/567.135.9.pdf" Type="http://schemas.openxmlformats.org/officeDocument/2006/relationships/hyperlink" Id="rId521"/>
    <Relationship TargetMode="External" Target="https://www.legis.iowa.gov/docs/iac/rule/567.61.3.pdf" Type="http://schemas.openxmlformats.org/officeDocument/2006/relationships/hyperlink" Id="rId522"/>
    <Relationship TargetMode="External" Target="https://www.legis.iowa.gov/docs/iac/rule/567.61.3.pdf" Type="http://schemas.openxmlformats.org/officeDocument/2006/relationships/hyperlink" Id="rId523"/>
    <Relationship TargetMode="External" Target="https://www.legis.iowa.gov/docs/iac/rule/567.61.3.pdf" Type="http://schemas.openxmlformats.org/officeDocument/2006/relationships/hyperlink" Id="rId524"/>
    <Relationship TargetMode="External" Target="https://www.legis.iowa.gov/docs/iac/rule/567.135.10.pdf" Type="http://schemas.openxmlformats.org/officeDocument/2006/relationships/hyperlink" Id="rId525"/>
    <Relationship TargetMode="External" Target="https://www.legis.iowa.gov/docs/iac/rule/567.61.3.pdf" Type="http://schemas.openxmlformats.org/officeDocument/2006/relationships/hyperlink" Id="rId526"/>
    <Relationship TargetMode="External" Target="https://www.legis.iowa.gov/docs/iac/rule/567.135.10.pdf" Type="http://schemas.openxmlformats.org/officeDocument/2006/relationships/hyperlink" Id="rId527"/>
    <Relationship TargetMode="External" Target="https://www.legis.iowa.gov/docs/iac/chapter/567.61.pdf" Type="http://schemas.openxmlformats.org/officeDocument/2006/relationships/hyperlink" Id="rId528"/>
    <Relationship TargetMode="External" Target="https://www.legis.iowa.gov/docs/iac/rule/567.62.8.pdf" Type="http://schemas.openxmlformats.org/officeDocument/2006/relationships/hyperlink" Id="rId529"/>
    <Relationship TargetMode="External" Target="https://www.legis.iowa.gov/docs/iac/rule/567.135.12.pdf" Type="http://schemas.openxmlformats.org/officeDocument/2006/relationships/hyperlink" Id="rId530"/>
    <Relationship TargetMode="External" Target="https://www.legis.iowa.gov/docs/iac/rule/567.135.12.pdf" Type="http://schemas.openxmlformats.org/officeDocument/2006/relationships/hyperlink" Id="rId531"/>
    <Relationship TargetMode="External" Target="https://www.legis.iowa.gov/docs/iac/rule/567.61.3.pdf" Type="http://schemas.openxmlformats.org/officeDocument/2006/relationships/hyperlink" Id="rId532"/>
    <Relationship TargetMode="External" Target="https://www.legis.iowa.gov/docs/iac/rule/567.135.12.pdf" Type="http://schemas.openxmlformats.org/officeDocument/2006/relationships/hyperlink" Id="rId533"/>
    <Relationship TargetMode="External" Target="https://www.legis.iowa.gov/docs/iac/rule/567.61.3.pdf" Type="http://schemas.openxmlformats.org/officeDocument/2006/relationships/hyperlink" Id="rId534"/>
    <Relationship TargetMode="External" Target="https://www.legis.iowa.gov/docs/iac/rule/567.61.3.pdf" Type="http://schemas.openxmlformats.org/officeDocument/2006/relationships/hyperlink" Id="rId535"/>
    <Relationship TargetMode="External" Target="https://www.legis.iowa.gov/docs/iac/rule/567.135.12.pdf" Type="http://schemas.openxmlformats.org/officeDocument/2006/relationships/hyperlink" Id="rId536"/>
    <Relationship TargetMode="External" Target="https://www.legis.iowa.gov/docs/iac/rule/567.135.12.pdf" Type="http://schemas.openxmlformats.org/officeDocument/2006/relationships/hyperlink" Id="rId537"/>
    <Relationship TargetMode="External" Target="https://www.legis.iowa.gov/docs/iac/rule/567.135.9.pdf" Type="http://schemas.openxmlformats.org/officeDocument/2006/relationships/hyperlink" Id="rId538"/>
    <Relationship TargetMode="External" Target="https://www.legis.iowa.gov/docs/iac/rule/567.135.7.pdf" Type="http://schemas.openxmlformats.org/officeDocument/2006/relationships/hyperlink" Id="rId539"/>
    <Relationship TargetMode="External" Target="https://www.legis.iowa.gov/docs/ico/chapter/455B.474.pdf" Type="http://schemas.openxmlformats.org/officeDocument/2006/relationships/hyperlink" Id="rId540"/>
    <Relationship TargetMode="External" Target="https://www.legis.iowa.gov/docs/iac/rule/567.135.10.pdf" Type="http://schemas.openxmlformats.org/officeDocument/2006/relationships/hyperlink" Id="rId541"/>
    <Relationship TargetMode="External" Target="https://www.legis.iowa.gov/docs/iac/rule/567.135.11.pdf" Type="http://schemas.openxmlformats.org/officeDocument/2006/relationships/hyperlink" Id="rId542"/>
    <Relationship TargetMode="External" Target="https://www.legis.iowa.gov/docs/iac/rule/567.135.12.pdf" Type="http://schemas.openxmlformats.org/officeDocument/2006/relationships/hyperlink" Id="rId543"/>
    <Relationship TargetMode="External" Target="https://www.legis.iowa.gov/docs/iac/rule/567.135.10.pdf" Type="http://schemas.openxmlformats.org/officeDocument/2006/relationships/hyperlink" Id="rId544"/>
    <Relationship TargetMode="External" Target="https://www.legis.iowa.gov/docs/iac/rule/567.135.10.pdf" Type="http://schemas.openxmlformats.org/officeDocument/2006/relationships/hyperlink" Id="rId545"/>
    <Relationship TargetMode="External" Target="https://www.legis.iowa.gov/docs/iac/rule/567.135.12.pdf" Type="http://schemas.openxmlformats.org/officeDocument/2006/relationships/hyperlink" Id="rId546"/>
    <Relationship TargetMode="External" Target="https://www.legis.iowa.gov/docs/iac/rule/567.135.12.pdf" Type="http://schemas.openxmlformats.org/officeDocument/2006/relationships/hyperlink" Id="rId547"/>
    <Relationship TargetMode="External" Target="https://www.legis.iowa.gov/docs/iac/rule/567.135.12.pdf" Type="http://schemas.openxmlformats.org/officeDocument/2006/relationships/hyperlink" Id="rId548"/>
    <Relationship TargetMode="External" Target="https://www.legis.iowa.gov/docs/ico/chapter/455B.pdf" Type="http://schemas.openxmlformats.org/officeDocument/2006/relationships/hyperlink" Id="rId549"/>
    <Relationship TargetMode="External" Target="https://www.legis.iowa.gov/docs/ico/chapter/455B.pdf" Type="http://schemas.openxmlformats.org/officeDocument/2006/relationships/hyperlink" Id="rId550"/>
    <Relationship TargetMode="External" Target="https://www.legis.iowa.gov/docs/iac/rule/567.135.12.pdf" Type="http://schemas.openxmlformats.org/officeDocument/2006/relationships/hyperlink" Id="rId551"/>
    <Relationship TargetMode="External" Target="https://www.legis.iowa.gov/docs/ico/chapter/455B.474.pdf" Type="http://schemas.openxmlformats.org/officeDocument/2006/relationships/hyperlink" Id="rId552"/>
    <Relationship TargetMode="External" Target="https://www.legis.iowa.gov/docs/iac/rule/567.135.10.pdf" Type="http://schemas.openxmlformats.org/officeDocument/2006/relationships/hyperlink" Id="rId553"/>
    <Relationship TargetMode="External" Target="https://www.legis.iowa.gov/docs/iac/rule/567.135.10.pdf" Type="http://schemas.openxmlformats.org/officeDocument/2006/relationships/hyperlink" Id="rId554"/>
    <Relationship TargetMode="External" Target="https://www.legis.iowa.gov/docs/iac/rule/567.135.10.pdf" Type="http://schemas.openxmlformats.org/officeDocument/2006/relationships/hyperlink" Id="rId555"/>
    <Relationship TargetMode="External" Target="https://www.legis.iowa.gov/docs/iac/rule/567.135.10.pdf" Type="http://schemas.openxmlformats.org/officeDocument/2006/relationships/hyperlink" Id="rId556"/>
    <Relationship TargetMode="External" Target="https://www.legis.iowa.gov/docs/iac/rule/567.135.10.pdf" Type="http://schemas.openxmlformats.org/officeDocument/2006/relationships/hyperlink" Id="rId557"/>
    <Relationship TargetMode="External" Target="https://www.legis.iowa.gov/docs/iac/chapter/567.43.pdf" Type="http://schemas.openxmlformats.org/officeDocument/2006/relationships/hyperlink" Id="rId558"/>
    <Relationship TargetMode="External" Target="https://www.legis.iowa.gov/docs/iac/rule/567.135.7.pdf" Type="http://schemas.openxmlformats.org/officeDocument/2006/relationships/hyperlink" Id="rId559"/>
    <Relationship TargetMode="External" Target="https://www.legis.iowa.gov/docs/iac/rule/567.135.10.pdf" Type="http://schemas.openxmlformats.org/officeDocument/2006/relationships/hyperlink" Id="rId560"/>
    <Relationship TargetMode="External" Target="https://www.legis.iowa.gov/docs/iac/rule/567.135.10.pdf" Type="http://schemas.openxmlformats.org/officeDocument/2006/relationships/hyperlink" Id="rId561"/>
    <Relationship TargetMode="External" Target="https://www.legis.iowa.gov/docs/iac/rule/567.135.10.pdf" Type="http://schemas.openxmlformats.org/officeDocument/2006/relationships/hyperlink" Id="rId562"/>
    <Relationship TargetMode="External" Target="https://www.legis.iowa.gov/docs/iac/rule/567.135.12.pdf" Type="http://schemas.openxmlformats.org/officeDocument/2006/relationships/hyperlink" Id="rId563"/>
    <Relationship TargetMode="External" Target="https://www.legis.iowa.gov/docs/iac/rule/567.135.12.pdf" Type="http://schemas.openxmlformats.org/officeDocument/2006/relationships/hyperlink" Id="rId564"/>
    <Relationship TargetMode="External" Target="https://www.legis.iowa.gov/docs/iac/rule/567.135.12.pdf" Type="http://schemas.openxmlformats.org/officeDocument/2006/relationships/hyperlink" Id="rId565"/>
    <Relationship TargetMode="External" Target="https://www.legis.iowa.gov/docs/iac/rule/567.135.12.pdf" Type="http://schemas.openxmlformats.org/officeDocument/2006/relationships/hyperlink" Id="rId566"/>
    <Relationship TargetMode="External" Target="https://www.legis.iowa.gov/docs/iac/rule/567.135.12.pdf" Type="http://schemas.openxmlformats.org/officeDocument/2006/relationships/hyperlink" Id="rId567"/>
    <Relationship TargetMode="External" Target="https://www.legis.iowa.gov/docs/iac/rule/567.135.12.pdf" Type="http://schemas.openxmlformats.org/officeDocument/2006/relationships/hyperlink" Id="rId568"/>
    <Relationship TargetMode="External" Target="https://www.legis.iowa.gov/docs/iac/rule/567.135.12.pdf" Type="http://schemas.openxmlformats.org/officeDocument/2006/relationships/hyperlink" Id="rId569"/>
    <Relationship TargetMode="External" Target="https://www.legis.iowa.gov/docs/iac/rule/567.135.12.pdf" Type="http://schemas.openxmlformats.org/officeDocument/2006/relationships/hyperlink" Id="rId570"/>
    <Relationship TargetMode="External" Target="https://www.legis.iowa.gov/docs/iac/rule/567.135.12.pdf" Type="http://schemas.openxmlformats.org/officeDocument/2006/relationships/hyperlink" Id="rId571"/>
    <Relationship TargetMode="External" Target="https://www.legis.iowa.gov/docs/iac/rule/567.135.12.pdf" Type="http://schemas.openxmlformats.org/officeDocument/2006/relationships/hyperlink" Id="rId572"/>
    <Relationship TargetMode="External" Target="https://www.legis.iowa.gov/docs/iac/rule/567.135.12.pdf" Type="http://schemas.openxmlformats.org/officeDocument/2006/relationships/hyperlink" Id="rId573"/>
    <Relationship TargetMode="External" Target="https://www.legis.iowa.gov/docs/iac/rule/567.135.12.pdf" Type="http://schemas.openxmlformats.org/officeDocument/2006/relationships/hyperlink" Id="rId574"/>
    <Relationship TargetMode="External" Target="https://www.legis.iowa.gov/docs/iac/rule/567.135.12.pdf" Type="http://schemas.openxmlformats.org/officeDocument/2006/relationships/hyperlink" Id="rId575"/>
    <Relationship TargetMode="External" Target="https://www.legis.iowa.gov/docs/iac/rule/567.135.12.pdf" Type="http://schemas.openxmlformats.org/officeDocument/2006/relationships/hyperlink" Id="rId576"/>
    <Relationship TargetMode="External" Target="https://www.legis.iowa.gov/docs/iac/chapter/567.39.pdf" Type="http://schemas.openxmlformats.org/officeDocument/2006/relationships/hyperlink" Id="rId577"/>
    <Relationship TargetMode="External" Target="https://www.legis.iowa.gov/docs/iac/chapter/567.49.pdf" Type="http://schemas.openxmlformats.org/officeDocument/2006/relationships/hyperlink" Id="rId578"/>
    <Relationship TargetMode="External" Target="https://www.legis.iowa.gov/docs/ico/chapter/455I.pdf" Type="http://schemas.openxmlformats.org/officeDocument/2006/relationships/hyperlink" Id="rId579"/>
    <Relationship TargetMode="External" Target="https://www.legis.iowa.gov/docs/iac/rule/567.135.12.pdf" Type="http://schemas.openxmlformats.org/officeDocument/2006/relationships/hyperlink" Id="rId580"/>
    <Relationship TargetMode="External" Target="https://www.legis.iowa.gov/docs/iac/rule/567.135.10.pdf" Type="http://schemas.openxmlformats.org/officeDocument/2006/relationships/hyperlink" Id="rId581"/>
    <Relationship TargetMode="External" Target="https://www.legis.iowa.gov/docs/ico/chapter/455B.474.pdf" Type="http://schemas.openxmlformats.org/officeDocument/2006/relationships/hyperlink" Id="rId582"/>
    <Relationship TargetMode="External" Target="https://www.legis.iowa.gov/docs/iac/rule/567.135.12.pdf" Type="http://schemas.openxmlformats.org/officeDocument/2006/relationships/hyperlink" Id="rId583"/>
    <Relationship TargetMode="External" Target="https://www.legis.iowa.gov/docs/iac/rule/567.135.9.pdf" Type="http://schemas.openxmlformats.org/officeDocument/2006/relationships/hyperlink" Id="rId584"/>
    <Relationship TargetMode="External" Target="https://www.legis.iowa.gov/docs/iac/rule/567.135.10.pdf" Type="http://schemas.openxmlformats.org/officeDocument/2006/relationships/hyperlink" Id="rId585"/>
    <Relationship TargetMode="External" Target="https://www.legis.iowa.gov/docs/iac/rule/567.135.12.pdf" Type="http://schemas.openxmlformats.org/officeDocument/2006/relationships/hyperlink" Id="rId586"/>
    <Relationship TargetMode="External" Target="https://www.legis.iowa.gov/docs/ico/chapter/455B.474.pdf" Type="http://schemas.openxmlformats.org/officeDocument/2006/relationships/hyperlink" Id="rId587"/>
    <Relationship TargetMode="External" Target="https://www.legis.iowa.gov/docs/iac/rule/567.135.7.pdf" Type="http://schemas.openxmlformats.org/officeDocument/2006/relationships/hyperlink" Id="rId588"/>
    <Relationship TargetMode="External" Target="https://www.legis.iowa.gov/docs/iac/rule/567.135.12.pdf" Type="http://schemas.openxmlformats.org/officeDocument/2006/relationships/hyperlink" Id="rId589"/>
    <Relationship TargetMode="External" Target="https://www.legis.iowa.gov/docs/iac/rule/567.135.12.pdf" Type="http://schemas.openxmlformats.org/officeDocument/2006/relationships/hyperlink" Id="rId590"/>
    <Relationship TargetMode="External" Target="https://www.legis.iowa.gov/docs/iac/chapter/567.39.pdf" Type="http://schemas.openxmlformats.org/officeDocument/2006/relationships/hyperlink" Id="rId591"/>
    <Relationship TargetMode="External" Target="https://www.legis.iowa.gov/docs/iac/chapter/567.49.pdf" Type="http://schemas.openxmlformats.org/officeDocument/2006/relationships/hyperlink" Id="rId592"/>
    <Relationship TargetMode="External" Target="https://www.legis.iowa.gov/docs/ico/chapter/558.1.pdf" Type="http://schemas.openxmlformats.org/officeDocument/2006/relationships/hyperlink" Id="rId593"/>
    <Relationship TargetMode="External" Target="https://www.legis.iowa.gov/docs/ico/chapter/455B.474.pdf" Type="http://schemas.openxmlformats.org/officeDocument/2006/relationships/hyperlink" Id="rId594"/>
    <Relationship TargetMode="External" Target="https://www.legis.iowa.gov/docs/iac/rule/567.135.12.pdf" Type="http://schemas.openxmlformats.org/officeDocument/2006/relationships/hyperlink" Id="rId595"/>
    <Relationship TargetMode="External" Target="https://www.legis.iowa.gov/docs/iac/rule/567.135.7.pdf" Type="http://schemas.openxmlformats.org/officeDocument/2006/relationships/hyperlink" Id="rId596"/>
    <Relationship TargetMode="External" Target="https://www.legis.iowa.gov/docs/iac/rule/567.135.13.pdf" Type="http://schemas.openxmlformats.org/officeDocument/2006/relationships/hyperlink" Id="rId597"/>
    <Relationship TargetMode="External" Target="https://www.legis.iowa.gov/docs/iac/rule/567.135.6.pdf" Type="http://schemas.openxmlformats.org/officeDocument/2006/relationships/hyperlink" Id="rId598"/>
    <Relationship TargetMode="External" Target="https://www.legis.iowa.gov/docs/iac/rule/567.135.12.pdf" Type="http://schemas.openxmlformats.org/officeDocument/2006/relationships/hyperlink" Id="rId599"/>
    <Relationship TargetMode="External" Target="https://www.legis.iowa.gov/docs/iac/rule/567.135.15.pdf" Type="http://schemas.openxmlformats.org/officeDocument/2006/relationships/hyperlink" Id="rId600"/>
    <Relationship TargetMode="External" Target="https://www.legis.iowa.gov/docs/iac/rule/567.135.15.pdf" Type="http://schemas.openxmlformats.org/officeDocument/2006/relationships/hyperlink" Id="rId601"/>
    <Relationship TargetMode="External" Target="https://www.legis.iowa.gov/docs/iac/rule/567.135.16.pdf" Type="http://schemas.openxmlformats.org/officeDocument/2006/relationships/hyperlink" Id="rId602"/>
    <Relationship TargetMode="External" Target="https://www.legis.iowa.gov/docs/iac/rule/567.135.3.pdf" Type="http://schemas.openxmlformats.org/officeDocument/2006/relationships/hyperlink" Id="rId603"/>
    <Relationship TargetMode="External" Target="https://www.legis.iowa.gov/docs/iac/rule/567.135.3.pdf" Type="http://schemas.openxmlformats.org/officeDocument/2006/relationships/hyperlink" Id="rId604"/>
    <Relationship TargetMode="External" Target="https://www.legis.iowa.gov/docs/iac/rule/567.135.15.pdf" Type="http://schemas.openxmlformats.org/officeDocument/2006/relationships/hyperlink" Id="rId605"/>
    <Relationship TargetMode="External" Target="https://www.legis.iowa.gov/docs/iac/rule/567.135.4.pdf" Type="http://schemas.openxmlformats.org/officeDocument/2006/relationships/hyperlink" Id="rId606"/>
    <Relationship TargetMode="External" Target="https://www.legis.iowa.gov/docs/iac/rule/567.135.5.pdf" Type="http://schemas.openxmlformats.org/officeDocument/2006/relationships/hyperlink" Id="rId607"/>
    <Relationship TargetMode="External" Target="https://www.legis.iowa.gov/docs/iac/rule/567.135.6.pdf" Type="http://schemas.openxmlformats.org/officeDocument/2006/relationships/hyperlink" Id="rId608"/>
    <Relationship TargetMode="External" Target="https://www.legis.iowa.gov/docs/iac/rule/567.135.12.pdf" Type="http://schemas.openxmlformats.org/officeDocument/2006/relationships/hyperlink" Id="rId609"/>
    <Relationship TargetMode="External" Target="https://www.legis.iowa.gov/docs/iac/chapter/567.136.pdf" Type="http://schemas.openxmlformats.org/officeDocument/2006/relationships/hyperlink" Id="rId610"/>
    <Relationship TargetMode="External" Target="https://www.legis.iowa.gov/docs/iac/rule/567.135.3.pdf" Type="http://schemas.openxmlformats.org/officeDocument/2006/relationships/hyperlink" Id="rId611"/>
    <Relationship TargetMode="External" Target="https://www.legis.iowa.gov/docs/iac/rule/567.135.19.pdf" Type="http://schemas.openxmlformats.org/officeDocument/2006/relationships/hyperlink" Id="rId612"/>
    <Relationship TargetMode="External" Target="https://www.legis.iowa.gov/docs/iac/rule/567.135.15.pdf" Type="http://schemas.openxmlformats.org/officeDocument/2006/relationships/hyperlink" Id="rId613"/>
    <Relationship TargetMode="External" Target="https://www.legis.iowa.gov/docs/iac/rule/567.135.4.pdf" Type="http://schemas.openxmlformats.org/officeDocument/2006/relationships/hyperlink" Id="rId614"/>
    <Relationship TargetMode="External" Target="https://www.legis.iowa.gov/docs/iac/chapter/567.136.pdf" Type="http://schemas.openxmlformats.org/officeDocument/2006/relationships/hyperlink" Id="rId615"/>
    <Relationship TargetMode="External" Target="https://www.legis.iowa.gov/docs/iac/rule/567.135.15.pdf" Type="http://schemas.openxmlformats.org/officeDocument/2006/relationships/hyperlink" Id="rId616"/>
    <Relationship TargetMode="External" Target="https://www.legis.iowa.gov/docs/iac/rule/567.135.6.pdf" Type="http://schemas.openxmlformats.org/officeDocument/2006/relationships/hyperlink" Id="rId617"/>
    <Relationship TargetMode="External" Target="https://www.legis.iowa.gov/docs/iac/rule/567.135.15.pdf" Type="http://schemas.openxmlformats.org/officeDocument/2006/relationships/hyperlink" Id="rId618"/>
    <Relationship TargetMode="External" Target="https://www.legis.iowa.gov/docs/iac/rule/567.135.15.pdf" Type="http://schemas.openxmlformats.org/officeDocument/2006/relationships/hyperlink" Id="rId619"/>
    <Relationship TargetMode="External" Target="https://www.legis.iowa.gov/docs/iac/rule/567.135.15.pdf" Type="http://schemas.openxmlformats.org/officeDocument/2006/relationships/hyperlink" Id="rId620"/>
    <Relationship TargetMode="External" Target="https://www.legis.iowa.gov/docs/iac/rule/567.135.4.pdf" Type="http://schemas.openxmlformats.org/officeDocument/2006/relationships/hyperlink" Id="rId621"/>
    <Relationship TargetMode="External" Target="https://www.legis.iowa.gov/docs/iac/rule/567.135.3.pdf" Type="http://schemas.openxmlformats.org/officeDocument/2006/relationships/hyperlink" Id="rId622"/>
    <Relationship TargetMode="External" Target="https://www.legis.iowa.gov/docs/iac/rule/567.135.5.pdf" Type="http://schemas.openxmlformats.org/officeDocument/2006/relationships/hyperlink" Id="rId623"/>
    <Relationship TargetMode="External" Target="https://www.legis.iowa.gov/docs/iac/rule/567.135.5.pdf" Type="http://schemas.openxmlformats.org/officeDocument/2006/relationships/hyperlink" Id="rId624"/>
    <Relationship TargetMode="External" Target="https://www.legis.iowa.gov/docs/iac/rule/567.135.5.pdf" Type="http://schemas.openxmlformats.org/officeDocument/2006/relationships/hyperlink" Id="rId625"/>
    <Relationship TargetMode="External" Target="https://www.legis.iowa.gov/docs/iac/rule/567.135.4.pdf" Type="http://schemas.openxmlformats.org/officeDocument/2006/relationships/hyperlink" Id="rId626"/>
    <Relationship TargetMode="External" Target="https://www.legis.iowa.gov/docs/iac/chapter/567.136.pdf" Type="http://schemas.openxmlformats.org/officeDocument/2006/relationships/hyperlink" Id="rId627"/>
    <Relationship TargetMode="External" Target="https://www.legis.iowa.gov/docs/iac/rule/567.135.15.pdf" Type="http://schemas.openxmlformats.org/officeDocument/2006/relationships/hyperlink" Id="rId628"/>
    <Relationship TargetMode="External" Target="https://www.legis.iowa.gov/docs/iac/rule/567.135.15.pdf" Type="http://schemas.openxmlformats.org/officeDocument/2006/relationships/hyperlink" Id="rId629"/>
    <Relationship TargetMode="External" Target="https://www.legis.iowa.gov/docs/iac/rule/567.135.15.pdf" Type="http://schemas.openxmlformats.org/officeDocument/2006/relationships/hyperlink" Id="rId630"/>
    <Relationship TargetMode="External" Target="https://www.legis.iowa.gov/docs/iac/rule/567.135.15.pdf" Type="http://schemas.openxmlformats.org/officeDocument/2006/relationships/hyperlink" Id="rId631"/>
    <Relationship TargetMode="External" Target="https://www.legis.iowa.gov/docs/iac/rule/567.135.15.pdf" Type="http://schemas.openxmlformats.org/officeDocument/2006/relationships/hyperlink" Id="rId632"/>
    <Relationship TargetMode="External" Target="https://www.legis.iowa.gov/docs/iac/chapter/567.134.pdf" Type="http://schemas.openxmlformats.org/officeDocument/2006/relationships/hyperlink" Id="rId633"/>
    <Relationship TargetMode="External" Target="https://www.legis.iowa.gov/docs/iac/rule/567.135.16.pdf" Type="http://schemas.openxmlformats.org/officeDocument/2006/relationships/hyperlink" Id="rId634"/>
    <Relationship TargetMode="External" Target="https://www.legis.iowa.gov/docs/iac/rule/567.135.16.pdf" Type="http://schemas.openxmlformats.org/officeDocument/2006/relationships/hyperlink" Id="rId635"/>
    <Relationship TargetMode="External" Target="https://www.legis.iowa.gov/docs/iac/chapter/567.83.pdf" Type="http://schemas.openxmlformats.org/officeDocument/2006/relationships/hyperlink" Id="rId636"/>
    <Relationship TargetMode="External" Target="https://www.legis.iowa.gov/docs/iac/rule/567.135.15.pdf" Type="http://schemas.openxmlformats.org/officeDocument/2006/relationships/hyperlink" Id="rId637"/>
    <Relationship TargetMode="External" Target="https://www.legis.iowa.gov/docs/iac/rule/567.135.5.pdf" Type="http://schemas.openxmlformats.org/officeDocument/2006/relationships/hyperlink" Id="rId638"/>
    <Relationship TargetMode="External" Target="https://www.legis.iowa.gov/docs/iac/rule/567.135.5.pdf" Type="http://schemas.openxmlformats.org/officeDocument/2006/relationships/hyperlink" Id="rId639"/>
    <Relationship TargetMode="External" Target="https://www.legis.iowa.gov/docs/iac/rule/567.135.6.pdf" Type="http://schemas.openxmlformats.org/officeDocument/2006/relationships/hyperlink" Id="rId640"/>
    <Relationship TargetMode="External" Target="https://www.legis.iowa.gov/docs/iac/rule/567.135.7.pdf" Type="http://schemas.openxmlformats.org/officeDocument/2006/relationships/hyperlink" Id="rId641"/>
    <Relationship TargetMode="External" Target="https://www.legis.iowa.gov/docs/iac/rule/567.135.12.pdf" Type="http://schemas.openxmlformats.org/officeDocument/2006/relationships/hyperlink" Id="rId642"/>
    <Relationship TargetMode="External" Target="https://www.legis.iowa.gov/docs/iac/rule/567.135.7.pdf" Type="http://schemas.openxmlformats.org/officeDocument/2006/relationships/hyperlink" Id="rId643"/>
    <Relationship TargetMode="External" Target="https://www.legis.iowa.gov/docs/iac/rule/567.135.15.pdf" Type="http://schemas.openxmlformats.org/officeDocument/2006/relationships/hyperlink" Id="rId644"/>
    <Relationship TargetMode="External" Target="https://www.legis.iowa.gov/docs/iac/rule/567.135.15.pdf" Type="http://schemas.openxmlformats.org/officeDocument/2006/relationships/hyperlink" Id="rId645"/>
    <Relationship TargetMode="External" Target="https://www.legis.iowa.gov/docs/iac/rule/567.135.6.pdf" Type="http://schemas.openxmlformats.org/officeDocument/2006/relationships/hyperlink" Id="rId646"/>
    <Relationship TargetMode="External" Target="https://www.legis.iowa.gov/docs/iac/rule/567.135.16.pdf" Type="http://schemas.openxmlformats.org/officeDocument/2006/relationships/hyperlink" Id="rId647"/>
    <Relationship TargetMode="External" Target="https://www.legis.iowa.gov/docs/iac/rule/567.135.12.pdf" Type="http://schemas.openxmlformats.org/officeDocument/2006/relationships/hyperlink" Id="rId648"/>
    <Relationship TargetMode="External" Target="https://www.legis.iowa.gov/docs/iac/chapter/567.100.pdf" Type="http://schemas.openxmlformats.org/officeDocument/2006/relationships/hyperlink" Id="rId649"/>
    <Relationship TargetMode="External" Target="https://www.legis.iowa.gov/docs/iac/chapter/567.101.pdf" Type="http://schemas.openxmlformats.org/officeDocument/2006/relationships/hyperlink" Id="rId650"/>
    <Relationship TargetMode="External" Target="https://www.legis.iowa.gov/docs/iac/chapter/567.102.pdf" Type="http://schemas.openxmlformats.org/officeDocument/2006/relationships/hyperlink" Id="rId651"/>
    <Relationship TargetMode="External" Target="https://www.legis.iowa.gov/docs/iac/chapter/567.120.pdf" Type="http://schemas.openxmlformats.org/officeDocument/2006/relationships/hyperlink" Id="rId652"/>
    <Relationship TargetMode="External" Target="https://www.legis.iowa.gov/docs/iac/chapter/567.121.pdf" Type="http://schemas.openxmlformats.org/officeDocument/2006/relationships/hyperlink" Id="rId653"/>
    <Relationship TargetMode="External" Target="https://www.legis.iowa.gov/docs/iac/rule/567.135.15.pdf" Type="http://schemas.openxmlformats.org/officeDocument/2006/relationships/hyperlink" Id="rId654"/>
    <Relationship TargetMode="External" Target="https://www.legis.iowa.gov/docs/iac/rule/567.135.4.pdf" Type="http://schemas.openxmlformats.org/officeDocument/2006/relationships/hyperlink" Id="rId655"/>
    <Relationship TargetMode="External" Target="https://www.legis.iowa.gov/docs/iac/rule/567.135.15.pdf" Type="http://schemas.openxmlformats.org/officeDocument/2006/relationships/hyperlink" Id="rId656"/>
    <Relationship TargetMode="External" Target="https://www.legis.iowa.gov/docs/iac/rule/567.135.15.pdf" Type="http://schemas.openxmlformats.org/officeDocument/2006/relationships/hyperlink" Id="rId657"/>
    <Relationship TargetMode="External" Target="https://www.legis.iowa.gov/docs/iac/rule/567.135.15.pdf" Type="http://schemas.openxmlformats.org/officeDocument/2006/relationships/hyperlink" Id="rId658"/>
    <Relationship TargetMode="External" Target="https://www.legis.iowa.gov/docs/iac/rule/567.135.6.pdf" Type="http://schemas.openxmlformats.org/officeDocument/2006/relationships/hyperlink" Id="rId659"/>
    <Relationship TargetMode="External" Target="https://www.legis.iowa.gov/docs/iac/rule/567.135.7.pdf" Type="http://schemas.openxmlformats.org/officeDocument/2006/relationships/hyperlink" Id="rId660"/>
    <Relationship TargetMode="External" Target="https://www.legis.iowa.gov/docs/iac/rule/567.135.12.pdf" Type="http://schemas.openxmlformats.org/officeDocument/2006/relationships/hyperlink" Id="rId661"/>
    <Relationship TargetMode="External" Target="https://www.legis.iowa.gov/docs/iac/chapter/567.83.pdf" Type="http://schemas.openxmlformats.org/officeDocument/2006/relationships/hyperlink" Id="rId662"/>
    <Relationship TargetMode="External" Target="https://www.legis.iowa.gov/docs/iac/chapter/567.83.pdf" Type="http://schemas.openxmlformats.org/officeDocument/2006/relationships/hyperlink" Id="rId663"/>
    <Relationship TargetMode="External" Target="https://www.legis.iowa.gov/docs/iac/rule/567.135.15.pdf" Type="http://schemas.openxmlformats.org/officeDocument/2006/relationships/hyperlink" Id="rId664"/>
    <Relationship TargetMode="External" Target="https://www.legis.iowa.gov/docs/iac/rule/567.135.6.pdf" Type="http://schemas.openxmlformats.org/officeDocument/2006/relationships/hyperlink" Id="rId665"/>
    <Relationship TargetMode="External" Target="https://www.legis.iowa.gov/docs/iac/rule/567.135.9.pdf" Type="http://schemas.openxmlformats.org/officeDocument/2006/relationships/hyperlink" Id="rId666"/>
    <Relationship TargetMode="External" Target="https://www.legis.iowa.gov/docs/iac/rule/567.135.11.pdf" Type="http://schemas.openxmlformats.org/officeDocument/2006/relationships/hyperlink" Id="rId667"/>
    <Relationship TargetMode="External" Target="https://www.legis.iowa.gov/docs/iac/chapter/567.83.pdf" Type="http://schemas.openxmlformats.org/officeDocument/2006/relationships/hyperlink" Id="rId668"/>
    <Relationship TargetMode="External" Target="https://www.legis.iowa.gov/docs/iac/rule/567.135.7.pdf" Type="http://schemas.openxmlformats.org/officeDocument/2006/relationships/hyperlink" Id="rId669"/>
    <Relationship TargetMode="External" Target="https://www.legis.iowa.gov/docs/iac/rule/567.135.12.pdf" Type="http://schemas.openxmlformats.org/officeDocument/2006/relationships/hyperlink" Id="rId670"/>
    <Relationship TargetMode="External" Target="https://www.legis.iowa.gov/docs/iac/rule/567.135.15.pdf" Type="http://schemas.openxmlformats.org/officeDocument/2006/relationships/hyperlink" Id="rId671"/>
    <Relationship TargetMode="External" Target="https://www.legis.iowa.gov/docs/ico/chapter/455B.pdf" Type="http://schemas.openxmlformats.org/officeDocument/2006/relationships/hyperlink" Id="rId672"/>
    <Relationship TargetMode="External" Target="https://www.legis.iowa.gov/docs/iac/rule/567.135.8.pdf" Type="http://schemas.openxmlformats.org/officeDocument/2006/relationships/hyperlink" Id="rId673"/>
    <Relationship TargetMode="External" Target="https://www.legis.iowa.gov/docs/iac/rule/567.135.12.pdf" Type="http://schemas.openxmlformats.org/officeDocument/2006/relationships/hyperlink" Id="rId674"/>
    <Relationship TargetMode="External" Target="https://www.legis.iowa.gov/docs/iac/rule/567.135.15.pdf" Type="http://schemas.openxmlformats.org/officeDocument/2006/relationships/hyperlink" Id="rId675"/>
    <Relationship TargetMode="External" Target="https://www.legis.iowa.gov/docs/iac/rule/567.135.6.pdf" Type="http://schemas.openxmlformats.org/officeDocument/2006/relationships/hyperlink" Id="rId676"/>
    <Relationship TargetMode="External" Target="https://www.legis.iowa.gov/docs/iac/rule/567.135.18.pdf" Type="http://schemas.openxmlformats.org/officeDocument/2006/relationships/hyperlink" Id="rId677"/>
    <Relationship TargetMode="External" Target="https://www.legis.iowa.gov/docs/iac/chapter/567.134.pdf" Type="http://schemas.openxmlformats.org/officeDocument/2006/relationships/hyperlink" Id="rId678"/>
    <Relationship TargetMode="External" Target="https://www.legis.iowa.gov/docs/iac/rule/567.134.10.pdf" Type="http://schemas.openxmlformats.org/officeDocument/2006/relationships/hyperlink" Id="rId679"/>
    <Relationship TargetMode="External" Target="https://www.legis.iowa.gov/docs/iac/rule/567.135.6.pdf" Type="http://schemas.openxmlformats.org/officeDocument/2006/relationships/hyperlink" Id="rId680"/>
    <Relationship TargetMode="External" Target="https://www.legis.iowa.gov/docs/iac/rule/567.134.10.pdf" Type="http://schemas.openxmlformats.org/officeDocument/2006/relationships/hyperlink" Id="rId681"/>
    <Relationship TargetMode="External" Target="https://www.legis.iowa.gov/docs/iac/rule/567.134.10.pdf" Type="http://schemas.openxmlformats.org/officeDocument/2006/relationships/hyperlink" Id="rId682"/>
    <Relationship TargetMode="External" Target="https://www.legis.iowa.gov/docs/ico/chapter/17A.pdf" Type="http://schemas.openxmlformats.org/officeDocument/2006/relationships/hyperlink" Id="rId683"/>
    <Relationship TargetMode="External" Target="https://www.legis.iowa.gov/docs/iac/chapter/7.2504.pdf" Type="http://schemas.openxmlformats.org/officeDocument/2006/relationships/hyperlink" Id="rId684"/>
    <Relationship TargetMode="External" Target="https://www.legis.iowa.gov/docs/ico/chapter/455B.304.pdf" Type="http://schemas.openxmlformats.org/officeDocument/2006/relationships/hyperlink" Id="rId685"/>
    <Relationship TargetMode="External" Target="https://www.legis.iowa.gov/docs/ico/chapter/455B.424.pdf" Type="http://schemas.openxmlformats.org/officeDocument/2006/relationships/hyperlink" Id="rId686"/>
    <Relationship TargetMode="External" Target="https://www.legis.iowa.gov/docs/ico/chapter/455B.474.pdf" Type="http://schemas.openxmlformats.org/officeDocument/2006/relationships/hyperlink" Id="rId687"/>
    <Relationship TargetMode="External" Target="https://www.legis.iowa.gov/docs/iac/rule/567.135.2.pdf" Type="http://schemas.openxmlformats.org/officeDocument/2006/relationships/hyperlink" Id="rId688"/>
    <Relationship Target="media/document_image_rId689.png" Type="http://schemas.openxmlformats.org/officeDocument/2006/relationships/image" Id="rId689"/>
    <Relationship Target="media/document_image_rId690.png" Type="http://schemas.openxmlformats.org/officeDocument/2006/relationships/image" Id="rId690"/>
    <Relationship Target="media/document_image_rId691.png" Type="http://schemas.openxmlformats.org/officeDocument/2006/relationships/image" Id="rId691"/>
    <Relationship Target="media/document_image_rId692.png" Type="http://schemas.openxmlformats.org/officeDocument/2006/relationships/image" Id="rId692"/>
    <Relationship Target="media/document_image_rId693.png" Type="http://schemas.openxmlformats.org/officeDocument/2006/relationships/image" Id="rId693"/>
    <Relationship Target="media/document_image_rId694.png" Type="http://schemas.openxmlformats.org/officeDocument/2006/relationships/image" Id="rId694"/>
    <Relationship Target="media/document_image_rId695.png" Type="http://schemas.openxmlformats.org/officeDocument/2006/relationships/image" Id="rId695"/>
    <Relationship Target="media/document_image_rId696.png" Type="http://schemas.openxmlformats.org/officeDocument/2006/relationships/image" Id="rId696"/>
    <Relationship Target="media/document_image_rId697.png" Type="http://schemas.openxmlformats.org/officeDocument/2006/relationships/image" Id="rId697"/>
    <Relationship Target="media/document_image_rId698.png" Type="http://schemas.openxmlformats.org/officeDocument/2006/relationships/image" Id="rId698"/>
    <Relationship Target="media/document_image_rId699.png" Type="http://schemas.openxmlformats.org/officeDocument/2006/relationships/image" Id="rId699"/>
    <Relationship TargetMode="External" Target="https://www.legis.iowa.gov/docs/iac/rule/567.135.10.pdf" Type="http://schemas.openxmlformats.org/officeDocument/2006/relationships/hyperlink" Id="rId700"/>
    <Relationship Target="media/document_image_rId701.png" Type="http://schemas.openxmlformats.org/officeDocument/2006/relationships/image" Id="rId701"/>
    <Relationship Target="media/document_image_rId702.png" Type="http://schemas.openxmlformats.org/officeDocument/2006/relationships/image" Id="rId702"/>
    <Relationship Target="media/document_image_rId703.png" Type="http://schemas.openxmlformats.org/officeDocument/2006/relationships/image" Id="rId703"/>
    <Relationship Target="media/document_image_rId704.png" Type="http://schemas.openxmlformats.org/officeDocument/2006/relationships/image" Id="rId704"/>
    <Relationship Target="media/document_image_rId705.png" Type="http://schemas.openxmlformats.org/officeDocument/2006/relationships/image" Id="rId705"/>
    <Relationship Target="media/document_image_rId706.png" Type="http://schemas.openxmlformats.org/officeDocument/2006/relationships/image" Id="rId706"/>
    <Relationship Target="media/document_image_rId707.png" Type="http://schemas.openxmlformats.org/officeDocument/2006/relationships/image" Id="rId707"/>
    <Relationship Target="media/document_image_rId708.png" Type="http://schemas.openxmlformats.org/officeDocument/2006/relationships/image" Id="rId708"/>
    <Relationship Target="media/document_image_rId709.png" Type="http://schemas.openxmlformats.org/officeDocument/2006/relationships/image" Id="rId709"/>
    <Relationship Target="media/document_image_rId710.png" Type="http://schemas.openxmlformats.org/officeDocument/2006/relationships/image" Id="rId710"/>
    <Relationship Target="media/document_image_rId711.png" Type="http://schemas.openxmlformats.org/officeDocument/2006/relationships/image" Id="rId711"/>
    <Relationship Target="media/document_image_rId712.png" Type="http://schemas.openxmlformats.org/officeDocument/2006/relationships/image" Id="rId712"/>
    <Relationship Target="media/document_image_rId713.png" Type="http://schemas.openxmlformats.org/officeDocument/2006/relationships/image" Id="rId713"/>
    <Relationship Target="media/document_image_rId714.png" Type="http://schemas.openxmlformats.org/officeDocument/2006/relationships/image" Id="rId714"/>
    <Relationship Target="media/document_image_rId715.png" Type="http://schemas.openxmlformats.org/officeDocument/2006/relationships/image" Id="rId715"/>
    <Relationship Target="media/document_image_rId716.png" Type="http://schemas.openxmlformats.org/officeDocument/2006/relationships/image" Id="rId716"/>
    <Relationship Target="media/document_image_rId717.png" Type="http://schemas.openxmlformats.org/officeDocument/2006/relationships/image" Id="rId717"/>
    <Relationship TargetMode="External" Target="https://www.legis.iowa.gov/docs/iac/rule/567.135.10.pdf" Type="http://schemas.openxmlformats.org/officeDocument/2006/relationships/hyperlink" Id="rId718"/>
    <Relationship Target="footer.xml" Type="http://schemas.openxmlformats.org/officeDocument/2006/relationships/footer" Id="rId7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