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15.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85D" w:id="1"/>
    <w:p>
      <w:pPr>
        <w:spacing w:before="0" w:after="0" w:line="480"/>
        <w:ind w:left="120"/>
        <w:jc w:val="right"/>
      </w:pPr>
      <w:r>
        <w:rPr>
          <w:rFonts w:ascii="Times New Roman" w:hAnsi="Times New Roman"/>
          <w:b/>
          <w:i w:val="false"/>
          <w:color w:val="000000"/>
          <w:sz w:val="28"/>
        </w:rPr>
        <w:t>ARC 0485D</w:t>
      </w:r>
    </w:p>
    <w:bookmarkEnd w:id="1"/>
    <w:p>
      <w:pPr>
        <w:pBdr>
          <w:top w:space="5"/>
        </w:pBdr>
        <w:spacing w:before="0" w:after="0" w:line="480"/>
        <w:ind w:left="120"/>
        <w:jc w:val="center"/>
      </w:pPr>
      <w:r>
        <w:rPr>
          <w:rFonts w:ascii="Times New Roman" w:hAnsi="Times New Roman"/>
          <w:b/>
          <w:i w:val="false"/>
          <w:color w:val="000000"/>
          <w:sz w:val="28"/>
        </w:rPr>
        <w:t>ENVIRONMENTAL PROTECTION COMMISSION[567]</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 xml:space="preserve">Rulemaking related to solid waste comprehensive planning </w:t>
      </w:r>
      <w:r>
        <w:br/>
      </w:r>
      <w:r>
        <w:rPr>
          <w:rFonts w:ascii="Times New Roman" w:hAnsi="Times New Roman"/>
          <w:b/>
          <w:i w:val="false"/>
          <w:color w:val="000000"/>
          <w:sz w:val="24"/>
        </w:rPr>
        <w:t>and environmental management system requirements</w:t>
      </w:r>
    </w:p>
    <w:p>
      <w:pPr>
        <w:pBdr>
          <w:top w:space="5"/>
        </w:pBdr>
        <w:spacing w:before="0" w:after="0" w:line="480"/>
        <w:ind w:left="120"/>
        <w:jc w:val="both"/>
      </w:pPr>
      <w:r>
        <w:rPr>
          <w:rFonts w:ascii="Times New Roman" w:hAnsi="Times New Roman"/>
          <w:b w:val="false"/>
          <w:i w:val="false"/>
          <w:color w:val="000000"/>
          <w:sz w:val="24"/>
        </w:rPr>
        <w:t>    The Environmental Protection Commission (Commission) hereby adopts new Chapter 104, “Solid Waste Comprehensive Planning and Environmental Management System Requirements,” and rescinds Chapter 111, “Annual Reports of Solid Waste Environmental Management Systems,”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455A.6 and 455J.2.</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455J and sections 455B.301A, 455B.302, 455B.306, 455B.310 and 455D.3.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Chapter 104 is a consolidation of existing 567—Chapters 101 and 111. These chapters were reviewed, simplified, and consolidated consistent with Executive Order 10. The purpose of the chapter is to provide direction and clarity for comprehensive planning and environmental management system requirements and criteria.  </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9929C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30,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July 21,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Commission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September 23,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567—Chapter 104</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104</w:t>
      </w:r>
    </w:p>
    <w:p>
      <w:pPr>
        <w:spacing w:before="0" w:after="0" w:line="480"/>
        <w:ind w:left="120"/>
        <w:jc w:val="center"/>
      </w:pPr>
      <w:r>
        <w:rPr>
          <w:rFonts w:ascii="Times New Roman" w:hAnsi="Times New Roman"/>
          <w:b w:val="false"/>
          <w:i w:val="false"/>
          <w:color w:val="000000"/>
          <w:sz w:val="21"/>
        </w:rPr>
        <w:t xml:space="preserve">SOLID WASTE COMPREHENSIVE PLANNING AND </w:t>
      </w:r>
      <w:r>
        <w:br/>
      </w:r>
      <w:r>
        <w:rPr>
          <w:rFonts w:ascii="Times New Roman" w:hAnsi="Times New Roman"/>
          <w:b w:val="false"/>
          <w:i w:val="false"/>
          <w:color w:val="000000"/>
          <w:sz w:val="21"/>
        </w:rPr>
        <w:t>ENVIRONMENTAL MANAGEMENT SYSTEM REQUIREMENTS</w:t>
      </w:r>
    </w:p>
    <w:p>
      <w:pPr>
        <w:spacing w:before="210" w:after="0" w:line="480"/>
        <w:ind w:left="120"/>
        <w:jc w:val="both"/>
      </w:pPr>
      <w:r>
        <w:rPr>
          <w:rFonts w:ascii="Times New Roman" w:hAnsi="Times New Roman"/>
          <w:b/>
          <w:i w:val="false"/>
          <w:color w:val="000000"/>
          <w:sz w:val="24"/>
        </w:rPr>
        <w:t>567—104.1</w:t>
      </w:r>
      <w:r>
        <w:rPr>
          <w:rFonts w:ascii="Times New Roman" w:hAnsi="Times New Roman"/>
          <w:b/>
          <w:i w:val="false"/>
          <w:color w:val="000000"/>
          <w:sz w:val="24"/>
        </w:rPr>
        <w:t xml:space="preserve">(455B,455D,455J) </w:t>
      </w:r>
      <w:r>
        <w:rPr>
          <w:rFonts w:ascii="Times New Roman" w:hAnsi="Times New Roman"/>
          <w:b/>
          <w:i w:val="false"/>
          <w:color w:val="000000"/>
          <w:sz w:val="24"/>
        </w:rPr>
        <w:t xml:space="preserve">Purpose. </w:t>
      </w:r>
      <w:r>
        <w:rPr>
          <w:rFonts w:ascii="Times New Roman" w:hAnsi="Times New Roman"/>
          <w:b w:val="false"/>
          <w:i w:val="false"/>
          <w:color w:val="000000"/>
          <w:sz w:val="24"/>
        </w:rPr>
        <w:t>The purpose of these rules is to provide general definitions and direction for comprehensive integrated solid waste management planning for every city and county of this state and to provide an orderly and efficient process for the assessment and collection of fees for the disposal of solid waste at a sanitary landfill. This chapter also establishes methods and criteria for the environmental management system program, a voluntary alternative to comprehensive planning for planning areas or service areas. All rules, standards, technical guidance, and other similar legal or technical documents referenced in this chapter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480"/>
        <w:ind w:left="120"/>
        <w:jc w:val="both"/>
      </w:pPr>
      <w:r>
        <w:rPr>
          <w:rFonts w:ascii="Times New Roman" w:hAnsi="Times New Roman"/>
          <w:b/>
          <w:i w:val="false"/>
          <w:color w:val="000000"/>
          <w:sz w:val="24"/>
        </w:rPr>
        <w:t>567—104.2</w:t>
      </w:r>
      <w:r>
        <w:rPr>
          <w:rFonts w:ascii="Times New Roman" w:hAnsi="Times New Roman"/>
          <w:b/>
          <w:i w:val="false"/>
          <w:color w:val="000000"/>
          <w:sz w:val="24"/>
        </w:rPr>
        <w:t xml:space="preserve">(28E,455B,455D,455J)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chapter, the following definitions; the definitions in </w:t>
      </w:r>
      <w:hyperlink r:id="rId5">
        <w:r>
          <w:rPr>
            <w:rStyle w:val="Hyperlink"/>
            <w:rFonts w:ascii="Times New Roman" w:hAnsi="Times New Roman"/>
            <w:b w:val="false"/>
            <w:i w:val="false"/>
            <w:color w:val="000000"/>
            <w:sz w:val="24"/>
          </w:rPr>
          <w:t>567—Chapter 100</w:t>
        </w:r>
      </w:hyperlink>
      <w:r>
        <w:rPr>
          <w:rFonts w:ascii="Times New Roman" w:hAnsi="Times New Roman"/>
          <w:b w:val="false"/>
          <w:i w:val="false"/>
          <w:color w:val="000000"/>
          <w:sz w:val="24"/>
        </w:rPr>
        <w:t xml:space="preserve">; and the definitions in Iowa Code chapters </w:t>
      </w:r>
      <w:hyperlink r:id="rId6">
        <w:r>
          <w:rPr>
            <w:rStyle w:val="Hyperlink"/>
            <w:rFonts w:ascii="Times New Roman" w:hAnsi="Times New Roman"/>
            <w:b w:val="false"/>
            <w:i w:val="false"/>
            <w:color w:val="000000"/>
            <w:sz w:val="24"/>
          </w:rPr>
          <w:t>28E</w:t>
        </w:r>
      </w:hyperlink>
      <w:r>
        <w:rPr>
          <w:rFonts w:ascii="Times New Roman" w:hAnsi="Times New Roman"/>
          <w:b w:val="false"/>
          <w:i w:val="false"/>
          <w:color w:val="000000"/>
          <w:sz w:val="24"/>
        </w:rPr>
        <w:t xml:space="preserve">, </w:t>
      </w:r>
      <w:hyperlink r:id="rId7">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xml:space="preserve">, </w:t>
      </w:r>
      <w:hyperlink r:id="rId8">
        <w:r>
          <w:rPr>
            <w:rStyle w:val="Hyperlink"/>
            <w:rFonts w:ascii="Times New Roman" w:hAnsi="Times New Roman"/>
            <w:b w:val="false"/>
            <w:i w:val="false"/>
            <w:color w:val="000000"/>
            <w:sz w:val="24"/>
          </w:rPr>
          <w:t>455D</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455J</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“Annual compliance report”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“annual report”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required submittal to the department that documents an environmental management system’s compliance with the requirements of Iowa Code section </w:t>
      </w:r>
      <w:hyperlink r:id="rId10">
        <w:r>
          <w:rPr>
            <w:rStyle w:val="Hyperlink"/>
            <w:rFonts w:ascii="Times New Roman" w:hAnsi="Times New Roman"/>
            <w:b w:val="false"/>
            <w:i w:val="false"/>
            <w:color w:val="000000"/>
            <w:sz w:val="24"/>
          </w:rPr>
          <w:t>455J.3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“Solid waste agency”</w:t>
      </w:r>
      <w:r>
        <w:rPr>
          <w:rFonts w:ascii="Times New Roman" w:hAnsi="Times New Roman"/>
          <w:b w:val="false"/>
          <w:i w:val="false"/>
          <w:color w:val="000000"/>
          <w:sz w:val="24"/>
        </w:rPr>
        <w:t> </w:t>
      </w:r>
      <w:r>
        <w:rPr>
          <w:rFonts w:ascii="Times New Roman" w:hAnsi="Times New Roman"/>
          <w:b w:val="false"/>
          <w:i w:val="false"/>
          <w:color w:val="000000"/>
          <w:sz w:val="24"/>
        </w:rPr>
        <w:t>means an established private or public, or private and public, agency for the purpose of managing solid waste, implementing integrated solid waste management systems on behalf of cities and counties, or both.</w:t>
      </w:r>
    </w:p>
    <w:p>
      <w:pPr>
        <w:spacing w:before="0" w:after="0" w:line="480"/>
        <w:ind w:left="120"/>
        <w:jc w:val="both"/>
      </w:pPr>
      <w:r>
        <w:rPr>
          <w:rFonts w:ascii="Times New Roman" w:hAnsi="Times New Roman"/>
          <w:b/>
          <w:i w:val="false"/>
          <w:color w:val="000000"/>
          <w:sz w:val="24"/>
        </w:rPr>
        <w:t>567—104.3</w:t>
      </w:r>
      <w:r>
        <w:rPr>
          <w:rFonts w:ascii="Times New Roman" w:hAnsi="Times New Roman"/>
          <w:b/>
          <w:i w:val="false"/>
          <w:color w:val="000000"/>
          <w:sz w:val="24"/>
        </w:rPr>
        <w:t xml:space="preserve">(455B,455D) </w:t>
      </w:r>
      <w:r>
        <w:rPr>
          <w:rFonts w:ascii="Times New Roman" w:hAnsi="Times New Roman"/>
          <w:b/>
          <w:i w:val="false"/>
          <w:color w:val="000000"/>
          <w:sz w:val="24"/>
        </w:rPr>
        <w:t xml:space="preserve">Duties of cities and counties.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104.3(1)</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any requirements in the Iowa Code, including Iowa Code section </w:t>
      </w:r>
      <w:hyperlink r:id="rId11">
        <w:r>
          <w:rPr>
            <w:rStyle w:val="Hyperlink"/>
            <w:rFonts w:ascii="Times New Roman" w:hAnsi="Times New Roman"/>
            <w:b w:val="false"/>
            <w:i w:val="false"/>
            <w:color w:val="000000"/>
            <w:sz w:val="24"/>
          </w:rPr>
          <w:t>455B.302</w:t>
        </w:r>
      </w:hyperlink>
      <w:r>
        <w:rPr>
          <w:rFonts w:ascii="Times New Roman" w:hAnsi="Times New Roman"/>
          <w:b w:val="false"/>
          <w:i w:val="false"/>
          <w:color w:val="000000"/>
          <w:sz w:val="24"/>
        </w:rPr>
        <w:t>, all cities, counties and solid waste agencies shall demonstrate compliance with the provisions of this chapter by either participating in a comprehensive plan approved by the department or being within the planning or service area of an environmental management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104.3(2)</w:t>
      </w:r>
      <w:r>
        <w:rPr>
          <w:rFonts w:ascii="Times New Roman" w:hAnsi="Times New Roman"/>
          <w:b w:val="false"/>
          <w:i w:val="false"/>
          <w:color w:val="000000"/>
          <w:sz w:val="24"/>
        </w:rPr>
        <w:t> </w:t>
      </w:r>
      <w:r>
        <w:rPr>
          <w:rFonts w:ascii="Times New Roman" w:hAnsi="Times New Roman"/>
          <w:b w:val="false"/>
          <w:i w:val="false"/>
          <w:color w:val="000000"/>
          <w:sz w:val="24"/>
        </w:rPr>
        <w:t>If a planning agency refuses any particular solid waste type for management or disposal, the planning agency must identify another municipal solid waste sanitary disposal project for that waste within the planning area. If no other municipal solid waste sanitary disposal project exists within the planning area, the planning agency must, in cooperation with the waste generator, establish or arrange for access to another municipal solid waste sanitary disposal project. Municipal solid waste sanitary disposal projects are required to maintain written approval from both the department and the planning agency in the planning area of origin in order to accept any Iowa-generated waste from outside the planning area.</w:t>
      </w:r>
    </w:p>
    <w:p>
      <w:pPr>
        <w:spacing w:before="210" w:after="0" w:line="480"/>
        <w:ind w:left="120"/>
        <w:jc w:val="both"/>
      </w:pPr>
      <w:r>
        <w:rPr>
          <w:rFonts w:ascii="Times New Roman" w:hAnsi="Times New Roman"/>
          <w:b/>
          <w:i w:val="false"/>
          <w:color w:val="000000"/>
          <w:sz w:val="24"/>
        </w:rPr>
        <w:t>567—104.4</w:t>
      </w:r>
      <w:r>
        <w:rPr>
          <w:rFonts w:ascii="Times New Roman" w:hAnsi="Times New Roman"/>
          <w:b/>
          <w:i w:val="false"/>
          <w:color w:val="000000"/>
          <w:sz w:val="24"/>
        </w:rPr>
        <w:t xml:space="preserve">(455B,455D,455J) </w:t>
      </w:r>
      <w:r>
        <w:rPr>
          <w:rFonts w:ascii="Times New Roman" w:hAnsi="Times New Roman"/>
          <w:b/>
          <w:i w:val="false"/>
          <w:color w:val="000000"/>
          <w:sz w:val="24"/>
        </w:rPr>
        <w:t xml:space="preserve">State volume reduction and recycling goals. </w:t>
      </w:r>
      <w:r>
        <w:rPr>
          <w:rFonts w:ascii="Times New Roman" w:hAnsi="Times New Roman"/>
          <w:b w:val="false"/>
          <w:i w:val="false"/>
          <w:color w:val="000000"/>
          <w:sz w:val="24"/>
        </w:rPr>
        <w:t xml:space="preserve">The goal of the state is to reduce the amount of materials in the waste stream, existing as of July 1, 1988, by an intermediate goal of 25 percent, and by a final goal of at least 50 percent, through the practice of waste volume reduction at the source and through recycling. The updated goal progress calculations provided by the department for each planning area shall be used by the department in reporting to the general assembly on the state’s progress toward meeting the 25 and 50 percent goals. The specific methodology for determining goal progress is outlined in </w:t>
      </w:r>
      <w:hyperlink r:id="rId12">
        <w:r>
          <w:rPr>
            <w:rStyle w:val="Hyperlink"/>
            <w:rFonts w:ascii="Times New Roman" w:hAnsi="Times New Roman"/>
            <w:b w:val="false"/>
            <w:i w:val="false"/>
            <w:color w:val="000000"/>
            <w:sz w:val="24"/>
          </w:rPr>
          <w:t>567—104.5</w:t>
        </w:r>
      </w:hyperlink>
      <w:r>
        <w:rPr>
          <w:rFonts w:ascii="Times New Roman" w:hAnsi="Times New Roman"/>
          <w:b w:val="false"/>
          <w:i w:val="false"/>
          <w:color w:val="000000"/>
          <w:sz w:val="24"/>
        </w:rPr>
        <w:t xml:space="preserve">(455B,455D). A planning area designated as an environmental management system pursuant to Iowa Code section </w:t>
      </w:r>
      <w:hyperlink r:id="rId13">
        <w:r>
          <w:rPr>
            <w:rStyle w:val="Hyperlink"/>
            <w:rFonts w:ascii="Times New Roman" w:hAnsi="Times New Roman"/>
            <w:b w:val="false"/>
            <w:i w:val="false"/>
            <w:color w:val="000000"/>
            <w:sz w:val="24"/>
          </w:rPr>
          <w:t>455J.7</w:t>
        </w:r>
      </w:hyperlink>
      <w:r>
        <w:rPr>
          <w:rFonts w:ascii="Times New Roman" w:hAnsi="Times New Roman"/>
          <w:b w:val="false"/>
          <w:i w:val="false"/>
          <w:color w:val="000000"/>
          <w:sz w:val="24"/>
        </w:rPr>
        <w:t xml:space="preserve"> is exempt from the waste stream reduction goals of this rule.</w:t>
      </w:r>
    </w:p>
    <w:p>
      <w:pPr>
        <w:spacing w:before="0" w:after="0" w:line="480"/>
        <w:ind w:left="120"/>
        <w:jc w:val="both"/>
      </w:pPr>
      <w:r>
        <w:rPr>
          <w:rFonts w:ascii="Times New Roman" w:hAnsi="Times New Roman"/>
          <w:b/>
          <w:i w:val="false"/>
          <w:color w:val="000000"/>
          <w:sz w:val="24"/>
        </w:rPr>
        <w:t>567—104.5</w:t>
      </w:r>
      <w:r>
        <w:rPr>
          <w:rFonts w:ascii="Times New Roman" w:hAnsi="Times New Roman"/>
          <w:b/>
          <w:i w:val="false"/>
          <w:color w:val="000000"/>
          <w:sz w:val="24"/>
        </w:rPr>
        <w:t xml:space="preserve">(455B,455D) </w:t>
      </w:r>
      <w:r>
        <w:rPr>
          <w:rFonts w:ascii="Times New Roman" w:hAnsi="Times New Roman"/>
          <w:b/>
          <w:i w:val="false"/>
          <w:color w:val="000000"/>
          <w:sz w:val="24"/>
        </w:rPr>
        <w:t xml:space="preserve">Base year adjustment method. </w:t>
      </w:r>
      <w:r>
        <w:rPr>
          <w:rFonts w:ascii="Times New Roman" w:hAnsi="Times New Roman"/>
          <w:b w:val="false"/>
          <w:i w:val="false"/>
          <w:color w:val="000000"/>
          <w:sz w:val="24"/>
        </w:rPr>
        <w:t xml:space="preserve">Planning agencies may request that the department complete a goal progress recalculation once per fiscal year to resolve any discrepancies and to further evaluate progress toward the state’s waste volume reduction and recycling goals. At the time of approval of a comprehensive plan or comprehensive plan update, the department will use the most current complete fiscal year data set available to complete goal progress calculations, which will be used to meet the requirements outlined in </w:t>
      </w:r>
      <w:hyperlink r:id="rId14">
        <w:r>
          <w:rPr>
            <w:rStyle w:val="Hyperlink"/>
            <w:rFonts w:ascii="Times New Roman" w:hAnsi="Times New Roman"/>
            <w:b w:val="false"/>
            <w:i w:val="false"/>
            <w:color w:val="000000"/>
            <w:sz w:val="24"/>
          </w:rPr>
          <w:t>567—104.8</w:t>
        </w:r>
      </w:hyperlink>
      <w:r>
        <w:rPr>
          <w:rFonts w:ascii="Times New Roman" w:hAnsi="Times New Roman"/>
          <w:b w:val="false"/>
          <w:i w:val="false"/>
          <w:color w:val="000000"/>
          <w:sz w:val="24"/>
        </w:rPr>
        <w:t>(455B,455D).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104.5(1)</w:t>
      </w:r>
      <w:r>
        <w:rPr>
          <w:rFonts w:ascii="Times New Roman" w:hAnsi="Times New Roman"/>
          <w:b w:val="false"/>
          <w:i w:val="false"/>
          <w:color w:val="000000"/>
          <w:sz w:val="24"/>
        </w:rPr>
        <w:t> </w:t>
      </w:r>
      <w:r>
        <w:rPr>
          <w:rFonts w:ascii="Times New Roman" w:hAnsi="Times New Roman"/>
          <w:b w:val="false"/>
          <w:i w:val="false"/>
          <w:color w:val="000000"/>
          <w:sz w:val="24"/>
        </w:rPr>
        <w:t>The base year adjustment method (see Formula 1) controls for population, employment and taxable sales to more accurately determine progress toward the state’s waste volume reduction and recycling goals. Factors included within the base year adjustment method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Base year residential waste disposal tonnage.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Base year commercial waste disposal tonnage.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Base year population data (U.S. Bureau of the Census).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Base year employment data—total nonfarm (Iowa department of workforce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Base year taxable sales data (Iowa department of revenue).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Base year consumer price index.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Most current complete fiscal year data set available for waste disposal tonnage.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Most current complete fiscal year data set available for population (U.S. Bureau of the Census).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Most current complete fiscal year data set available for employment—total nonfarm (Iowa department of workforce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Most current complete fiscal year data set available for taxable sales (Iowa department of revenue).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Most current complete fiscal year data set available for consumer price index.</w:t>
      </w:r>
    </w:p>
    <w:p>
      <w:pPr>
        <w:spacing w:before="0" w:after="0" w:line="480"/>
        <w:ind w:left="120"/>
        <w:jc w:val="both"/>
      </w:pPr>
      <w:r>
        <w:drawing>
          <wp:inline distT="0" distB="0" distL="0" distR="0">
            <wp:extent cx="5212080" cy="1180797"/>
            <wp:effectExtent l="0" t="0" r="0" b="0"/>
            <wp:docPr id="2" name="" descr="Formula for base year adjustment method of waste diversion using the factors in subrule 104.5(1)."/>
            <wp:cNvGraphicFramePr>
              <a:graphicFrameLocks noChangeAspect="true"/>
            </wp:cNvGraphicFramePr>
            <a:graphic>
              <a:graphicData uri="http://schemas.openxmlformats.org/drawingml/2006/picture">
                <pic:pic>
                  <pic:nvPicPr>
                    <pic:cNvPr id="1" name=""/>
                    <pic:cNvPicPr/>
                  </pic:nvPicPr>
                  <pic:blipFill>
                    <a:blip r:embed="rId15"/>
                    <a:stretch>
                      <a:fillRect/>
                    </a:stretch>
                  </pic:blipFill>
                  <pic:spPr>
                    <a:xfrm>
                      <a:off x="0" y="0"/>
                      <a:ext cx="5212080" cy="1180797"/>
                    </a:xfrm>
                    <a:prstGeom prst="rect">
                      <a:avLst/>
                    </a:prstGeom>
                  </pic:spPr>
                </pic:pic>
              </a:graphicData>
            </a:graphic>
          </wp:inline>
        </w:drawing>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104.5(2)</w:t>
      </w:r>
      <w:r>
        <w:rPr>
          <w:rFonts w:ascii="Times New Roman" w:hAnsi="Times New Roman"/>
          <w:b w:val="false"/>
          <w:i w:val="false"/>
          <w:color w:val="000000"/>
          <w:sz w:val="24"/>
        </w:rPr>
        <w:t> </w:t>
      </w:r>
      <w:r>
        <w:rPr>
          <w:rFonts w:ascii="Times New Roman" w:hAnsi="Times New Roman"/>
          <w:b w:val="false"/>
          <w:i w:val="false"/>
          <w:color w:val="000000"/>
          <w:sz w:val="24"/>
        </w:rPr>
        <w:t>Planning agencies must document the amount of waste disposed of in both the base year and the most current fiscal year where a complete data set is available. If no changes have occurred within the planning area that would affect the base year, then only data for the most current fiscal year for which a complete data set is available need to be presented in the comprehensive plan update, since information on each planning area’s base year tonnage is presented in prior comprehensive plan submittals. Tonnage data sources that each planning agency must identify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Landfill(s) within the planning area and its respective service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Transfer station(s) or hauler(s) transporting waste into or out of the planning area for final disposal.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Incineration with or without energy recovery of waste within the planning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Allowable base year adjustment method exemptions, including exceptional events, waste originating from out of state, and solid waste generated outside the planning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104.5(3)</w:t>
      </w:r>
      <w:r>
        <w:rPr>
          <w:rFonts w:ascii="Times New Roman" w:hAnsi="Times New Roman"/>
          <w:b w:val="false"/>
          <w:i w:val="false"/>
          <w:color w:val="000000"/>
          <w:sz w:val="24"/>
        </w:rPr>
        <w:t> </w:t>
      </w:r>
      <w:r>
        <w:rPr>
          <w:rFonts w:ascii="Times New Roman" w:hAnsi="Times New Roman"/>
          <w:b w:val="false"/>
          <w:i w:val="false"/>
          <w:color w:val="000000"/>
          <w:sz w:val="24"/>
        </w:rPr>
        <w:t>Waste generated as part of an exceptional event or contaminated site cleanup should not negatively affect a planning area’s goal progress calculation. Requests for goal progress calculation exemptions must be made to the department within six months after initial disposal. The determination to exempt tonnages from goal progress calculations shall be made solely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Exceptional events include but are not limited to disasters proclaimed by the governor. Requests to exempt exceptional event debris from goal progress calculations shall be made on a form provided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Requests from the municipal solid waste sanitary disposal project or planning agency to exempt contaminated site cleanup waste from goal progress calculations shall be made on a form provided by the department.</w:t>
      </w:r>
    </w:p>
    <w:p>
      <w:pPr>
        <w:spacing w:before="0" w:after="0" w:line="480"/>
        <w:ind w:left="120"/>
        <w:jc w:val="both"/>
      </w:pPr>
      <w:r>
        <w:rPr>
          <w:rFonts w:ascii="Times New Roman" w:hAnsi="Times New Roman"/>
          <w:b/>
          <w:i w:val="false"/>
          <w:color w:val="000000"/>
          <w:sz w:val="24"/>
        </w:rPr>
        <w:t>567—104.6</w:t>
      </w:r>
      <w:r>
        <w:rPr>
          <w:rFonts w:ascii="Times New Roman" w:hAnsi="Times New Roman"/>
          <w:b/>
          <w:i w:val="false"/>
          <w:color w:val="000000"/>
          <w:sz w:val="24"/>
        </w:rPr>
        <w:t xml:space="preserve">(455B,455D) </w:t>
      </w:r>
      <w:r>
        <w:rPr>
          <w:rFonts w:ascii="Times New Roman" w:hAnsi="Times New Roman"/>
          <w:b/>
          <w:i w:val="false"/>
          <w:color w:val="000000"/>
          <w:sz w:val="24"/>
        </w:rPr>
        <w:t xml:space="preserve">Forms of comprehensive plan submittals to be filed. </w:t>
      </w:r>
      <w:r>
        <w:rPr>
          <w:rFonts w:ascii="Times New Roman" w:hAnsi="Times New Roman"/>
          <w:b w:val="false"/>
          <w:i w:val="false"/>
          <w:color w:val="000000"/>
          <w:sz w:val="24"/>
        </w:rPr>
        <w:t xml:space="preserve">Notwithstanding any of the requirements of Iowa Code section </w:t>
      </w:r>
      <w:hyperlink r:id="rId16">
        <w:r>
          <w:rPr>
            <w:rStyle w:val="Hyperlink"/>
            <w:rFonts w:ascii="Times New Roman" w:hAnsi="Times New Roman"/>
            <w:b w:val="false"/>
            <w:i w:val="false"/>
            <w:color w:val="000000"/>
            <w:sz w:val="24"/>
          </w:rPr>
          <w:t>455B.306</w:t>
        </w:r>
      </w:hyperlink>
      <w:r>
        <w:rPr>
          <w:rFonts w:ascii="Times New Roman" w:hAnsi="Times New Roman"/>
          <w:b w:val="false"/>
          <w:i w:val="false"/>
          <w:color w:val="000000"/>
          <w:sz w:val="24"/>
        </w:rPr>
        <w:t>, there are three forms of comprehensive plan submittals: initial, updates and amendments.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104.6(1)</w:t>
      </w:r>
      <w:r>
        <w:rPr>
          <w:rFonts w:ascii="Times New Roman" w:hAnsi="Times New Roman"/>
          <w:b w:val="false"/>
          <w:i w:val="false"/>
          <w:color w:val="000000"/>
          <w:sz w:val="24"/>
        </w:rPr>
        <w:t> </w:t>
      </w:r>
      <w:r>
        <w:rPr>
          <w:rFonts w:ascii="Times New Roman" w:hAnsi="Times New Roman"/>
          <w:b w:val="false"/>
          <w:i/>
          <w:color w:val="000000"/>
          <w:sz w:val="24"/>
        </w:rPr>
        <w:t xml:space="preserve">Initial comprehensive plan. </w:t>
      </w:r>
      <w:r>
        <w:rPr>
          <w:rFonts w:ascii="Times New Roman" w:hAnsi="Times New Roman"/>
          <w:b w:val="false"/>
          <w:i w:val="false"/>
          <w:color w:val="000000"/>
          <w:sz w:val="24"/>
        </w:rPr>
        <w:t>An initial comprehensive plan shall be submitted as determined by the department, including but not limited to when a new planning area is established or a new solid waste landfill or municipal solid waste incinerator is sited. Initial comprehensive plans shall be submitted on a form provided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104.6(2)</w:t>
      </w:r>
      <w:r>
        <w:rPr>
          <w:rFonts w:ascii="Times New Roman" w:hAnsi="Times New Roman"/>
          <w:b w:val="false"/>
          <w:i w:val="false"/>
          <w:color w:val="000000"/>
          <w:sz w:val="24"/>
        </w:rPr>
        <w:t> </w:t>
      </w:r>
      <w:r>
        <w:rPr>
          <w:rFonts w:ascii="Times New Roman" w:hAnsi="Times New Roman"/>
          <w:b w:val="false"/>
          <w:i/>
          <w:color w:val="000000"/>
          <w:sz w:val="24"/>
        </w:rPr>
        <w:t xml:space="preserve">Comprehensive plan updates. </w:t>
      </w:r>
      <w:r>
        <w:rPr>
          <w:rFonts w:ascii="Times New Roman" w:hAnsi="Times New Roman"/>
          <w:b w:val="false"/>
          <w:i w:val="false"/>
          <w:color w:val="000000"/>
          <w:sz w:val="24"/>
        </w:rPr>
        <w:t>A comprehensive plan update shall be submitted according to planning cycle due dates established by the department. Comprehensive plan updates shall be submitted on a form provided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104.6(3)</w:t>
      </w:r>
      <w:r>
        <w:rPr>
          <w:rFonts w:ascii="Times New Roman" w:hAnsi="Times New Roman"/>
          <w:b w:val="false"/>
          <w:i w:val="false"/>
          <w:color w:val="000000"/>
          <w:sz w:val="24"/>
        </w:rPr>
        <w:t> </w:t>
      </w:r>
      <w:r>
        <w:rPr>
          <w:rFonts w:ascii="Times New Roman" w:hAnsi="Times New Roman"/>
          <w:b w:val="false"/>
          <w:i/>
          <w:color w:val="000000"/>
          <w:sz w:val="24"/>
        </w:rPr>
        <w:t xml:space="preserve">Comprehensive plan amendments. </w:t>
      </w:r>
      <w:r>
        <w:rPr>
          <w:rFonts w:ascii="Times New Roman" w:hAnsi="Times New Roman"/>
          <w:b w:val="false"/>
          <w:i w:val="false"/>
          <w:color w:val="000000"/>
          <w:sz w:val="24"/>
        </w:rPr>
        <w:t>If a municipal solid waste sanitary disposal project or city or county requests to be included in a planning area after completion of an initial comprehensive plan or a comprehensive plan update but before the next comprehensive plan update is due, the department may determine that a comprehensive plan amendment may be submitted and approved to fulfill requirements until the beginning of the next planning cycle. Comprehensive plan amendments shall be submitted to the department on a form provided by the department.</w:t>
      </w:r>
    </w:p>
    <w:p>
      <w:pPr>
        <w:spacing w:before="0" w:after="0" w:line="480"/>
        <w:ind w:left="120"/>
        <w:jc w:val="both"/>
      </w:pPr>
      <w:r>
        <w:rPr>
          <w:rFonts w:ascii="Times New Roman" w:hAnsi="Times New Roman"/>
          <w:b/>
          <w:i w:val="false"/>
          <w:color w:val="000000"/>
          <w:sz w:val="24"/>
        </w:rPr>
        <w:t>567—104.7</w:t>
      </w:r>
      <w:r>
        <w:rPr>
          <w:rFonts w:ascii="Times New Roman" w:hAnsi="Times New Roman"/>
          <w:b/>
          <w:i w:val="false"/>
          <w:color w:val="000000"/>
          <w:sz w:val="24"/>
        </w:rPr>
        <w:t xml:space="preserve">(455J) </w:t>
      </w:r>
      <w:r>
        <w:rPr>
          <w:rFonts w:ascii="Times New Roman" w:hAnsi="Times New Roman"/>
          <w:b/>
          <w:i w:val="false"/>
          <w:color w:val="000000"/>
          <w:sz w:val="24"/>
        </w:rPr>
        <w:t xml:space="preserve">Environmental management systems. </w:t>
      </w:r>
      <w:r>
        <w:rPr>
          <w:rFonts w:ascii="Times New Roman" w:hAnsi="Times New Roman"/>
          <w:b w:val="false"/>
          <w:i w:val="false"/>
          <w:color w:val="000000"/>
          <w:sz w:val="24"/>
        </w:rPr>
        <w:t>Notwithstanding any other requirements, a planning or service area that has been designated as an environmental management system and that seeks to continue to be so designated in this voluntary program is exempt from filing its comprehensive plan. By September 1 of each year, an annual report shall be submitted to the department on a form provided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104.7(1)</w:t>
      </w:r>
      <w:r>
        <w:rPr>
          <w:rFonts w:ascii="Times New Roman" w:hAnsi="Times New Roman"/>
          <w:b w:val="false"/>
          <w:i w:val="false"/>
          <w:color w:val="000000"/>
          <w:sz w:val="24"/>
        </w:rPr>
        <w:t> </w:t>
      </w:r>
      <w:r>
        <w:rPr>
          <w:rFonts w:ascii="Times New Roman" w:hAnsi="Times New Roman"/>
          <w:b w:val="false"/>
          <w:i/>
          <w:color w:val="000000"/>
          <w:sz w:val="24"/>
        </w:rPr>
        <w:t xml:space="preserve">Annual report evaluation criteria. </w:t>
      </w:r>
      <w:r>
        <w:rPr>
          <w:rFonts w:ascii="Times New Roman" w:hAnsi="Times New Roman"/>
          <w:b w:val="false"/>
          <w:i w:val="false"/>
          <w:color w:val="000000"/>
          <w:sz w:val="24"/>
        </w:rPr>
        <w:t>The department shall review the annual report based on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Completeness in terms of addressing all of the elements set forth in the form provided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Clear demonstration of continuous improvement in terms of progress toward achieving the objectives and targets set forth in the environmental management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104.7(2)</w:t>
      </w:r>
      <w:r>
        <w:rPr>
          <w:rFonts w:ascii="Times New Roman" w:hAnsi="Times New Roman"/>
          <w:b w:val="false"/>
          <w:i w:val="false"/>
          <w:color w:val="000000"/>
          <w:sz w:val="24"/>
        </w:rPr>
        <w:t> </w:t>
      </w:r>
      <w:r>
        <w:rPr>
          <w:rFonts w:ascii="Times New Roman" w:hAnsi="Times New Roman"/>
          <w:b w:val="false"/>
          <w:i/>
          <w:color w:val="000000"/>
          <w:sz w:val="24"/>
        </w:rPr>
        <w:t xml:space="preserve">Annual report evaluation outcomes.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department determines that the annual report adequately demonstrates compliance with the requirements of Iowa Code section </w:t>
      </w:r>
      <w:hyperlink r:id="rId17">
        <w:r>
          <w:rPr>
            <w:rStyle w:val="Hyperlink"/>
            <w:rFonts w:ascii="Times New Roman" w:hAnsi="Times New Roman"/>
            <w:b w:val="false"/>
            <w:i w:val="false"/>
            <w:color w:val="000000"/>
            <w:sz w:val="24"/>
          </w:rPr>
          <w:t>455J.3</w:t>
        </w:r>
      </w:hyperlink>
      <w:r>
        <w:rPr>
          <w:rFonts w:ascii="Times New Roman" w:hAnsi="Times New Roman"/>
          <w:b w:val="false"/>
          <w:i w:val="false"/>
          <w:color w:val="000000"/>
          <w:sz w:val="24"/>
        </w:rPr>
        <w:t xml:space="preserve">, the planning or service area shall remain designated as an environmental management system and shall continue to be qualified for the incentives set forth in Iowa Code section </w:t>
      </w:r>
      <w:hyperlink r:id="rId18">
        <w:r>
          <w:rPr>
            <w:rStyle w:val="Hyperlink"/>
            <w:rFonts w:ascii="Times New Roman" w:hAnsi="Times New Roman"/>
            <w:b w:val="false"/>
            <w:i w:val="false"/>
            <w:color w:val="000000"/>
            <w:sz w:val="24"/>
          </w:rPr>
          <w:t>455J.5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annual report should clearly demonstrate continuous improvement in terms of progress toward achieving the objectives and targets set forth in the environmental management system. If the department determines that the annual report clearly demonstrates that the planning or service area’s environmental management system is no longer in compliance with Iowa Code section </w:t>
      </w:r>
      <w:hyperlink r:id="rId19">
        <w:r>
          <w:rPr>
            <w:rStyle w:val="Hyperlink"/>
            <w:rFonts w:ascii="Times New Roman" w:hAnsi="Times New Roman"/>
            <w:b w:val="false"/>
            <w:i w:val="false"/>
            <w:color w:val="000000"/>
            <w:sz w:val="24"/>
          </w:rPr>
          <w:t>455J.3</w:t>
        </w:r>
      </w:hyperlink>
      <w:r>
        <w:rPr>
          <w:rFonts w:ascii="Times New Roman" w:hAnsi="Times New Roman"/>
          <w:b w:val="false"/>
          <w:i w:val="false"/>
          <w:color w:val="000000"/>
          <w:sz w:val="24"/>
        </w:rPr>
        <w:t>, the department may recommend to the environmental protection commission the revocation of the environmental management system designation. If the commission concurs with the department’s recommendation, the planning or service area shall adhere to comprehensive planning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Failure by a planning or service area to submit an annual report by September 1 in any year will result in revocation of the environmental management system designation, following which the planning or service area shall adhere to the comprehensive planning requirements.</w:t>
      </w:r>
    </w:p>
    <w:p>
      <w:pPr>
        <w:spacing w:before="0" w:after="0" w:line="480"/>
        <w:ind w:left="120"/>
        <w:jc w:val="both"/>
      </w:pPr>
      <w:r>
        <w:rPr>
          <w:rFonts w:ascii="Times New Roman" w:hAnsi="Times New Roman"/>
          <w:b/>
          <w:i w:val="false"/>
          <w:color w:val="000000"/>
          <w:sz w:val="24"/>
        </w:rPr>
        <w:t>567—104.8</w:t>
      </w:r>
      <w:r>
        <w:rPr>
          <w:rFonts w:ascii="Times New Roman" w:hAnsi="Times New Roman"/>
          <w:b/>
          <w:i w:val="false"/>
          <w:color w:val="000000"/>
          <w:sz w:val="24"/>
        </w:rPr>
        <w:t xml:space="preserve">(455B,455D) </w:t>
      </w:r>
      <w:r>
        <w:rPr>
          <w:rFonts w:ascii="Times New Roman" w:hAnsi="Times New Roman"/>
          <w:b/>
          <w:i w:val="false"/>
          <w:color w:val="000000"/>
          <w:sz w:val="24"/>
        </w:rPr>
        <w:t xml:space="preserve">Fees for disposal of solid waste at sanitary landfills.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104.8(1)</w:t>
      </w:r>
      <w:r>
        <w:rPr>
          <w:rFonts w:ascii="Times New Roman" w:hAnsi="Times New Roman"/>
          <w:b w:val="false"/>
          <w:i w:val="false"/>
          <w:color w:val="000000"/>
          <w:sz w:val="24"/>
        </w:rPr>
        <w:t> </w:t>
      </w:r>
      <w:r>
        <w:rPr>
          <w:rFonts w:ascii="Times New Roman" w:hAnsi="Times New Roman"/>
          <w:b w:val="false"/>
          <w:i/>
          <w:color w:val="000000"/>
          <w:sz w:val="24"/>
        </w:rPr>
        <w:t xml:space="preserve">Authority, purpose and applicability.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Authority. </w:t>
      </w:r>
      <w:r>
        <w:rPr>
          <w:rFonts w:ascii="Times New Roman" w:hAnsi="Times New Roman"/>
          <w:b w:val="false"/>
          <w:i w:val="false"/>
          <w:color w:val="000000"/>
          <w:sz w:val="24"/>
        </w:rPr>
        <w:t xml:space="preserve">Pursuant to Iowa Code section </w:t>
      </w:r>
      <w:hyperlink r:id="rId20">
        <w:r>
          <w:rPr>
            <w:rStyle w:val="Hyperlink"/>
            <w:rFonts w:ascii="Times New Roman" w:hAnsi="Times New Roman"/>
            <w:b w:val="false"/>
            <w:i w:val="false"/>
            <w:color w:val="000000"/>
            <w:sz w:val="24"/>
          </w:rPr>
          <w:t>455B.310</w:t>
        </w:r>
      </w:hyperlink>
      <w:r>
        <w:rPr>
          <w:rFonts w:ascii="Times New Roman" w:hAnsi="Times New Roman"/>
          <w:b w:val="false"/>
          <w:i w:val="false"/>
          <w:color w:val="000000"/>
          <w:sz w:val="24"/>
        </w:rPr>
        <w:t xml:space="preserve">, the department has the authority to collect fees for the disposal of solid waste at sanitary landfills. All tonnage fees received by the department under this rule shall be deposited in the solid waste account of the groundwater protection fund created under Iowa Code section </w:t>
      </w:r>
      <w:hyperlink r:id="rId21">
        <w:r>
          <w:rPr>
            <w:rStyle w:val="Hyperlink"/>
            <w:rFonts w:ascii="Times New Roman" w:hAnsi="Times New Roman"/>
            <w:b w:val="false"/>
            <w:i w:val="false"/>
            <w:color w:val="000000"/>
            <w:sz w:val="24"/>
          </w:rPr>
          <w:t>455E.11(1)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The purpose of this rule is to provide an orderly and efficient process for the assessment and collection of fees for the disposal of solid waste at a sanitary landfill. This rule clarifies the applicability of the fees and sets forth a fee schedule, means of filing and recordkeeping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Applicability. </w:t>
      </w:r>
      <w:r>
        <w:rPr>
          <w:rFonts w:ascii="Times New Roman" w:hAnsi="Times New Roman"/>
          <w:b w:val="false"/>
          <w:i w:val="false"/>
          <w:color w:val="000000"/>
          <w:sz w:val="24"/>
        </w:rPr>
        <w:t xml:space="preserve">Except as provided in </w:t>
      </w:r>
      <w:hyperlink r:id="rId22">
        <w:r>
          <w:rPr>
            <w:rStyle w:val="Hyperlink"/>
            <w:rFonts w:ascii="Times New Roman" w:hAnsi="Times New Roman"/>
            <w:b w:val="false"/>
            <w:i w:val="false"/>
            <w:color w:val="000000"/>
            <w:sz w:val="24"/>
          </w:rPr>
          <w:t>104.8(2)</w:t>
        </w:r>
      </w:hyperlink>
      <w:r>
        <w:rPr>
          <w:rFonts w:ascii="Times New Roman" w:hAnsi="Times New Roman"/>
          <w:b w:val="false"/>
          <w:i w:val="false"/>
          <w:color w:val="000000"/>
          <w:sz w:val="24"/>
        </w:rPr>
        <w:t>, operators of all sanitary landfills located within Iowa and subject to the permitting requirements of the department shall pay a fee for each ton of solid waste disposed of in the landfill.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104.8(2)</w:t>
      </w:r>
      <w:r>
        <w:rPr>
          <w:rFonts w:ascii="Times New Roman" w:hAnsi="Times New Roman"/>
          <w:b w:val="false"/>
          <w:i w:val="false"/>
          <w:color w:val="000000"/>
          <w:sz w:val="24"/>
        </w:rPr>
        <w:t> </w:t>
      </w:r>
      <w:r>
        <w:rPr>
          <w:rFonts w:ascii="Times New Roman" w:hAnsi="Times New Roman"/>
          <w:b w:val="false"/>
          <w:i/>
          <w:color w:val="000000"/>
          <w:sz w:val="24"/>
        </w:rPr>
        <w:t xml:space="preserve">Exclusion. </w:t>
      </w:r>
      <w:r>
        <w:rPr>
          <w:rFonts w:ascii="Times New Roman" w:hAnsi="Times New Roman"/>
          <w:b w:val="false"/>
          <w:i w:val="false"/>
          <w:color w:val="000000"/>
          <w:sz w:val="24"/>
        </w:rPr>
        <w:t>Fees do not apply to wastes that will not be buried at a sanitary landfill if such material is salvaged or recycled in accordance with the provisions of the landfill permit.</w:t>
      </w:r>
    </w:p>
    <w:p>
      <w:pPr>
        <w:spacing w:before="0" w:after="0" w:line="480"/>
        <w:ind w:left="120"/>
        <w:jc w:val="both"/>
      </w:pPr>
      <w:r>
        <w:rPr>
          <w:rFonts w:ascii="Times New Roman" w:hAnsi="Times New Roman"/>
          <w:b/>
          <w:i w:val="false"/>
          <w:color w:val="000000"/>
          <w:sz w:val="24"/>
        </w:rPr>
        <w:t>104.8(3)</w:t>
      </w:r>
      <w:r>
        <w:rPr>
          <w:rFonts w:ascii="Times New Roman" w:hAnsi="Times New Roman"/>
          <w:b w:val="false"/>
          <w:i w:val="false"/>
          <w:color w:val="000000"/>
          <w:sz w:val="24"/>
        </w:rPr>
        <w:t> </w:t>
      </w:r>
      <w:r>
        <w:rPr>
          <w:rFonts w:ascii="Times New Roman" w:hAnsi="Times New Roman"/>
          <w:b w:val="false"/>
          <w:i/>
          <w:color w:val="000000"/>
          <w:sz w:val="24"/>
        </w:rPr>
        <w:t xml:space="preserve">Fee schedule.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base tonnage fee is $4.25 per ton of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statewide goal progress average is 36 percent, as determined by the department on July 1, 1999.</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at any time the department notifies a planning agency or municipal solid waste sanitary disposal project(s) that the planning area has either failed to meet the 25 percent goal or has met or exceeded the 25 percent goal, the 36 percent statewide average or the 50 percent goal, all municipal solid waste sanitary disposal projects within that planning area that are required to remit state tonnage fees shall collect, remit and retain tonnage fees according to Table 1 in this subrule, starting with the next scheduled fee payment. Moneys due to the department under this paragraph shall be remitted until such time as evidence of a change in the planning area’s progress toward meeting the state’s waste volume reduction and recycling goals is documented and approved in writing by the department.</w:t>
      </w:r>
    </w:p>
    <w:p>
      <w:pPr>
        <w:spacing w:before="0" w:after="0" w:line="480"/>
        <w:ind w:left="120"/>
        <w:jc w:val="both"/>
      </w:pP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 solid waste planning or service area designated as an environmental management system pursuant to Iowa Code section </w:t>
      </w:r>
      <w:hyperlink r:id="rId23">
        <w:r>
          <w:rPr>
            <w:rStyle w:val="Hyperlink"/>
            <w:rFonts w:ascii="Times New Roman" w:hAnsi="Times New Roman"/>
            <w:b w:val="false"/>
            <w:i w:val="false"/>
            <w:color w:val="000000"/>
            <w:sz w:val="24"/>
          </w:rPr>
          <w:t>455J.7</w:t>
        </w:r>
      </w:hyperlink>
      <w:r>
        <w:rPr>
          <w:rFonts w:ascii="Times New Roman" w:hAnsi="Times New Roman"/>
          <w:b w:val="false"/>
          <w:i w:val="false"/>
          <w:color w:val="000000"/>
          <w:sz w:val="24"/>
        </w:rPr>
        <w:t xml:space="preserve"> shall qualify, pursuant to Iowa Code section </w:t>
      </w:r>
      <w:hyperlink r:id="rId24">
        <w:r>
          <w:rPr>
            <w:rStyle w:val="Hyperlink"/>
            <w:rFonts w:ascii="Times New Roman" w:hAnsi="Times New Roman"/>
            <w:b w:val="false"/>
            <w:i w:val="false"/>
            <w:color w:val="000000"/>
            <w:sz w:val="24"/>
          </w:rPr>
          <w:t>455J.5</w:t>
        </w:r>
      </w:hyperlink>
      <w:r>
        <w:rPr>
          <w:rFonts w:ascii="Times New Roman" w:hAnsi="Times New Roman"/>
          <w:b w:val="false"/>
          <w:i w:val="false"/>
          <w:color w:val="000000"/>
          <w:sz w:val="24"/>
        </w:rPr>
        <w:t>, for a reduced tonnage fee of $3.65 per ton, of which $2.10 shall be remitted to the department.</w:t>
      </w:r>
    </w:p>
    <w:p>
      <w:pPr>
        <w:spacing w:before="0" w:after="0" w:line="480"/>
        <w:ind w:left="120"/>
        <w:jc w:val="both"/>
      </w:pPr>
      <w:r>
        <w:rPr>
          <w:rFonts w:ascii="Times New Roman" w:hAnsi="Times New Roman"/>
          <w:b w:val="false"/>
          <w:i w:val="false"/>
          <w:color w:val="000000"/>
          <w:sz w:val="24"/>
        </w:rPr>
        <w:t>Table 1 sets forth the solid waste tonnage fee schedule.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920"/>
        <w:gridCol w:w="8640"/>
        <w:gridCol w:w="0"/>
      </w:tblGrid>
      <w:tr>
        <w:trPr>
          <w:trHeight w:val="19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Table 1</w:t>
            </w:r>
          </w:p>
        </w:tc>
      </w:tr>
      <w:tr>
        <w:trPr>
          <w:trHeight w:val="19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Planning areas with less than 25% diversion level:</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Collect</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$4.75 per ton</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Remit</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$3.30 per ton to the department</w:t>
            </w:r>
          </w:p>
        </w:tc>
      </w:tr>
      <w:tr>
        <w:trPr>
          <w:trHeight w:val="360" w:hRule="atLeast"/>
        </w:trPr>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Retain</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$1.45 per ton ($0.95 per ton for implementing planning, $0.50 per ton for environmental protection, comprehensive plan development and implementation)</w:t>
            </w:r>
          </w:p>
        </w:tc>
      </w:tr>
      <w:tr>
        <w:trPr>
          <w:trHeight w:val="19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Planning areas over 25% diversion, under the state average, and under 50%:</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Collect</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$3.65 per ton</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Remit</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$2.20 per ton to the department</w:t>
            </w:r>
          </w:p>
        </w:tc>
      </w:tr>
      <w:tr>
        <w:trPr>
          <w:trHeight w:val="360" w:hRule="atLeast"/>
        </w:trPr>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Retain</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$1.45 per ton ($0.95 per ton for implementing planning, $0.50 per ton for environmental protection, comprehensive plan development and implementation)</w:t>
            </w:r>
          </w:p>
        </w:tc>
      </w:tr>
      <w:tr>
        <w:trPr>
          <w:trHeight w:val="360"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Planning areas over 25% diversion, over the state average and under 50%, and planning or service areas designated as an environmental management system:</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Collect</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$3.65 per ton</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Remit</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$2.10 per ton to the department</w:t>
            </w:r>
          </w:p>
        </w:tc>
      </w:tr>
      <w:tr>
        <w:trPr>
          <w:trHeight w:val="360" w:hRule="atLeast"/>
        </w:trPr>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Retain</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$1.55 per ton ($1.05 per ton for implementing planning, $0.50 per ton for environmental protection, comprehensive plan development and implementation)</w:t>
            </w:r>
          </w:p>
        </w:tc>
      </w:tr>
      <w:tr>
        <w:trPr>
          <w:trHeight w:val="19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Planning areas over 50% diversion:</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Collect</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$3.25 per ton</w:t>
            </w:r>
          </w:p>
        </w:tc>
      </w:tr>
      <w:tr>
        <w:trPr>
          <w:trHeight w:val="195" w:hRule="atLeast"/>
        </w:trPr>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Remit</w:t>
            </w:r>
          </w:p>
        </w:tc>
        <w:tc>
          <w:tcPr>
            <w:tcW w:w="86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$1.95 per ton to the department</w:t>
            </w:r>
          </w:p>
        </w:tc>
      </w:tr>
      <w:tr>
        <w:trPr>
          <w:trHeight w:val="360" w:hRule="atLeast"/>
        </w:trPr>
        <w:tc>
          <w:tcPr>
            <w:tcW w:w="1920" w:type="dxa"/>
            <w:tcBorders>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Retain</w:t>
            </w:r>
          </w:p>
        </w:tc>
        <w:tc>
          <w:tcPr>
            <w:tcW w:w="86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$1.30 per ton ($0.80 per ton for implementing planning, $0.50 per ton for environmental protection, comprehensive plan development and implementation)</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Retained tonnage fees collected pursuant to this subrule shall be approved by the department and used for implementation of programs and services designed to satisfy the requirements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For purposes of calculating tonnage fees, sanitary landfills shall utilize scales and shall base the fee assessment on the net scale weight of solid wastes disposed of at the landfill during the reporting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If special conditions existing at a sanitary landfill make it impractical to use the landfill’s scales to determine waste tonnages, the landfill may propose for department review and approval an alternate method for determining the weight of disposed solid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104.8(4)</w:t>
      </w:r>
      <w:r>
        <w:rPr>
          <w:rFonts w:ascii="Times New Roman" w:hAnsi="Times New Roman"/>
          <w:b w:val="false"/>
          <w:i w:val="false"/>
          <w:color w:val="000000"/>
          <w:sz w:val="24"/>
        </w:rPr>
        <w:t> </w:t>
      </w:r>
      <w:r>
        <w:rPr>
          <w:rFonts w:ascii="Times New Roman" w:hAnsi="Times New Roman"/>
          <w:b w:val="false"/>
          <w:i/>
          <w:color w:val="000000"/>
          <w:sz w:val="24"/>
        </w:rPr>
        <w:t xml:space="preserve">Form, manner, time and place of filing.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Form. </w:t>
      </w:r>
      <w:r>
        <w:rPr>
          <w:rFonts w:ascii="Times New Roman" w:hAnsi="Times New Roman"/>
          <w:b w:val="false"/>
          <w:i w:val="false"/>
          <w:color w:val="000000"/>
          <w:sz w:val="24"/>
        </w:rPr>
        <w:t>Any person to whom or entity to which this rule applies shall submit a form provided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Manner, time and place. </w:t>
      </w:r>
      <w:r>
        <w:rPr>
          <w:rFonts w:ascii="Times New Roman" w:hAnsi="Times New Roman"/>
          <w:b w:val="false"/>
          <w:i w:val="false"/>
          <w:color w:val="000000"/>
          <w:sz w:val="24"/>
        </w:rPr>
        <w:t xml:space="preserve">Fees are to be paid on a quarterly basis. Sanitary landfills serving more than one planning area, as expressed in Iowa Code section </w:t>
      </w:r>
      <w:hyperlink r:id="rId25">
        <w:r>
          <w:rPr>
            <w:rStyle w:val="Hyperlink"/>
            <w:rFonts w:ascii="Times New Roman" w:hAnsi="Times New Roman"/>
            <w:b w:val="false"/>
            <w:i w:val="false"/>
            <w:color w:val="000000"/>
            <w:sz w:val="24"/>
          </w:rPr>
          <w:t>455B.306(1)</w:t>
        </w:r>
      </w:hyperlink>
      <w:r>
        <w:rPr>
          <w:rFonts w:ascii="Times New Roman" w:hAnsi="Times New Roman"/>
          <w:b w:val="false"/>
          <w:i w:val="false"/>
          <w:color w:val="000000"/>
          <w:sz w:val="24"/>
        </w:rPr>
        <w:t xml:space="preserve"> and </w:t>
      </w:r>
      <w:hyperlink r:id="rId26">
        <w:r>
          <w:rPr>
            <w:rStyle w:val="Hyperlink"/>
            <w:rFonts w:ascii="Times New Roman" w:hAnsi="Times New Roman"/>
            <w:b w:val="false"/>
            <w:i w:val="false"/>
            <w:color w:val="000000"/>
            <w:sz w:val="24"/>
          </w:rPr>
          <w:t>455B.306(2)</w:t>
        </w:r>
      </w:hyperlink>
      <w:r>
        <w:rPr>
          <w:rFonts w:ascii="Times New Roman" w:hAnsi="Times New Roman"/>
          <w:b w:val="false"/>
          <w:i w:val="false"/>
          <w:color w:val="000000"/>
          <w:sz w:val="24"/>
        </w:rPr>
        <w:t>, shall submit separate Quarterly Solid Waste Fee Schedule and Retained Fees Reports for each planning area. The fees and report on retained fees will be due January 1, April 1, July 1, and October 1 for the quarters ending September 30, December 31, March 31, and June 30, respectively. The completed form shall be submitted with the appropriate fees to Budget and Finance Bureau, Department of Natural Resources, 6200 Park Avenue, Des Moines, Iowa 50321.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104.8(5)</w:t>
      </w:r>
      <w:r>
        <w:rPr>
          <w:rFonts w:ascii="Times New Roman" w:hAnsi="Times New Roman"/>
          <w:b w:val="false"/>
          <w:i w:val="false"/>
          <w:color w:val="000000"/>
          <w:sz w:val="24"/>
        </w:rPr>
        <w:t> </w:t>
      </w:r>
      <w:r>
        <w:rPr>
          <w:rFonts w:ascii="Times New Roman" w:hAnsi="Times New Roman"/>
          <w:b w:val="false"/>
          <w:i/>
          <w:color w:val="000000"/>
          <w:sz w:val="24"/>
        </w:rPr>
        <w:t xml:space="preserve">Reporting and recordkeeping.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Operating records. </w:t>
      </w:r>
      <w:r>
        <w:rPr>
          <w:rFonts w:ascii="Times New Roman" w:hAnsi="Times New Roman"/>
          <w:b w:val="false"/>
          <w:i w:val="false"/>
          <w:color w:val="000000"/>
          <w:sz w:val="24"/>
        </w:rPr>
        <w:t xml:space="preserve">Those sanitary landfill operators who are subject to the fee assessment requirements of this rule shall maintain adequate records to determine and document the weight of solid waste received at and disposed of in the sanitary landfill during the calendar year. Planning areas entering into an agreement pursuant to Iowa Code section </w:t>
      </w:r>
      <w:hyperlink r:id="rId27">
        <w:r>
          <w:rPr>
            <w:rStyle w:val="Hyperlink"/>
            <w:rFonts w:ascii="Times New Roman" w:hAnsi="Times New Roman"/>
            <w:b w:val="false"/>
            <w:i w:val="false"/>
            <w:color w:val="000000"/>
            <w:sz w:val="24"/>
          </w:rPr>
          <w:t>455B.306(2)</w:t>
        </w:r>
      </w:hyperlink>
      <w:r>
        <w:rPr>
          <w:rFonts w:ascii="Times New Roman" w:hAnsi="Times New Roman"/>
          <w:b w:val="false"/>
          <w:i w:val="false"/>
          <w:color w:val="000000"/>
          <w:sz w:val="24"/>
        </w:rPr>
        <w:t xml:space="preserve"> shall submit documentation to the department, and a planning area receiving the solid waste under such an agreement shall, in addition, submit evidence to the department demonstrating that required retained fees were returned in a timely manner to other planning area(s) under the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Retention of records. </w:t>
      </w:r>
      <w:r>
        <w:rPr>
          <w:rFonts w:ascii="Times New Roman" w:hAnsi="Times New Roman"/>
          <w:b w:val="false"/>
          <w:i w:val="false"/>
          <w:color w:val="000000"/>
          <w:sz w:val="24"/>
        </w:rPr>
        <w:t>All records used in determining the solid waste fee assessment must be kept for a period of at least three years from the end of the calendar year that the records represent.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Availability of records. </w:t>
      </w:r>
      <w:r>
        <w:rPr>
          <w:rFonts w:ascii="Times New Roman" w:hAnsi="Times New Roman"/>
          <w:b w:val="false"/>
          <w:i w:val="false"/>
          <w:color w:val="000000"/>
          <w:sz w:val="24"/>
        </w:rPr>
        <w:t>All records required under this rule must be furnished upon request and be made available at all reasonable times for inspection to any officer, employee or representative of the department who is duly designated by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104.8(6)</w:t>
      </w:r>
      <w:r>
        <w:rPr>
          <w:rFonts w:ascii="Times New Roman" w:hAnsi="Times New Roman"/>
          <w:b w:val="false"/>
          <w:i w:val="false"/>
          <w:color w:val="000000"/>
          <w:sz w:val="24"/>
        </w:rPr>
        <w:t> </w:t>
      </w:r>
      <w:r>
        <w:rPr>
          <w:rFonts w:ascii="Times New Roman" w:hAnsi="Times New Roman"/>
          <w:b w:val="false"/>
          <w:i/>
          <w:color w:val="000000"/>
          <w:sz w:val="24"/>
        </w:rPr>
        <w:t xml:space="preserve">Failure to pay fees. </w:t>
      </w:r>
      <w:r>
        <w:rPr>
          <w:rFonts w:ascii="Times New Roman" w:hAnsi="Times New Roman"/>
          <w:b w:val="false"/>
          <w:i w:val="false"/>
          <w:color w:val="000000"/>
          <w:sz w:val="24"/>
        </w:rPr>
        <w:t xml:space="preserve">If it is found that a person or entity has failed to pay the fees assessed by this rule, the director shall enforce the collection of the delinquent fees. A person or entity required to pay fees as required by Iowa Code section </w:t>
      </w:r>
      <w:hyperlink r:id="rId28">
        <w:r>
          <w:rPr>
            <w:rStyle w:val="Hyperlink"/>
            <w:rFonts w:ascii="Times New Roman" w:hAnsi="Times New Roman"/>
            <w:b w:val="false"/>
            <w:i w:val="false"/>
            <w:color w:val="000000"/>
            <w:sz w:val="24"/>
          </w:rPr>
          <w:t>455B.310</w:t>
        </w:r>
      </w:hyperlink>
      <w:r>
        <w:rPr>
          <w:rFonts w:ascii="Times New Roman" w:hAnsi="Times New Roman"/>
          <w:b w:val="false"/>
          <w:i w:val="false"/>
          <w:color w:val="000000"/>
          <w:sz w:val="24"/>
        </w:rPr>
        <w:t xml:space="preserve"> that fails or refuses to pay the fees by the due date shall be assessed a penalty of 2 percent of the quarterly fee due, to be assessed on January 2, April 2, July 2, and October 2, and on a monthly basis on the first day of each month thereafter, until paid. A person or entity required to retain fees as required by Iowa Code section </w:t>
      </w:r>
      <w:hyperlink r:id="rId29">
        <w:r>
          <w:rPr>
            <w:rStyle w:val="Hyperlink"/>
            <w:rFonts w:ascii="Times New Roman" w:hAnsi="Times New Roman"/>
            <w:b w:val="false"/>
            <w:i w:val="false"/>
            <w:color w:val="000000"/>
            <w:sz w:val="24"/>
          </w:rPr>
          <w:t>455B.310</w:t>
        </w:r>
      </w:hyperlink>
      <w:r>
        <w:rPr>
          <w:rFonts w:ascii="Times New Roman" w:hAnsi="Times New Roman"/>
          <w:b w:val="false"/>
          <w:i w:val="false"/>
          <w:color w:val="000000"/>
          <w:sz w:val="24"/>
        </w:rPr>
        <w:t xml:space="preserve"> that fails or refuses to report the use of the retained fees by the due date shall be assessed a penalty of 2 percent of the retained fees due to the department, with said penalty to be assessed on January 2, April 2, July 2, and October 2, and on a monthly basis on the first day of each month thereafter, until paid. All penalties shall be paid in addition to the fees due.</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30">
        <w:r>
          <w:rPr>
            <w:rStyle w:val="Hyperlink"/>
            <w:rFonts w:ascii="Times New Roman" w:hAnsi="Times New Roman"/>
            <w:b w:val="false"/>
            <w:i w:val="false"/>
            <w:color w:val="000000"/>
            <w:sz w:val="24"/>
          </w:rPr>
          <w:t>455B.301A</w:t>
        </w:r>
      </w:hyperlink>
      <w:r>
        <w:rPr>
          <w:rFonts w:ascii="Times New Roman" w:hAnsi="Times New Roman"/>
          <w:b w:val="false"/>
          <w:i w:val="false"/>
          <w:color w:val="000000"/>
          <w:sz w:val="24"/>
        </w:rPr>
        <w:t xml:space="preserve">, </w:t>
      </w:r>
      <w:hyperlink r:id="rId31">
        <w:r>
          <w:rPr>
            <w:rStyle w:val="Hyperlink"/>
            <w:rFonts w:ascii="Times New Roman" w:hAnsi="Times New Roman"/>
            <w:b w:val="false"/>
            <w:i w:val="false"/>
            <w:color w:val="000000"/>
            <w:sz w:val="24"/>
          </w:rPr>
          <w:t>455B.302</w:t>
        </w:r>
      </w:hyperlink>
      <w:r>
        <w:rPr>
          <w:rFonts w:ascii="Times New Roman" w:hAnsi="Times New Roman"/>
          <w:b w:val="false"/>
          <w:i w:val="false"/>
          <w:color w:val="000000"/>
          <w:sz w:val="24"/>
        </w:rPr>
        <w:t xml:space="preserve">, </w:t>
      </w:r>
      <w:hyperlink r:id="rId32">
        <w:r>
          <w:rPr>
            <w:rStyle w:val="Hyperlink"/>
            <w:rFonts w:ascii="Times New Roman" w:hAnsi="Times New Roman"/>
            <w:b w:val="false"/>
            <w:i w:val="false"/>
            <w:color w:val="000000"/>
            <w:sz w:val="24"/>
          </w:rPr>
          <w:t>455B.306</w:t>
        </w:r>
      </w:hyperlink>
      <w:r>
        <w:rPr>
          <w:rFonts w:ascii="Times New Roman" w:hAnsi="Times New Roman"/>
          <w:b w:val="false"/>
          <w:i w:val="false"/>
          <w:color w:val="000000"/>
          <w:sz w:val="24"/>
        </w:rPr>
        <w:t xml:space="preserve">, </w:t>
      </w:r>
      <w:hyperlink r:id="rId33">
        <w:r>
          <w:rPr>
            <w:rStyle w:val="Hyperlink"/>
            <w:rFonts w:ascii="Times New Roman" w:hAnsi="Times New Roman"/>
            <w:b w:val="false"/>
            <w:i w:val="false"/>
            <w:color w:val="000000"/>
            <w:sz w:val="24"/>
          </w:rPr>
          <w:t>455B.310</w:t>
        </w:r>
      </w:hyperlink>
      <w:r>
        <w:rPr>
          <w:rFonts w:ascii="Times New Roman" w:hAnsi="Times New Roman"/>
          <w:b w:val="false"/>
          <w:i w:val="false"/>
          <w:color w:val="000000"/>
          <w:sz w:val="24"/>
        </w:rPr>
        <w:t xml:space="preserve"> and </w:t>
      </w:r>
      <w:hyperlink r:id="rId34">
        <w:r>
          <w:rPr>
            <w:rStyle w:val="Hyperlink"/>
            <w:rFonts w:ascii="Times New Roman" w:hAnsi="Times New Roman"/>
            <w:b w:val="false"/>
            <w:i w:val="false"/>
            <w:color w:val="000000"/>
            <w:sz w:val="24"/>
          </w:rPr>
          <w:t>455D.3</w:t>
        </w:r>
      </w:hyperlink>
      <w:r>
        <w:rPr>
          <w:rFonts w:ascii="Times New Roman" w:hAnsi="Times New Roman"/>
          <w:b w:val="false"/>
          <w:i w:val="false"/>
          <w:color w:val="000000"/>
          <w:sz w:val="24"/>
        </w:rPr>
        <w:t xml:space="preserve"> and chapter </w:t>
      </w:r>
      <w:hyperlink r:id="rId35">
        <w:r>
          <w:rPr>
            <w:rStyle w:val="Hyperlink"/>
            <w:rFonts w:ascii="Times New Roman" w:hAnsi="Times New Roman"/>
            <w:b w:val="false"/>
            <w:i w:val="false"/>
            <w:color w:val="000000"/>
            <w:sz w:val="24"/>
          </w:rPr>
          <w:t>455J</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111</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7/24/26, effective 9/23/26]</w:t>
      </w:r>
    </w:p>
    <w:p>
      <w:pPr>
        <w:spacing w:before="0" w:after="0" w:line="480"/>
        <w:ind w:left="120"/>
        <w:jc w:val="center"/>
      </w:pPr>
      <w:r>
        <w:rPr>
          <w:rFonts w:ascii="Times New Roman" w:hAnsi="Times New Roman"/>
          <w:b w:val="false"/>
          <w:i w:val="false"/>
          <w:color w:val="000000"/>
          <w:sz w:val="24"/>
        </w:rPr>
        <w:t>[Published 8/19/26]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8/19/26.</w:t>
      </w:r>
    </w:p>
    <w:p>
      <w:pPr>
        <w:spacing w:before="0" w:after="0" w:line="480"/>
        <w:ind w:left="120"/>
        <w:jc w:val="left"/>
      </w:pPr>
      <w:bookmarkStart w:name="lastARC" w:id="2"/>
      <w:bookmarkEnd w:id="2"/>
    </w:p>
    <w:sectPr>
      <w:footerReference r:id="rId3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567.100.pdf" Type="http://schemas.openxmlformats.org/officeDocument/2006/relationships/hyperlink" Id="rId5"/>
    <Relationship TargetMode="External" Target="https://www.legis.iowa.gov/docs/ico/chapter/28E.pdf" Type="http://schemas.openxmlformats.org/officeDocument/2006/relationships/hyperlink" Id="rId6"/>
    <Relationship TargetMode="External" Target="https://www.legis.iowa.gov/docs/ico/chapter/455B.pdf" Type="http://schemas.openxmlformats.org/officeDocument/2006/relationships/hyperlink" Id="rId7"/>
    <Relationship TargetMode="External" Target="https://www.legis.iowa.gov/docs/ico/chapter/455D.pdf" Type="http://schemas.openxmlformats.org/officeDocument/2006/relationships/hyperlink" Id="rId8"/>
    <Relationship TargetMode="External" Target="https://www.legis.iowa.gov/docs/ico/chapter/455J.pdf" Type="http://schemas.openxmlformats.org/officeDocument/2006/relationships/hyperlink" Id="rId9"/>
    <Relationship TargetMode="External" Target="https://www.legis.iowa.gov/docs/ico/chapter/455J.3.pdf" Type="http://schemas.openxmlformats.org/officeDocument/2006/relationships/hyperlink" Id="rId10"/>
    <Relationship TargetMode="External" Target="https://www.legis.iowa.gov/docs/ico/chapter/455B.302.pdf" Type="http://schemas.openxmlformats.org/officeDocument/2006/relationships/hyperlink" Id="rId11"/>
    <Relationship TargetMode="External" Target="https://www.legis.iowa.gov/docs/iac/rule/567.104.5.pdf" Type="http://schemas.openxmlformats.org/officeDocument/2006/relationships/hyperlink" Id="rId12"/>
    <Relationship TargetMode="External" Target="https://www.legis.iowa.gov/docs/ico/chapter/455J.7.pdf" Type="http://schemas.openxmlformats.org/officeDocument/2006/relationships/hyperlink" Id="rId13"/>
    <Relationship TargetMode="External" Target="https://www.legis.iowa.gov/docs/iac/rule/567.104.8.pdf" Type="http://schemas.openxmlformats.org/officeDocument/2006/relationships/hyperlink" Id="rId14"/>
    <Relationship Target="media/document_image_rId15.png" Type="http://schemas.openxmlformats.org/officeDocument/2006/relationships/image" Id="rId15"/>
    <Relationship TargetMode="External" Target="https://www.legis.iowa.gov/docs/ico/chapter/455B.306.pdf" Type="http://schemas.openxmlformats.org/officeDocument/2006/relationships/hyperlink" Id="rId16"/>
    <Relationship TargetMode="External" Target="https://www.legis.iowa.gov/docs/ico/chapter/455J.3.pdf" Type="http://schemas.openxmlformats.org/officeDocument/2006/relationships/hyperlink" Id="rId17"/>
    <Relationship TargetMode="External" Target="https://www.legis.iowa.gov/docs/ico/chapter/455J.5.pdf" Type="http://schemas.openxmlformats.org/officeDocument/2006/relationships/hyperlink" Id="rId18"/>
    <Relationship TargetMode="External" Target="https://www.legis.iowa.gov/docs/ico/chapter/455J.3.pdf" Type="http://schemas.openxmlformats.org/officeDocument/2006/relationships/hyperlink" Id="rId19"/>
    <Relationship TargetMode="External" Target="https://www.legis.iowa.gov/docs/ico/chapter/455B.310.pdf" Type="http://schemas.openxmlformats.org/officeDocument/2006/relationships/hyperlink" Id="rId20"/>
    <Relationship TargetMode="External" Target="https://www.legis.iowa.gov/docs/ico/chapter/455E.11.pdf" Type="http://schemas.openxmlformats.org/officeDocument/2006/relationships/hyperlink" Id="rId21"/>
    <Relationship TargetMode="External" Target="https://www.legis.iowa.gov/docs/iac/rule/567.104.8.pdf" Type="http://schemas.openxmlformats.org/officeDocument/2006/relationships/hyperlink" Id="rId22"/>
    <Relationship TargetMode="External" Target="https://www.legis.iowa.gov/docs/ico/chapter/455J.7.pdf" Type="http://schemas.openxmlformats.org/officeDocument/2006/relationships/hyperlink" Id="rId23"/>
    <Relationship TargetMode="External" Target="https://www.legis.iowa.gov/docs/ico/chapter/455J.5.pdf" Type="http://schemas.openxmlformats.org/officeDocument/2006/relationships/hyperlink" Id="rId24"/>
    <Relationship TargetMode="External" Target="https://www.legis.iowa.gov/docs/ico/chapter/455B.306.pdf" Type="http://schemas.openxmlformats.org/officeDocument/2006/relationships/hyperlink" Id="rId25"/>
    <Relationship TargetMode="External" Target="https://www.legis.iowa.gov/docs/ico/chapter/455B.306.pdf" Type="http://schemas.openxmlformats.org/officeDocument/2006/relationships/hyperlink" Id="rId26"/>
    <Relationship TargetMode="External" Target="https://www.legis.iowa.gov/docs/ico/chapter/455B.306.pdf" Type="http://schemas.openxmlformats.org/officeDocument/2006/relationships/hyperlink" Id="rId27"/>
    <Relationship TargetMode="External" Target="https://www.legis.iowa.gov/docs/ico/chapter/455B.310.pdf" Type="http://schemas.openxmlformats.org/officeDocument/2006/relationships/hyperlink" Id="rId28"/>
    <Relationship TargetMode="External" Target="https://www.legis.iowa.gov/docs/ico/chapter/455B.310.pdf" Type="http://schemas.openxmlformats.org/officeDocument/2006/relationships/hyperlink" Id="rId29"/>
    <Relationship TargetMode="External" Target="https://www.legis.iowa.gov/docs/ico/chapter/455B.301A.pdf" Type="http://schemas.openxmlformats.org/officeDocument/2006/relationships/hyperlink" Id="rId30"/>
    <Relationship TargetMode="External" Target="https://www.legis.iowa.gov/docs/ico/chapter/455B.302.pdf" Type="http://schemas.openxmlformats.org/officeDocument/2006/relationships/hyperlink" Id="rId31"/>
    <Relationship TargetMode="External" Target="https://www.legis.iowa.gov/docs/ico/chapter/455B.306.pdf" Type="http://schemas.openxmlformats.org/officeDocument/2006/relationships/hyperlink" Id="rId32"/>
    <Relationship TargetMode="External" Target="https://www.legis.iowa.gov/docs/ico/chapter/455B.310.pdf" Type="http://schemas.openxmlformats.org/officeDocument/2006/relationships/hyperlink" Id="rId33"/>
    <Relationship TargetMode="External" Target="https://www.legis.iowa.gov/docs/ico/chapter/455D.3.pdf" Type="http://schemas.openxmlformats.org/officeDocument/2006/relationships/hyperlink" Id="rId34"/>
    <Relationship TargetMode="External" Target="https://www.legis.iowa.gov/docs/ico/chapter/455J.pdf" Type="http://schemas.openxmlformats.org/officeDocument/2006/relationships/hyperlink" Id="rId35"/>
    <Relationship Target="footer.xml" Type="http://schemas.openxmlformats.org/officeDocument/2006/relationships/footer"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