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image/png" PartName="/word/media/document_image_rId56.png"/>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line="480"/>
        <w:ind w:left="120"/>
        <w:jc w:val="left"/>
      </w:pPr>
      <w:bookmarkStart w:name="firstARC" w:id="0"/>
      <w:bookmarkEnd w:id="0"/>
    </w:p>
    <w:bookmarkStart w:name="arc0483D" w:id="1"/>
    <w:p>
      <w:pPr>
        <w:spacing w:before="0" w:after="0" w:line="480"/>
        <w:ind w:left="120"/>
        <w:jc w:val="right"/>
      </w:pPr>
      <w:r>
        <w:rPr>
          <w:rFonts w:ascii="Times New Roman" w:hAnsi="Times New Roman"/>
          <w:b/>
          <w:i w:val="false"/>
          <w:color w:val="000000"/>
          <w:sz w:val="28"/>
        </w:rPr>
        <w:t>ARC 0483D</w:t>
      </w:r>
    </w:p>
    <w:bookmarkEnd w:id="1"/>
    <w:p>
      <w:pPr>
        <w:pBdr>
          <w:top w:space="5"/>
        </w:pBdr>
        <w:spacing w:before="0" w:after="0" w:line="480"/>
        <w:ind w:left="120"/>
        <w:jc w:val="center"/>
      </w:pPr>
      <w:r>
        <w:rPr>
          <w:rFonts w:ascii="Times New Roman" w:hAnsi="Times New Roman"/>
          <w:b/>
          <w:i w:val="false"/>
          <w:color w:val="000000"/>
          <w:sz w:val="28"/>
        </w:rPr>
        <w:t>ENVIRONMENTAL PROTECTION COMMISSION[567]</w:t>
      </w:r>
    </w:p>
    <w:p>
      <w:pPr>
        <w:pBdr>
          <w:top w:space="2"/>
        </w:pBdr>
        <w:spacing w:before="0" w:after="0" w:line="480"/>
        <w:ind w:left="120"/>
        <w:jc w:val="center"/>
      </w:pPr>
      <w:r>
        <w:rPr>
          <w:rFonts w:ascii="Times New Roman" w:hAnsi="Times New Roman"/>
          <w:b/>
          <w:i w:val="false"/>
          <w:color w:val="000000"/>
          <w:sz w:val="24"/>
        </w:rPr>
        <w:t>Adopted and Filed</w:t>
      </w:r>
    </w:p>
    <w:p>
      <w:pPr>
        <w:spacing w:before="0" w:after="0" w:line="480"/>
        <w:ind w:left="120"/>
        <w:jc w:val="center"/>
      </w:pPr>
      <w:r>
        <w:rPr>
          <w:rFonts w:ascii="Times New Roman" w:hAnsi="Times New Roman"/>
          <w:b/>
          <w:i w:val="false"/>
          <w:color w:val="000000"/>
          <w:sz w:val="24"/>
        </w:rPr>
        <w:t xml:space="preserve">Rulemaking related to management of solid waste through </w:t>
      </w:r>
      <w:r>
        <w:br/>
      </w:r>
      <w:r>
        <w:rPr>
          <w:rFonts w:ascii="Times New Roman" w:hAnsi="Times New Roman"/>
          <w:b/>
          <w:i w:val="false"/>
          <w:color w:val="000000"/>
          <w:sz w:val="24"/>
        </w:rPr>
        <w:t>means other than sanitary disposal projects</w:t>
      </w:r>
    </w:p>
    <w:p>
      <w:pPr>
        <w:pBdr>
          <w:top w:space="5"/>
        </w:pBdr>
        <w:spacing w:before="0" w:after="0" w:line="480"/>
        <w:ind w:left="120"/>
        <w:jc w:val="both"/>
      </w:pPr>
      <w:r>
        <w:rPr>
          <w:rFonts w:ascii="Times New Roman" w:hAnsi="Times New Roman"/>
          <w:b w:val="false"/>
          <w:i w:val="false"/>
          <w:color w:val="000000"/>
          <w:sz w:val="24"/>
        </w:rPr>
        <w:t>    The Environmental Protection Commission (Commission) hereby rescinds Chapter 102, “Permits and Rules of Practice”; adopts a new Chapter 102, “Solid Waste Management”; and rescinds Chapter 108, “Beneficial Use Determinations: Solid By-Products as Resources and Alternative Cover Material,” Chapter 116, “Registration of Waste Tire Haulers,” Chapter 117, “Waste Tire Management,” Chapter 118, “Discarded Appliance Demanufacturing,” Chapter 120, “Landfarming of Petroleum Contaminated Soil,” Chapter 121, “Land Application of Wastes,” and Chapter 122, “Cathode Ray Tube Recycling,” Iowa Administrative Code.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adopted under the authority provided in Iowa Code sections 455B.173, 455B.304, 455B.383, 455D.6, 455D.9, 455D.11 and 455D.11I.</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chapters 9 and 455D and sections 455B.173, 455B.301A, 455B.304, 455B.383, 455D.6, 455D.11 to 455D.11B and 455D.11I.</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Prior Chapters 105, 108, 109, 116, 117, 118, 120, 121, and 122 were reviewed consistent with Executive Order 10 (2023). New Chapter 102 consolidates these nine chapters related to the management of solid waste through means other than sanitary disposal projects. No new programs are being adopted. All content from the original chapters was reviewed consistent with Executive Order 10 and has been revised for clarity. Obsolete, redundant, or unneeded language was removed. The new chapter will contain eight divisions, with summaries and purposes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Division I—Organic Materials Compost Facilities</w:t>
      </w:r>
      <w:r>
        <w:rPr>
          <w:rFonts w:ascii="Times New Roman" w:hAnsi="Times New Roman"/>
          <w:b w:val="false"/>
          <w:i w:val="false"/>
          <w:color w:val="000000"/>
          <w:sz w:val="24"/>
        </w:rPr>
        <w:t>: This repromulgation of current 567—Chapter 105 ensures that composting is done in a way that produces a usable final product, does not cause a nuisance for neighbors, and prevents contamination to surface and ground water. This new division provides a tiered approach to composting, based on both volume and type of material being composted. This allows some smaller compost facilities that currently have an individual permit to instead operate under a permit-by-rule. It also allows some compost facilities to accept limited amounts of food waste that they are currently unable to accept. The provisions related to the composting of dead animals have been removed, except to the extent necessary to ensure the Department of Natural Resources retains regulatory oversight over the composting of other organic matter.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Division II—Land Application of Waste</w:t>
      </w:r>
      <w:r>
        <w:rPr>
          <w:rFonts w:ascii="Times New Roman" w:hAnsi="Times New Roman"/>
          <w:b w:val="false"/>
          <w:i w:val="false"/>
          <w:color w:val="000000"/>
          <w:sz w:val="24"/>
        </w:rPr>
        <w:t>: This repromulgation of current 567—Chapter 121 allows for industrial sludge and certain solid wastes to be applied to farmland as a means of disposal. The revised division provides clarity and omits unneeded language.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Division III—Landfarming of Petroleum Contaminated Soil</w:t>
      </w:r>
      <w:r>
        <w:rPr>
          <w:rFonts w:ascii="Times New Roman" w:hAnsi="Times New Roman"/>
          <w:b w:val="false"/>
          <w:i w:val="false"/>
          <w:color w:val="000000"/>
          <w:sz w:val="24"/>
        </w:rPr>
        <w:t>: This repromulgation of current 567—Chapter 120 establishes rules for the safe and effective remediation and disposal of petroleum contaminated soil (PCS) through landfarming.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Division IV—Beneficial Use</w:t>
      </w:r>
      <w:r>
        <w:rPr>
          <w:rFonts w:ascii="Times New Roman" w:hAnsi="Times New Roman"/>
          <w:b w:val="false"/>
          <w:i w:val="false"/>
          <w:color w:val="000000"/>
          <w:sz w:val="24"/>
        </w:rPr>
        <w:t>: This repromulgation of current 567—Chapter 108 encourages the use of solid by-products when such utilization improves, or at a minimum does not adversely affect, human health and the environment. Regulations for solid by-products utilized in the manufacture of a commercial product have not been repromulgated since they are considered a raw commodity used in a manufacturing process for which the Commission has no regulatory oversight.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Division V—Waste Tire Management</w:t>
      </w:r>
      <w:r>
        <w:rPr>
          <w:rFonts w:ascii="Times New Roman" w:hAnsi="Times New Roman"/>
          <w:b w:val="false"/>
          <w:i w:val="false"/>
          <w:color w:val="000000"/>
          <w:sz w:val="24"/>
        </w:rPr>
        <w:t>: This repromulgation of current 567—Chapters 116 and 117 establishes guidelines for the proper management of waste tires, including collection, hauling, storage, processing, disposal, and beneficial reuse of waste tires and processed waste tire materials.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Division VI—Special Waste Authorizations</w:t>
      </w:r>
      <w:r>
        <w:rPr>
          <w:rFonts w:ascii="Times New Roman" w:hAnsi="Times New Roman"/>
          <w:b w:val="false"/>
          <w:i w:val="false"/>
          <w:color w:val="000000"/>
          <w:sz w:val="24"/>
        </w:rPr>
        <w:t>: This repromulgation of current 567—Chapter 109 provides safe and proper management for disposal of wastes that present a threat to human health or the environment or waste with inherent properties that make the disposal of the waste in a municipal solid waste landfill difficult to manage.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Division VII—Discarded Appliance Demanufacturing</w:t>
      </w:r>
      <w:r>
        <w:rPr>
          <w:rFonts w:ascii="Times New Roman" w:hAnsi="Times New Roman"/>
          <w:b w:val="false"/>
          <w:i w:val="false"/>
          <w:color w:val="000000"/>
          <w:sz w:val="24"/>
        </w:rPr>
        <w:t>: This repromulgation of current 567—Chapter 118 ensures that hazardous materials found in appliances are managed in a way that protects human health and the environment when the appliances are recycled or discarded.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Division VIII—Cathode Ray Tube Recycling</w:t>
      </w:r>
      <w:r>
        <w:rPr>
          <w:rFonts w:ascii="Times New Roman" w:hAnsi="Times New Roman"/>
          <w:b w:val="false"/>
          <w:i w:val="false"/>
          <w:color w:val="000000"/>
          <w:sz w:val="24"/>
        </w:rPr>
        <w:t>: This repromulgation of current 567—Chapter 122 implements rules for the recycling of discarded cathode ray tubes (CRTs) and the disassembly and removal of toxic parts from discarded CRTs in a manner that is safe for human health and the environment.</w:t>
      </w:r>
    </w:p>
    <w:p>
      <w:pPr>
        <w:pBdr>
          <w:top w:space="2"/>
        </w:pBdr>
        <w:spacing w:before="0" w:after="0" w:line="480"/>
        <w:ind w:left="120"/>
        <w:jc w:val="center"/>
      </w:pPr>
      <w:r>
        <w:rPr>
          <w:rFonts w:ascii="Times New Roman" w:hAnsi="Times New Roman"/>
          <w:b w:val="false"/>
          <w:i/>
          <w:color w:val="000000"/>
          <w:sz w:val="24"/>
        </w:rPr>
        <w:t>Public Comment and Changes to Rulemaking</w:t>
      </w:r>
    </w:p>
    <w:p>
      <w:pPr>
        <w:spacing w:before="0" w:after="0" w:line="480"/>
        <w:ind w:left="120"/>
        <w:jc w:val="both"/>
      </w:pPr>
      <w:r>
        <w:rPr>
          <w:rFonts w:ascii="Times New Roman" w:hAnsi="Times New Roman"/>
          <w:b w:val="false"/>
          <w:i w:val="false"/>
          <w:color w:val="000000"/>
          <w:sz w:val="24"/>
        </w:rPr>
        <w:t xml:space="preserve">    Notice of Intended Action for this rulemaking was published in the Iowa Administrative Bulletin on January 7, 2026, as </w:t>
      </w:r>
      <w:r>
        <w:rPr>
          <w:rFonts w:ascii="Times New Roman" w:hAnsi="Times New Roman"/>
          <w:b/>
          <w:i w:val="false"/>
          <w:color w:val="000000"/>
          <w:sz w:val="24"/>
        </w:rPr>
        <w:t>ARC 9926C</w:t>
      </w:r>
      <w:r>
        <w:rPr>
          <w:rFonts w:ascii="Times New Roman" w:hAnsi="Times New Roman"/>
          <w:b w:val="false"/>
          <w:i w:val="false"/>
          <w:color w:val="000000"/>
          <w:sz w:val="24"/>
        </w:rPr>
        <w:t xml:space="preserve">. An Amended Notice of Intended Action was published in the Iowa Administrative Bulletin on June 10, 2026, as </w:t>
      </w:r>
      <w:r>
        <w:rPr>
          <w:rFonts w:ascii="Times New Roman" w:hAnsi="Times New Roman"/>
          <w:b/>
          <w:i w:val="false"/>
          <w:color w:val="000000"/>
          <w:sz w:val="24"/>
        </w:rPr>
        <w:t>ARC 0356D</w:t>
      </w:r>
      <w:r>
        <w:rPr>
          <w:rFonts w:ascii="Times New Roman" w:hAnsi="Times New Roman"/>
          <w:b w:val="false"/>
          <w:i w:val="false"/>
          <w:color w:val="000000"/>
          <w:sz w:val="24"/>
        </w:rPr>
        <w:t xml:space="preserve">. A public hearing was held on the following date(s): </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June 30, 2026</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July 1, 2026</w:t>
      </w:r>
    </w:p>
    <w:p>
      <w:pPr>
        <w:spacing w:before="0" w:after="0" w:line="480"/>
        <w:ind w:left="120"/>
        <w:jc w:val="both"/>
      </w:pPr>
      <w:r>
        <w:rPr>
          <w:rFonts w:ascii="Times New Roman" w:hAnsi="Times New Roman"/>
          <w:b w:val="false"/>
          <w:i w:val="false"/>
          <w:color w:val="000000"/>
          <w:sz w:val="24"/>
        </w:rPr>
        <w:t>    Comments were provided by two people representing four organizations. The comments received related to improving clarity of the rules regarding the composting of dead animals and manure, specifically to avoid statutory and regulatory conflicts and overlapping authorities with other regulatory programs and State agencies. No other public comments were received.</w:t>
      </w:r>
    </w:p>
    <w:p>
      <w:pPr>
        <w:spacing w:before="0" w:after="0" w:line="480"/>
        <w:ind w:left="120"/>
        <w:jc w:val="both"/>
      </w:pPr>
      <w:r>
        <w:rPr>
          <w:rFonts w:ascii="Times New Roman" w:hAnsi="Times New Roman"/>
          <w:b w:val="false"/>
          <w:i w:val="false"/>
          <w:color w:val="000000"/>
          <w:sz w:val="24"/>
        </w:rPr>
        <w:t>    Minor wording changes were made to provide clarity in these areas.</w:t>
      </w:r>
    </w:p>
    <w:p>
      <w:pPr>
        <w:pBdr>
          <w:top w:space="2"/>
        </w:pBdr>
        <w:spacing w:before="0" w:after="0" w:line="480"/>
        <w:ind w:left="120"/>
        <w:jc w:val="center"/>
      </w:pPr>
      <w:r>
        <w:rPr>
          <w:rFonts w:ascii="Times New Roman" w:hAnsi="Times New Roman"/>
          <w:b w:val="false"/>
          <w:i/>
          <w:color w:val="000000"/>
          <w:sz w:val="24"/>
        </w:rPr>
        <w:t>Adoption of Rulemaking</w:t>
      </w:r>
    </w:p>
    <w:p>
      <w:pPr>
        <w:pBdr>
          <w:top w:space="5"/>
        </w:pBdr>
        <w:spacing w:before="0" w:after="0" w:line="480"/>
        <w:ind w:left="120"/>
        <w:jc w:val="both"/>
      </w:pPr>
      <w:r>
        <w:rPr>
          <w:rFonts w:ascii="Times New Roman" w:hAnsi="Times New Roman"/>
          <w:b w:val="false"/>
          <w:i w:val="false"/>
          <w:color w:val="000000"/>
          <w:sz w:val="24"/>
        </w:rPr>
        <w:t>    This rulemaking was adopted by the Commission on July 21, 2026.</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Any person who believes that the application of the discretionary provisions of this rulemaking would result in hardship or injustice to that person may petition the Commission for a waiver of the discretionary provisions, if any, pursuant to Iowa Code section 17A.9A and 7—Chapter 2504.</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4">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2"/>
        </w:pBdr>
        <w:spacing w:before="0" w:after="0" w:line="480"/>
        <w:ind w:left="120"/>
        <w:jc w:val="center"/>
      </w:pPr>
      <w:r>
        <w:rPr>
          <w:rFonts w:ascii="Times New Roman" w:hAnsi="Times New Roman"/>
          <w:b w:val="false"/>
          <w:i/>
          <w:color w:val="000000"/>
          <w:sz w:val="24"/>
        </w:rPr>
        <w:t>Effective Date</w:t>
      </w:r>
    </w:p>
    <w:p>
      <w:pPr>
        <w:pBdr>
          <w:top w:space="5"/>
        </w:pBdr>
        <w:spacing w:before="0" w:after="0" w:line="480"/>
        <w:ind w:left="120"/>
        <w:jc w:val="both"/>
      </w:pPr>
      <w:r>
        <w:rPr>
          <w:rFonts w:ascii="Times New Roman" w:hAnsi="Times New Roman"/>
          <w:b w:val="false"/>
          <w:i w:val="false"/>
          <w:color w:val="000000"/>
          <w:sz w:val="24"/>
        </w:rPr>
        <w:t>    This rulemaking will become effective on September 23, 2026.</w:t>
      </w:r>
    </w:p>
    <w:p>
      <w:pPr>
        <w:pBdr>
          <w:top w:space="5"/>
        </w:pBdr>
        <w:spacing w:before="0" w:after="0" w:line="480"/>
        <w:ind w:left="120"/>
        <w:jc w:val="both"/>
      </w:pPr>
      <w:r>
        <w:rPr>
          <w:rFonts w:ascii="Times New Roman" w:hAnsi="Times New Roman"/>
          <w:b w:val="false"/>
          <w:i w:val="false"/>
          <w:color w:val="000000"/>
          <w:sz w:val="24"/>
        </w:rPr>
        <w:t>    The following rulemaking action is adopted:</w:t>
      </w:r>
    </w:p>
    <w:p>
      <w:pPr>
        <w:spacing w:before="0" w:after="0" w:line="480"/>
        <w:ind w:left="120"/>
        <w:jc w:val="left"/>
      </w:pP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w:t>
      </w:r>
      <w:r>
        <w:rPr>
          <w:rFonts w:ascii="Times New Roman" w:hAnsi="Times New Roman"/>
          <w:b w:val="false"/>
          <w:i w:val="false"/>
          <w:color w:val="000000"/>
          <w:sz w:val="24"/>
        </w:rPr>
        <w:t>567—Chapter 102</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chapter in lieu thereof:</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102</w:t>
      </w:r>
    </w:p>
    <w:p>
      <w:pPr>
        <w:spacing w:before="0" w:after="0" w:line="480"/>
        <w:ind w:left="120"/>
        <w:jc w:val="center"/>
      </w:pPr>
      <w:r>
        <w:rPr>
          <w:rFonts w:ascii="Times New Roman" w:hAnsi="Times New Roman"/>
          <w:b w:val="false"/>
          <w:i w:val="false"/>
          <w:color w:val="000000"/>
          <w:sz w:val="21"/>
        </w:rPr>
        <w:t>SOLID WASTE MANAGEMENT</w:t>
      </w:r>
    </w:p>
    <w:p>
      <w:pPr>
        <w:pBdr>
          <w:top w:space="10"/>
        </w:pBdr>
        <w:spacing w:before="0" w:after="0" w:line="480"/>
        <w:ind w:left="120"/>
        <w:jc w:val="center"/>
      </w:pPr>
      <w:r>
        <w:rPr>
          <w:rFonts w:ascii="Times New Roman" w:hAnsi="Times New Roman"/>
          <w:b w:val="false"/>
          <w:i w:val="false"/>
          <w:color w:val="000000"/>
          <w:sz w:val="16"/>
        </w:rPr>
        <w:t>DIVISION I</w:t>
      </w:r>
    </w:p>
    <w:p>
      <w:pPr>
        <w:pBdr>
          <w:bottom w:space="10"/>
        </w:pBdr>
        <w:spacing w:before="0" w:after="0" w:line="480"/>
        <w:ind w:left="120"/>
        <w:jc w:val="center"/>
      </w:pPr>
      <w:r>
        <w:rPr>
          <w:rFonts w:ascii="Times New Roman" w:hAnsi="Times New Roman"/>
          <w:b w:val="false"/>
          <w:i w:val="false"/>
          <w:color w:val="000000"/>
          <w:sz w:val="16"/>
        </w:rPr>
        <w:t>ORGANIC MATERIALS COMPOSTING FACILITIES</w:t>
      </w:r>
    </w:p>
    <w:p>
      <w:pPr>
        <w:spacing w:before="0" w:after="0" w:line="480"/>
        <w:ind w:left="120"/>
        <w:jc w:val="both"/>
      </w:pPr>
      <w:r>
        <w:rPr>
          <w:rFonts w:ascii="Times New Roman" w:hAnsi="Times New Roman"/>
          <w:b/>
          <w:i w:val="false"/>
          <w:color w:val="000000"/>
          <w:sz w:val="24"/>
        </w:rPr>
        <w:t>567—102.1</w:t>
      </w:r>
      <w:r>
        <w:rPr>
          <w:rFonts w:ascii="Times New Roman" w:hAnsi="Times New Roman"/>
          <w:b/>
          <w:i w:val="false"/>
          <w:color w:val="000000"/>
          <w:sz w:val="24"/>
        </w:rPr>
        <w:t xml:space="preserve">(455D) </w:t>
      </w:r>
      <w:r>
        <w:rPr>
          <w:rFonts w:ascii="Times New Roman" w:hAnsi="Times New Roman"/>
          <w:b/>
          <w:i w:val="false"/>
          <w:color w:val="000000"/>
          <w:sz w:val="24"/>
        </w:rPr>
        <w:t xml:space="preserve">Applicability; compliance. </w:t>
      </w:r>
      <w:r>
        <w:rPr>
          <w:rFonts w:ascii="Times New Roman" w:hAnsi="Times New Roman"/>
          <w:b w:val="false"/>
          <w:i w:val="false"/>
          <w:color w:val="000000"/>
          <w:sz w:val="24"/>
        </w:rPr>
        <w:t xml:space="preserve">This division shall apply to the composting of organic material, including yard wastes. Composting facilities may include turned windrows, aerated static piles, aerated in-vessel systems, or other methods approved by the department. This division does not apply to manure composted under </w:t>
      </w:r>
      <w:hyperlink r:id="rId5">
        <w:r>
          <w:rPr>
            <w:rStyle w:val="Hyperlink"/>
            <w:rFonts w:ascii="Times New Roman" w:hAnsi="Times New Roman"/>
            <w:b w:val="false"/>
            <w:i w:val="false"/>
            <w:color w:val="000000"/>
            <w:sz w:val="24"/>
          </w:rPr>
          <w:t>567—Chapter 65</w:t>
        </w:r>
      </w:hyperlink>
      <w:r>
        <w:rPr>
          <w:rFonts w:ascii="Times New Roman" w:hAnsi="Times New Roman"/>
          <w:b w:val="false"/>
          <w:i w:val="false"/>
          <w:color w:val="000000"/>
          <w:sz w:val="24"/>
        </w:rPr>
        <w:t xml:space="preserve"> or other provisions of Iowa law, dead animals and raw rendering material disposed under the authority of the department of agriculture and land stewardship (IDALS), materials managed under Iowa Code chapter </w:t>
      </w:r>
      <w:hyperlink r:id="rId6">
        <w:r>
          <w:rPr>
            <w:rStyle w:val="Hyperlink"/>
            <w:rFonts w:ascii="Times New Roman" w:hAnsi="Times New Roman"/>
            <w:b w:val="false"/>
            <w:i w:val="false"/>
            <w:color w:val="000000"/>
            <w:sz w:val="24"/>
          </w:rPr>
          <w:t>200A</w:t>
        </w:r>
      </w:hyperlink>
      <w:r>
        <w:rPr>
          <w:rFonts w:ascii="Times New Roman" w:hAnsi="Times New Roman"/>
          <w:b w:val="false"/>
          <w:i w:val="false"/>
          <w:color w:val="000000"/>
          <w:sz w:val="24"/>
        </w:rPr>
        <w:t xml:space="preserve"> (bulk dry animal nutrient products), or to the sale or distribution of finished compost covered in Iowa Code chapter </w:t>
      </w:r>
      <w:hyperlink r:id="rId7">
        <w:r>
          <w:rPr>
            <w:rStyle w:val="Hyperlink"/>
            <w:rFonts w:ascii="Times New Roman" w:hAnsi="Times New Roman"/>
            <w:b w:val="false"/>
            <w:i w:val="false"/>
            <w:color w:val="000000"/>
            <w:sz w:val="24"/>
          </w:rPr>
          <w:t>200</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102.1(1)</w:t>
      </w:r>
      <w:r>
        <w:rPr>
          <w:rFonts w:ascii="Times New Roman" w:hAnsi="Times New Roman"/>
          <w:b w:val="false"/>
          <w:i w:val="false"/>
          <w:color w:val="000000"/>
          <w:sz w:val="24"/>
        </w:rPr>
        <w:t> </w:t>
      </w:r>
      <w:r>
        <w:rPr>
          <w:rFonts w:ascii="Times New Roman" w:hAnsi="Times New Roman"/>
          <w:b w:val="false"/>
          <w:i w:val="false"/>
          <w:color w:val="000000"/>
          <w:sz w:val="24"/>
        </w:rPr>
        <w:t>Compliance with this division in no way relieves the compost facility of the responsibility of complying with all other local, state, or federal statutes, ordinances, and rules and other applicable requirements.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102.1(2)</w:t>
      </w:r>
      <w:r>
        <w:rPr>
          <w:rFonts w:ascii="Times New Roman" w:hAnsi="Times New Roman"/>
          <w:b w:val="false"/>
          <w:i w:val="false"/>
          <w:color w:val="000000"/>
          <w:sz w:val="24"/>
        </w:rPr>
        <w:t> </w:t>
      </w:r>
      <w:r>
        <w:rPr>
          <w:rFonts w:ascii="Times New Roman" w:hAnsi="Times New Roman"/>
          <w:b w:val="false"/>
          <w:i w:val="false"/>
          <w:color w:val="000000"/>
          <w:sz w:val="24"/>
        </w:rPr>
        <w:t>For purposes of this division, tonnages may be calculated by multiplying cubic yardage by bulk density.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102.1(3)</w:t>
      </w:r>
      <w:r>
        <w:rPr>
          <w:rFonts w:ascii="Times New Roman" w:hAnsi="Times New Roman"/>
          <w:b w:val="false"/>
          <w:i w:val="false"/>
          <w:color w:val="000000"/>
          <w:sz w:val="24"/>
        </w:rPr>
        <w:t> </w:t>
      </w:r>
      <w:r>
        <w:rPr>
          <w:rFonts w:ascii="Times New Roman" w:hAnsi="Times New Roman"/>
          <w:b w:val="false"/>
          <w:i w:val="false"/>
          <w:color w:val="000000"/>
          <w:sz w:val="24"/>
        </w:rPr>
        <w:t>All rules, standards, technical guidance, and other similar legal or technical documents referenced in this division shall be the version of those documents in effect on August 1, 2025, unless otherwise noted in these rules, and except for references to the Iowa Code and Iowa Administrative Code, which shall always be the most recent version unless otherwise noted in these rules.</w:t>
      </w:r>
    </w:p>
    <w:p>
      <w:pPr>
        <w:spacing w:before="210" w:after="0" w:line="480"/>
        <w:ind w:left="120"/>
        <w:jc w:val="both"/>
      </w:pPr>
      <w:r>
        <w:rPr>
          <w:rFonts w:ascii="Times New Roman" w:hAnsi="Times New Roman"/>
          <w:b/>
          <w:i w:val="false"/>
          <w:color w:val="000000"/>
          <w:sz w:val="24"/>
        </w:rPr>
        <w:t>567—102.2</w:t>
      </w:r>
      <w:r>
        <w:rPr>
          <w:rFonts w:ascii="Times New Roman" w:hAnsi="Times New Roman"/>
          <w:b/>
          <w:i w:val="false"/>
          <w:color w:val="000000"/>
          <w:sz w:val="24"/>
        </w:rPr>
        <w:t xml:space="preserve">(455D) </w:t>
      </w:r>
      <w:r>
        <w:rPr>
          <w:rFonts w:ascii="Times New Roman" w:hAnsi="Times New Roman"/>
          <w:b/>
          <w:i w:val="false"/>
          <w:color w:val="000000"/>
          <w:sz w:val="24"/>
        </w:rPr>
        <w:t xml:space="preserve">Definitions incorporated by reference. </w:t>
      </w:r>
      <w:r>
        <w:rPr>
          <w:rFonts w:ascii="Times New Roman" w:hAnsi="Times New Roman"/>
          <w:b w:val="false"/>
          <w:i w:val="false"/>
          <w:color w:val="000000"/>
          <w:sz w:val="24"/>
        </w:rPr>
        <w:t xml:space="preserve">The definitions in Iowa Code sections </w:t>
      </w:r>
      <w:hyperlink r:id="rId8">
        <w:r>
          <w:rPr>
            <w:rStyle w:val="Hyperlink"/>
            <w:rFonts w:ascii="Times New Roman" w:hAnsi="Times New Roman"/>
            <w:b w:val="false"/>
            <w:i w:val="false"/>
            <w:color w:val="000000"/>
            <w:sz w:val="24"/>
          </w:rPr>
          <w:t>455B.301</w:t>
        </w:r>
      </w:hyperlink>
      <w:r>
        <w:rPr>
          <w:rFonts w:ascii="Times New Roman" w:hAnsi="Times New Roman"/>
          <w:b w:val="false"/>
          <w:i w:val="false"/>
          <w:color w:val="000000"/>
          <w:sz w:val="24"/>
        </w:rPr>
        <w:t xml:space="preserve"> and </w:t>
      </w:r>
      <w:hyperlink r:id="rId9">
        <w:r>
          <w:rPr>
            <w:rStyle w:val="Hyperlink"/>
            <w:rFonts w:ascii="Times New Roman" w:hAnsi="Times New Roman"/>
            <w:b w:val="false"/>
            <w:i w:val="false"/>
            <w:color w:val="000000"/>
            <w:sz w:val="24"/>
          </w:rPr>
          <w:t>455D.9</w:t>
        </w:r>
      </w:hyperlink>
      <w:r>
        <w:rPr>
          <w:rFonts w:ascii="Times New Roman" w:hAnsi="Times New Roman"/>
          <w:b w:val="false"/>
          <w:i w:val="false"/>
          <w:color w:val="000000"/>
          <w:sz w:val="24"/>
        </w:rPr>
        <w:t xml:space="preserve"> and in </w:t>
      </w:r>
      <w:hyperlink r:id="rId10">
        <w:r>
          <w:rPr>
            <w:rStyle w:val="Hyperlink"/>
            <w:rFonts w:ascii="Times New Roman" w:hAnsi="Times New Roman"/>
            <w:b w:val="false"/>
            <w:i w:val="false"/>
            <w:color w:val="000000"/>
            <w:sz w:val="24"/>
          </w:rPr>
          <w:t>567—Chapter 100</w:t>
        </w:r>
      </w:hyperlink>
      <w:r>
        <w:rPr>
          <w:rFonts w:ascii="Times New Roman" w:hAnsi="Times New Roman"/>
          <w:b w:val="false"/>
          <w:i w:val="false"/>
          <w:color w:val="000000"/>
          <w:sz w:val="24"/>
        </w:rPr>
        <w:t xml:space="preserve"> shall apply to Division I of this chapter.</w:t>
      </w:r>
    </w:p>
    <w:p>
      <w:pPr>
        <w:spacing w:before="0" w:after="0" w:line="480"/>
        <w:ind w:left="120"/>
        <w:jc w:val="both"/>
      </w:pPr>
      <w:r>
        <w:rPr>
          <w:rFonts w:ascii="Times New Roman" w:hAnsi="Times New Roman"/>
          <w:b/>
          <w:i w:val="false"/>
          <w:color w:val="000000"/>
          <w:sz w:val="24"/>
        </w:rPr>
        <w:t>567—102.3</w:t>
      </w:r>
      <w:r>
        <w:rPr>
          <w:rFonts w:ascii="Times New Roman" w:hAnsi="Times New Roman"/>
          <w:b/>
          <w:i w:val="false"/>
          <w:color w:val="000000"/>
          <w:sz w:val="24"/>
        </w:rPr>
        <w:t xml:space="preserve">(455D) </w:t>
      </w:r>
      <w:r>
        <w:rPr>
          <w:rFonts w:ascii="Times New Roman" w:hAnsi="Times New Roman"/>
          <w:b/>
          <w:i w:val="false"/>
          <w:color w:val="000000"/>
          <w:sz w:val="24"/>
        </w:rPr>
        <w:t xml:space="preserve">Feedstock categories. </w:t>
      </w:r>
      <w:r>
        <w:rPr>
          <w:rFonts w:ascii="Times New Roman" w:hAnsi="Times New Roman"/>
          <w:b w:val="false"/>
          <w:i w:val="false"/>
          <w:color w:val="000000"/>
          <w:sz w:val="24"/>
        </w:rPr>
        <w:t>Compost feedstock are categorized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102.3(1)</w:t>
      </w:r>
      <w:r>
        <w:rPr>
          <w:rFonts w:ascii="Times New Roman" w:hAnsi="Times New Roman"/>
          <w:b w:val="false"/>
          <w:i w:val="false"/>
          <w:color w:val="000000"/>
          <w:sz w:val="24"/>
        </w:rPr>
        <w:t> </w:t>
      </w:r>
      <w:r>
        <w:rPr>
          <w:rFonts w:ascii="Times New Roman" w:hAnsi="Times New Roman"/>
          <w:b w:val="false"/>
          <w:i/>
          <w:color w:val="000000"/>
          <w:sz w:val="24"/>
        </w:rPr>
        <w:t xml:space="preserve">Type A feedstocks. </w:t>
      </w:r>
      <w:r>
        <w:rPr>
          <w:rFonts w:ascii="Times New Roman" w:hAnsi="Times New Roman"/>
          <w:b w:val="false"/>
          <w:i w:val="false"/>
          <w:color w:val="000000"/>
          <w:sz w:val="24"/>
        </w:rPr>
        <w:t>Type A feedstocks include yard waste, clean wood waste, crop residues, and other vegetative materials determined to pose a low level of risk to human health and the environment, including from physical contaminants and human pathogens.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102.3(2)</w:t>
      </w:r>
      <w:r>
        <w:rPr>
          <w:rFonts w:ascii="Times New Roman" w:hAnsi="Times New Roman"/>
          <w:b w:val="false"/>
          <w:i w:val="false"/>
          <w:color w:val="000000"/>
          <w:sz w:val="24"/>
        </w:rPr>
        <w:t> </w:t>
      </w:r>
      <w:r>
        <w:rPr>
          <w:rFonts w:ascii="Times New Roman" w:hAnsi="Times New Roman"/>
          <w:b w:val="false"/>
          <w:i/>
          <w:color w:val="000000"/>
          <w:sz w:val="24"/>
        </w:rPr>
        <w:t xml:space="preserve">Type B feedstocks. </w:t>
      </w:r>
      <w:r>
        <w:rPr>
          <w:rFonts w:ascii="Times New Roman" w:hAnsi="Times New Roman"/>
          <w:b w:val="false"/>
          <w:i w:val="false"/>
          <w:color w:val="000000"/>
          <w:sz w:val="24"/>
        </w:rPr>
        <w:t xml:space="preserve">Type B feedstocks include source-separated pre- and postconsumer food residuals; food processing residuals; dead animals; raw rendering material; certified compostable products; and animal excreta, manure, animal bedding and litter not regulated under </w:t>
      </w:r>
      <w:hyperlink r:id="rId11">
        <w:r>
          <w:rPr>
            <w:rStyle w:val="Hyperlink"/>
            <w:rFonts w:ascii="Times New Roman" w:hAnsi="Times New Roman"/>
            <w:b w:val="false"/>
            <w:i w:val="false"/>
            <w:color w:val="000000"/>
            <w:sz w:val="24"/>
          </w:rPr>
          <w:t>567—Chapter 65</w:t>
        </w:r>
      </w:hyperlink>
      <w:r>
        <w:rPr>
          <w:rFonts w:ascii="Times New Roman" w:hAnsi="Times New Roman"/>
          <w:b w:val="false"/>
          <w:i w:val="false"/>
          <w:color w:val="000000"/>
          <w:sz w:val="24"/>
        </w:rPr>
        <w:t xml:space="preserve"> or other provisions of Iowa law. Type B feedstocks are materials that the department determines pose a moderate level of risk to human health and the environment or have a higher level of risk from physical contaminants and human pathogens compared to Type A feedstocks.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102.3(3)</w:t>
      </w:r>
      <w:r>
        <w:rPr>
          <w:rFonts w:ascii="Times New Roman" w:hAnsi="Times New Roman"/>
          <w:b w:val="false"/>
          <w:i w:val="false"/>
          <w:color w:val="000000"/>
          <w:sz w:val="24"/>
        </w:rPr>
        <w:t> </w:t>
      </w:r>
      <w:r>
        <w:rPr>
          <w:rFonts w:ascii="Times New Roman" w:hAnsi="Times New Roman"/>
          <w:b w:val="false"/>
          <w:i/>
          <w:color w:val="000000"/>
          <w:sz w:val="24"/>
        </w:rPr>
        <w:t xml:space="preserve">Type C feedstocks. </w:t>
      </w:r>
      <w:r>
        <w:rPr>
          <w:rFonts w:ascii="Times New Roman" w:hAnsi="Times New Roman"/>
          <w:b w:val="false"/>
          <w:i w:val="false"/>
          <w:color w:val="000000"/>
          <w:sz w:val="24"/>
        </w:rPr>
        <w:t>Type C feedstocks include industrial process waste, sludges, biosolids, diapers, solid or semi-solid material from composting toilets, and industrial by-products not covered in Type B feedstocks. Type C feedstocks consist of materials the department determines pose a higher level of risk to human health and the environment from physical and chemical contaminants and human pathogens compared to Type A and B feedstocks.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102.3(4)</w:t>
      </w:r>
      <w:r>
        <w:rPr>
          <w:rFonts w:ascii="Times New Roman" w:hAnsi="Times New Roman"/>
          <w:b w:val="false"/>
          <w:i w:val="false"/>
          <w:color w:val="000000"/>
          <w:sz w:val="24"/>
        </w:rPr>
        <w:t> </w:t>
      </w:r>
      <w:r>
        <w:rPr>
          <w:rFonts w:ascii="Times New Roman" w:hAnsi="Times New Roman"/>
          <w:b w:val="false"/>
          <w:i/>
          <w:color w:val="000000"/>
          <w:sz w:val="24"/>
        </w:rPr>
        <w:t xml:space="preserve">Materials prohibited from use as a feedstock. </w:t>
      </w:r>
      <w:r>
        <w:rPr>
          <w:rFonts w:ascii="Times New Roman" w:hAnsi="Times New Roman"/>
          <w:b w:val="false"/>
          <w:i w:val="false"/>
          <w:color w:val="000000"/>
          <w:sz w:val="24"/>
        </w:rPr>
        <w:t xml:space="preserve">Materials prohibited from use as a feedstock include asbestos-containing material, biomedical wastes, infectious waste, human remains, petroleum-containing wastes, seed treated with pesticide and industrial waste derived from seed treated with pesticides, toxic wastes as defined in </w:t>
      </w:r>
      <w:hyperlink r:id="rId12">
        <w:r>
          <w:rPr>
            <w:rStyle w:val="Hyperlink"/>
            <w:rFonts w:ascii="Times New Roman" w:hAnsi="Times New Roman"/>
            <w:b w:val="false"/>
            <w:i w:val="false"/>
            <w:color w:val="000000"/>
            <w:sz w:val="24"/>
          </w:rPr>
          <w:t>567—109.3</w:t>
        </w:r>
      </w:hyperlink>
      <w:r>
        <w:rPr>
          <w:rFonts w:ascii="Times New Roman" w:hAnsi="Times New Roman"/>
          <w:b w:val="false"/>
          <w:i w:val="false"/>
          <w:color w:val="000000"/>
          <w:sz w:val="24"/>
        </w:rPr>
        <w:t xml:space="preserve">(455B,455D), radiological wastes, hazardous wastes as defined in Iowa Code section </w:t>
      </w:r>
      <w:hyperlink r:id="rId13">
        <w:r>
          <w:rPr>
            <w:rStyle w:val="Hyperlink"/>
            <w:rFonts w:ascii="Times New Roman" w:hAnsi="Times New Roman"/>
            <w:b w:val="false"/>
            <w:i w:val="false"/>
            <w:color w:val="000000"/>
            <w:sz w:val="24"/>
          </w:rPr>
          <w:t>455B.411</w:t>
        </w:r>
      </w:hyperlink>
      <w:r>
        <w:rPr>
          <w:rFonts w:ascii="Times New Roman" w:hAnsi="Times New Roman"/>
          <w:b w:val="false"/>
          <w:i w:val="false"/>
          <w:color w:val="000000"/>
          <w:sz w:val="24"/>
        </w:rPr>
        <w:t xml:space="preserve">, materials containing metals that exceed the concentrations listed in </w:t>
      </w:r>
      <w:hyperlink r:id="rId14">
        <w:r>
          <w:rPr>
            <w:rStyle w:val="Hyperlink"/>
            <w:rFonts w:ascii="Times New Roman" w:hAnsi="Times New Roman"/>
            <w:b w:val="false"/>
            <w:i w:val="false"/>
            <w:color w:val="000000"/>
            <w:sz w:val="24"/>
          </w:rPr>
          <w:t>102.9(5)</w:t>
        </w:r>
      </w:hyperlink>
      <w:r>
        <w:rPr>
          <w:rFonts w:ascii="Times New Roman" w:hAnsi="Times New Roman"/>
          <w:b w:val="false"/>
          <w:i/>
          <w:color w:val="000000"/>
          <w:sz w:val="24"/>
        </w:rPr>
        <w:t>“b,”</w:t>
      </w:r>
      <w:r>
        <w:rPr>
          <w:rFonts w:ascii="Times New Roman" w:hAnsi="Times New Roman"/>
          <w:b w:val="false"/>
          <w:i w:val="false"/>
          <w:color w:val="000000"/>
          <w:sz w:val="24"/>
        </w:rPr>
        <w:t xml:space="preserve"> and materials that have direct process stream contact with or originate from a process that may release petroleum products, organic solvents, pesticides, or polychlorinated biphenyls (PCBs).</w:t>
      </w:r>
    </w:p>
    <w:p>
      <w:pPr>
        <w:spacing w:before="0" w:after="0" w:line="480"/>
        <w:ind w:left="120"/>
        <w:jc w:val="both"/>
      </w:pPr>
      <w:r>
        <w:rPr>
          <w:rFonts w:ascii="Times New Roman" w:hAnsi="Times New Roman"/>
          <w:b/>
          <w:i w:val="false"/>
          <w:color w:val="000000"/>
          <w:sz w:val="24"/>
        </w:rPr>
        <w:t>567—102.4</w:t>
      </w:r>
      <w:r>
        <w:rPr>
          <w:rFonts w:ascii="Times New Roman" w:hAnsi="Times New Roman"/>
          <w:b/>
          <w:i w:val="false"/>
          <w:color w:val="000000"/>
          <w:sz w:val="24"/>
        </w:rPr>
        <w:t xml:space="preserve">(455D) </w:t>
      </w:r>
      <w:r>
        <w:rPr>
          <w:rFonts w:ascii="Times New Roman" w:hAnsi="Times New Roman"/>
          <w:b/>
          <w:i w:val="false"/>
          <w:color w:val="000000"/>
          <w:sz w:val="24"/>
        </w:rPr>
        <w:t xml:space="preserve">Exemptions. </w:t>
      </w:r>
      <w:r>
        <w:rPr>
          <w:rFonts w:ascii="Times New Roman" w:hAnsi="Times New Roman"/>
          <w:b w:val="false"/>
          <w:i w:val="false"/>
          <w:color w:val="000000"/>
          <w:sz w:val="24"/>
        </w:rPr>
        <w:t xml:space="preserve">The following activities are exempt from this division. These exemptions are not a defense to a nuisance action brought pursuant to Iowa Code chapter </w:t>
      </w:r>
      <w:hyperlink r:id="rId15">
        <w:r>
          <w:rPr>
            <w:rStyle w:val="Hyperlink"/>
            <w:rFonts w:ascii="Times New Roman" w:hAnsi="Times New Roman"/>
            <w:b w:val="false"/>
            <w:i w:val="false"/>
            <w:color w:val="000000"/>
            <w:sz w:val="24"/>
          </w:rPr>
          <w:t>657</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102.4(1)</w:t>
      </w:r>
      <w:r>
        <w:rPr>
          <w:rFonts w:ascii="Times New Roman" w:hAnsi="Times New Roman"/>
          <w:b w:val="false"/>
          <w:i w:val="false"/>
          <w:color w:val="000000"/>
          <w:sz w:val="24"/>
        </w:rPr>
        <w:t> </w:t>
      </w:r>
      <w:r>
        <w:rPr>
          <w:rFonts w:ascii="Times New Roman" w:hAnsi="Times New Roman"/>
          <w:b w:val="false"/>
          <w:i w:val="false"/>
          <w:color w:val="000000"/>
          <w:sz w:val="24"/>
        </w:rPr>
        <w:t>Type A or Type B, or both, feedstocks from a single household composted on site by the owner or tenant for use at the owner’s or tenant’s residence.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102.4(2)</w:t>
      </w:r>
      <w:r>
        <w:rPr>
          <w:rFonts w:ascii="Times New Roman" w:hAnsi="Times New Roman"/>
          <w:b w:val="false"/>
          <w:i w:val="false"/>
          <w:color w:val="000000"/>
          <w:sz w:val="24"/>
        </w:rPr>
        <w:t> </w:t>
      </w:r>
      <w:r>
        <w:rPr>
          <w:rFonts w:ascii="Times New Roman" w:hAnsi="Times New Roman"/>
          <w:b w:val="false"/>
          <w:i w:val="false"/>
          <w:color w:val="000000"/>
          <w:sz w:val="24"/>
        </w:rPr>
        <w:t>Composting of up to two tons per year of Type A feedstock or Type B feedstock, or both, excluding dead animals, singly or in combination, used on the same premises where it was composted. The feedstock may be generated off premises.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102.4(3)</w:t>
      </w:r>
      <w:r>
        <w:rPr>
          <w:rFonts w:ascii="Times New Roman" w:hAnsi="Times New Roman"/>
          <w:b w:val="false"/>
          <w:i w:val="false"/>
          <w:color w:val="000000"/>
          <w:sz w:val="24"/>
        </w:rPr>
        <w:t> </w:t>
      </w:r>
      <w:r>
        <w:rPr>
          <w:rFonts w:ascii="Times New Roman" w:hAnsi="Times New Roman"/>
          <w:b w:val="false"/>
          <w:i w:val="false"/>
          <w:color w:val="000000"/>
          <w:sz w:val="24"/>
        </w:rPr>
        <w:t xml:space="preserve">Composting of manure that is subject to </w:t>
      </w:r>
      <w:hyperlink r:id="rId16">
        <w:r>
          <w:rPr>
            <w:rStyle w:val="Hyperlink"/>
            <w:rFonts w:ascii="Times New Roman" w:hAnsi="Times New Roman"/>
            <w:b w:val="false"/>
            <w:i w:val="false"/>
            <w:color w:val="000000"/>
            <w:sz w:val="24"/>
          </w:rPr>
          <w:t>567—Chapter 65</w:t>
        </w:r>
      </w:hyperlink>
      <w:r>
        <w:rPr>
          <w:rFonts w:ascii="Times New Roman" w:hAnsi="Times New Roman"/>
          <w:b w:val="false"/>
          <w:i w:val="false"/>
          <w:color w:val="000000"/>
          <w:sz w:val="24"/>
        </w:rPr>
        <w:t xml:space="preserve"> and other provisions of Iowa law, unless mixed with wastes regulated pursuant to this chapter other than necessary bulking agents (such as wood chips, straw, cornstalks, bedding, and dry poultry litter).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102.4(4)</w:t>
      </w:r>
      <w:r>
        <w:rPr>
          <w:rFonts w:ascii="Times New Roman" w:hAnsi="Times New Roman"/>
          <w:b w:val="false"/>
          <w:i w:val="false"/>
          <w:color w:val="000000"/>
          <w:sz w:val="24"/>
        </w:rPr>
        <w:t> </w:t>
      </w:r>
      <w:r>
        <w:rPr>
          <w:rFonts w:ascii="Times New Roman" w:hAnsi="Times New Roman"/>
          <w:b w:val="false"/>
          <w:i w:val="false"/>
          <w:color w:val="000000"/>
          <w:sz w:val="24"/>
        </w:rPr>
        <w:t>Composting of dead animals, unless mixed with wastes regulated pursuant to this chapter other than necessary bulking agents (such as wood chips, straw, cornstalks, bedding, and dry poultry litter).</w:t>
      </w:r>
    </w:p>
    <w:p>
      <w:pPr>
        <w:spacing w:before="0" w:after="0" w:line="480"/>
        <w:ind w:left="120"/>
        <w:jc w:val="both"/>
      </w:pPr>
      <w:r>
        <w:rPr>
          <w:rFonts w:ascii="Times New Roman" w:hAnsi="Times New Roman"/>
          <w:b/>
          <w:i w:val="false"/>
          <w:color w:val="000000"/>
          <w:sz w:val="24"/>
        </w:rPr>
        <w:t>567—102.5</w:t>
      </w:r>
      <w:r>
        <w:rPr>
          <w:rFonts w:ascii="Times New Roman" w:hAnsi="Times New Roman"/>
          <w:b/>
          <w:i w:val="false"/>
          <w:color w:val="000000"/>
          <w:sz w:val="24"/>
        </w:rPr>
        <w:t xml:space="preserve">(455D) </w:t>
      </w:r>
      <w:r>
        <w:rPr>
          <w:rFonts w:ascii="Times New Roman" w:hAnsi="Times New Roman"/>
          <w:b/>
          <w:i w:val="false"/>
          <w:color w:val="000000"/>
          <w:sz w:val="24"/>
        </w:rPr>
        <w:t xml:space="preserve">General requirements for all composting activities not exempt. </w:t>
      </w:r>
      <w:r>
        <w:rPr>
          <w:rFonts w:ascii="Times New Roman" w:hAnsi="Times New Roman"/>
          <w:b w:val="false"/>
          <w:i w:val="false"/>
          <w:color w:val="000000"/>
          <w:sz w:val="24"/>
        </w:rPr>
        <w:t xml:space="preserve">Any composting facility that is not exempt under </w:t>
      </w:r>
      <w:hyperlink r:id="rId17">
        <w:r>
          <w:rPr>
            <w:rStyle w:val="Hyperlink"/>
            <w:rFonts w:ascii="Times New Roman" w:hAnsi="Times New Roman"/>
            <w:b w:val="false"/>
            <w:i w:val="false"/>
            <w:color w:val="000000"/>
            <w:sz w:val="24"/>
          </w:rPr>
          <w:t>567—102.4</w:t>
        </w:r>
      </w:hyperlink>
      <w:r>
        <w:rPr>
          <w:rFonts w:ascii="Times New Roman" w:hAnsi="Times New Roman"/>
          <w:b w:val="false"/>
          <w:i w:val="false"/>
          <w:color w:val="000000"/>
          <w:sz w:val="24"/>
        </w:rPr>
        <w:t>(455D) must comply with the following provisions.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102.5(1)</w:t>
      </w:r>
      <w:r>
        <w:rPr>
          <w:rFonts w:ascii="Times New Roman" w:hAnsi="Times New Roman"/>
          <w:b w:val="false"/>
          <w:i w:val="false"/>
          <w:color w:val="000000"/>
          <w:sz w:val="24"/>
        </w:rPr>
        <w:t> </w:t>
      </w:r>
      <w:r>
        <w:rPr>
          <w:rFonts w:ascii="Times New Roman" w:hAnsi="Times New Roman"/>
          <w:b w:val="false"/>
          <w:i/>
          <w:color w:val="000000"/>
          <w:sz w:val="24"/>
        </w:rPr>
        <w:t xml:space="preserve">Siting requirements.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composting facility shall be located: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At least 500 feet from any existing inhabited residence, not including the residence of a person owning or operating the compost facility, at the time the permit application was received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At least 200 feet from public wells.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At least 100 feet from private wells.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At least 50 feet from property lines.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At least 100 feet from flowing or intermittent streams, lakes, or ponds.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Outside of wetlands.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Composting done within a 100-year floodplain shall be in accordance with all local and department regulations, including </w:t>
      </w:r>
      <w:hyperlink r:id="rId18">
        <w:r>
          <w:rPr>
            <w:rStyle w:val="Hyperlink"/>
            <w:rFonts w:ascii="Times New Roman" w:hAnsi="Times New Roman"/>
            <w:b w:val="false"/>
            <w:i w:val="false"/>
            <w:color w:val="000000"/>
            <w:sz w:val="24"/>
          </w:rPr>
          <w:t>567—71.5</w:t>
        </w:r>
      </w:hyperlink>
      <w:r>
        <w:rPr>
          <w:rFonts w:ascii="Times New Roman" w:hAnsi="Times New Roman"/>
          <w:b w:val="false"/>
          <w:i w:val="false"/>
          <w:color w:val="000000"/>
          <w:sz w:val="24"/>
        </w:rPr>
        <w:t>(455B). Sediment ponds, engineered wetlands, or other constructed waterways for the purpose of pollution control are excluded from this subrule.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102.5(2)</w:t>
      </w:r>
      <w:r>
        <w:rPr>
          <w:rFonts w:ascii="Times New Roman" w:hAnsi="Times New Roman"/>
          <w:b w:val="false"/>
          <w:i w:val="false"/>
          <w:color w:val="000000"/>
          <w:sz w:val="24"/>
        </w:rPr>
        <w:t> </w:t>
      </w:r>
      <w:r>
        <w:rPr>
          <w:rFonts w:ascii="Times New Roman" w:hAnsi="Times New Roman"/>
          <w:b w:val="false"/>
          <w:i/>
          <w:color w:val="000000"/>
          <w:sz w:val="24"/>
        </w:rPr>
        <w:t xml:space="preserve">Design requirements.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Water shall be prevented from running onto the composting facility from adjacent land.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Management or disposal of contact water and stormwater shall be in accordance with </w:t>
      </w:r>
      <w:hyperlink r:id="rId19">
        <w:r>
          <w:rPr>
            <w:rStyle w:val="Hyperlink"/>
            <w:rFonts w:ascii="Times New Roman" w:hAnsi="Times New Roman"/>
            <w:b w:val="false"/>
            <w:i w:val="false"/>
            <w:color w:val="000000"/>
            <w:sz w:val="24"/>
          </w:rPr>
          <w:t>567—Chapter 60</w:t>
        </w:r>
      </w:hyperlink>
      <w:r>
        <w:rPr>
          <w:rFonts w:ascii="Times New Roman" w:hAnsi="Times New Roman"/>
          <w:b w:val="false"/>
          <w:i w:val="false"/>
          <w:color w:val="000000"/>
          <w:sz w:val="24"/>
        </w:rPr>
        <w:t xml:space="preserve"> if applicable.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Composting facilities shall be designed, constructed, and maintained so as to minimize ponding of water or liquids. Any ponding that does occur shall be corrected through routine facility maintenance within 48 hours after the termination of the event causing the ponding.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Composting not done in-vessel shall be done on a surface that will permit accessibility during periods of inclement weather. The receiving, processing, production, and curing shall take place on a surface of asphalt, concrete, compacted granular aggregate, clay, or similar relatively impermeable material. Composting facilities that only compost Type A feedstocks may have a surface of compacted soil. The surface must be maintained in a condition that prevents infiltration to the groundwater.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In-vessel composting shall be done in a container that does not leak, prevents access by vectors, and provides adequate aeration.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With the exception of in-vessel composting, the high-water table shall be at least 12 inches below the ground surface.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102.5(3)</w:t>
      </w:r>
      <w:r>
        <w:rPr>
          <w:rFonts w:ascii="Times New Roman" w:hAnsi="Times New Roman"/>
          <w:b w:val="false"/>
          <w:i w:val="false"/>
          <w:color w:val="000000"/>
          <w:sz w:val="24"/>
        </w:rPr>
        <w:t> </w:t>
      </w:r>
      <w:r>
        <w:rPr>
          <w:rFonts w:ascii="Times New Roman" w:hAnsi="Times New Roman"/>
          <w:b w:val="false"/>
          <w:i/>
          <w:color w:val="000000"/>
          <w:sz w:val="24"/>
        </w:rPr>
        <w:t xml:space="preserve">Operational requirements. </w:t>
      </w:r>
      <w:r>
        <w:rPr>
          <w:rFonts w:ascii="Times New Roman" w:hAnsi="Times New Roman"/>
          <w:b w:val="false"/>
          <w:i w:val="false"/>
          <w:color w:val="000000"/>
          <w:sz w:val="24"/>
        </w:rPr>
        <w:t>Composting facilities shall be operated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Aerobic conditions shall be maintained.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Composting facilities shall be free of unsecured trash at the end of each operating day.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Non-compostable waste shall be removed or stored in a container or containment area and recycled or disposed of at a permitted sanitary disposal project.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Organic materials shall be managed to minimize odors, dust, noise, litter, contact water, fire and scavenging by vectors.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Composting shall be performed in a manner that minimizes the formation of contact water.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Storage of cured compost shall be limited to 18 months unless prior written approval from the department is granted for an extension.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Compost shall not be applied to land, sold, or given away unless all of the following conditions are met: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Concentration of human-made inert materials such as glass, metal, and plastic is less than 1.5 percent by dry weight,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size of any human-made inert materials is less than 13 mm (0.512 inches).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Finished compost that contains bones that have not fully decomposed may be applied to cropland.</w:t>
      </w:r>
    </w:p>
    <w:p>
      <w:pPr>
        <w:spacing w:before="210" w:after="0" w:line="480"/>
        <w:ind w:left="120"/>
        <w:jc w:val="both"/>
      </w:pPr>
      <w:r>
        <w:rPr>
          <w:rFonts w:ascii="Times New Roman" w:hAnsi="Times New Roman"/>
          <w:b/>
          <w:i w:val="false"/>
          <w:color w:val="000000"/>
          <w:sz w:val="24"/>
        </w:rPr>
        <w:t>567—102.6</w:t>
      </w:r>
      <w:r>
        <w:rPr>
          <w:rFonts w:ascii="Times New Roman" w:hAnsi="Times New Roman"/>
          <w:b/>
          <w:i w:val="false"/>
          <w:color w:val="000000"/>
          <w:sz w:val="24"/>
        </w:rPr>
        <w:t xml:space="preserve">(455D) </w:t>
      </w:r>
      <w:r>
        <w:rPr>
          <w:rFonts w:ascii="Times New Roman" w:hAnsi="Times New Roman"/>
          <w:b/>
          <w:i w:val="false"/>
          <w:color w:val="000000"/>
          <w:sz w:val="24"/>
        </w:rPr>
        <w:t xml:space="preserve">Tier 1 composting facility. </w:t>
      </w:r>
      <w:r>
        <w:rPr>
          <w:rFonts w:ascii="Times New Roman" w:hAnsi="Times New Roman"/>
          <w:b w:val="false"/>
          <w:i w:val="false"/>
          <w:color w:val="000000"/>
          <w:sz w:val="24"/>
        </w:rPr>
        <w:t>A Tier 1 facility is a compost facility that composts an unlimited amount of Type A, Type B, or both feedstocks generated on the premises and up to a total of 250 tons per year of Type A, Type B, or both feedstocks generated off site.</w:t>
      </w:r>
    </w:p>
    <w:p>
      <w:pPr>
        <w:spacing w:before="0" w:after="0" w:line="480"/>
        <w:ind w:left="120"/>
        <w:jc w:val="both"/>
      </w:pPr>
      <w:r>
        <w:rPr>
          <w:rFonts w:ascii="Times New Roman" w:hAnsi="Times New Roman"/>
          <w:b/>
          <w:i w:val="false"/>
          <w:color w:val="000000"/>
          <w:sz w:val="24"/>
        </w:rPr>
        <w:t>567—102.7</w:t>
      </w:r>
      <w:r>
        <w:rPr>
          <w:rFonts w:ascii="Times New Roman" w:hAnsi="Times New Roman"/>
          <w:b/>
          <w:i w:val="false"/>
          <w:color w:val="000000"/>
          <w:sz w:val="24"/>
        </w:rPr>
        <w:t xml:space="preserve">(455D) </w:t>
      </w:r>
      <w:r>
        <w:rPr>
          <w:rFonts w:ascii="Times New Roman" w:hAnsi="Times New Roman"/>
          <w:b/>
          <w:i w:val="false"/>
          <w:color w:val="000000"/>
          <w:sz w:val="24"/>
        </w:rPr>
        <w:t xml:space="preserve">Tier 2 composting facility. </w:t>
      </w:r>
      <w:r>
        <w:rPr>
          <w:rFonts w:ascii="Times New Roman" w:hAnsi="Times New Roman"/>
          <w:b w:val="false"/>
          <w:i w:val="false"/>
          <w:color w:val="000000"/>
          <w:sz w:val="24"/>
        </w:rPr>
        <w:t>A Tier 2 facility is a compost facility that composts an unlimited amount of Type A feedstock generated on premises, off premises, or both; an unlimited amount of Type B feedstocks generated on the premises; and up to 250 tons per year of Type B feedstocks generated off the premises. Tier 2 facilities are subject to the following provisions.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102.7(1)</w:t>
      </w:r>
      <w:r>
        <w:rPr>
          <w:rFonts w:ascii="Times New Roman" w:hAnsi="Times New Roman"/>
          <w:b w:val="false"/>
          <w:i w:val="false"/>
          <w:color w:val="000000"/>
          <w:sz w:val="24"/>
        </w:rPr>
        <w:t> </w:t>
      </w:r>
      <w:r>
        <w:rPr>
          <w:rFonts w:ascii="Times New Roman" w:hAnsi="Times New Roman"/>
          <w:b w:val="false"/>
          <w:i w:val="false"/>
          <w:color w:val="000000"/>
          <w:sz w:val="24"/>
        </w:rPr>
        <w:t>Before the composting facility commences operation, the facility’s operator must notify the department in writing of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location of the composting facility.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legal description of the property that contains the facility.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landowner’s name, telephone number, email and mailing address.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The name, telephone number, and email and mailing addresses of the facility’s operator and responsible official.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The maximum throughput and capacity of the facility.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The method of composting to be employed at the facility.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The source of the feedstock.</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Aerial photography identifying wells, streams, creeks, rivers, ponds, sinkholes, and drainage wells within one-half mile of the closest portion of the facility.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102.7(2)</w:t>
      </w:r>
      <w:r>
        <w:rPr>
          <w:rFonts w:ascii="Times New Roman" w:hAnsi="Times New Roman"/>
          <w:b w:val="false"/>
          <w:i w:val="false"/>
          <w:color w:val="000000"/>
          <w:sz w:val="24"/>
        </w:rPr>
        <w:t> </w:t>
      </w:r>
      <w:r>
        <w:rPr>
          <w:rFonts w:ascii="Times New Roman" w:hAnsi="Times New Roman"/>
          <w:b w:val="false"/>
          <w:i w:val="false"/>
          <w:color w:val="000000"/>
          <w:sz w:val="24"/>
        </w:rPr>
        <w:t>The facility’s feedstock receiving, processing, and storage areas must be clearly defined.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102.7(3)</w:t>
      </w:r>
      <w:r>
        <w:rPr>
          <w:rFonts w:ascii="Times New Roman" w:hAnsi="Times New Roman"/>
          <w:b w:val="false"/>
          <w:i w:val="false"/>
          <w:color w:val="000000"/>
          <w:sz w:val="24"/>
        </w:rPr>
        <w:t> </w:t>
      </w:r>
      <w:r>
        <w:rPr>
          <w:rFonts w:ascii="Times New Roman" w:hAnsi="Times New Roman"/>
          <w:b w:val="false"/>
          <w:i w:val="false"/>
          <w:color w:val="000000"/>
          <w:sz w:val="24"/>
        </w:rPr>
        <w:t>An annual report for the previous fiscal year beginning July 1 and ending June 30 shall be submitted to the department by July 31 of each year. The annual report shall be submitted using a form prescribed by the department. The report shall include: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Confirm that the amount and type of feedstock accepted was within the criteria for a Tier 2 facility.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Method of composting used.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Tons of finished compost sold, given away, or used by the permit holder.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Name of certified operator.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102.7(4)</w:t>
      </w:r>
      <w:r>
        <w:rPr>
          <w:rFonts w:ascii="Times New Roman" w:hAnsi="Times New Roman"/>
          <w:b w:val="false"/>
          <w:i w:val="false"/>
          <w:color w:val="000000"/>
          <w:sz w:val="24"/>
        </w:rPr>
        <w:t> </w:t>
      </w:r>
      <w:r>
        <w:rPr>
          <w:rFonts w:ascii="Times New Roman" w:hAnsi="Times New Roman"/>
          <w:b w:val="false"/>
          <w:i w:val="false"/>
          <w:color w:val="000000"/>
          <w:sz w:val="24"/>
        </w:rPr>
        <w:t xml:space="preserve">Beginning September 23, 2027, the person responsible for daily operations shall be a certified compost operator as described in </w:t>
      </w:r>
      <w:hyperlink r:id="rId20">
        <w:r>
          <w:rPr>
            <w:rStyle w:val="Hyperlink"/>
            <w:rFonts w:ascii="Times New Roman" w:hAnsi="Times New Roman"/>
            <w:b w:val="false"/>
            <w:i w:val="false"/>
            <w:color w:val="000000"/>
            <w:sz w:val="24"/>
          </w:rPr>
          <w:t>567—102.11</w:t>
        </w:r>
      </w:hyperlink>
      <w:r>
        <w:rPr>
          <w:rFonts w:ascii="Times New Roman" w:hAnsi="Times New Roman"/>
          <w:b w:val="false"/>
          <w:i w:val="false"/>
          <w:color w:val="000000"/>
          <w:sz w:val="24"/>
        </w:rPr>
        <w:t>(455D).</w:t>
      </w:r>
    </w:p>
    <w:p>
      <w:pPr>
        <w:spacing w:before="0" w:after="0" w:line="480"/>
        <w:ind w:left="120"/>
        <w:jc w:val="both"/>
      </w:pPr>
      <w:r>
        <w:rPr>
          <w:rFonts w:ascii="Times New Roman" w:hAnsi="Times New Roman"/>
          <w:b/>
          <w:i w:val="false"/>
          <w:color w:val="000000"/>
          <w:sz w:val="24"/>
        </w:rPr>
        <w:t>567—102.8</w:t>
      </w:r>
      <w:r>
        <w:rPr>
          <w:rFonts w:ascii="Times New Roman" w:hAnsi="Times New Roman"/>
          <w:b/>
          <w:i w:val="false"/>
          <w:color w:val="000000"/>
          <w:sz w:val="24"/>
        </w:rPr>
        <w:t xml:space="preserve">(455D) </w:t>
      </w:r>
      <w:r>
        <w:rPr>
          <w:rFonts w:ascii="Times New Roman" w:hAnsi="Times New Roman"/>
          <w:b/>
          <w:i w:val="false"/>
          <w:color w:val="000000"/>
          <w:sz w:val="24"/>
        </w:rPr>
        <w:t xml:space="preserve">Tier 3 composting facilities. </w:t>
      </w:r>
      <w:r>
        <w:rPr>
          <w:rFonts w:ascii="Times New Roman" w:hAnsi="Times New Roman"/>
          <w:b w:val="false"/>
          <w:i w:val="false"/>
          <w:color w:val="000000"/>
          <w:sz w:val="24"/>
        </w:rPr>
        <w:t>A Tier 3 composting facility is a compost facility that composts an unlimited amount of Type A feedstock generated on or off the premises, an unlimited amount of type B feedstock generated on the premises, and up to 1,000 tons per year type B feedstock generated off premises. Tier 3 facilities shall comply with the following provisions.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102.8(1)</w:t>
      </w:r>
      <w:r>
        <w:rPr>
          <w:rFonts w:ascii="Times New Roman" w:hAnsi="Times New Roman"/>
          <w:b w:val="false"/>
          <w:i w:val="false"/>
          <w:color w:val="000000"/>
          <w:sz w:val="24"/>
        </w:rPr>
        <w:t> </w:t>
      </w:r>
      <w:r>
        <w:rPr>
          <w:rFonts w:ascii="Times New Roman" w:hAnsi="Times New Roman"/>
          <w:b w:val="false"/>
          <w:i/>
          <w:color w:val="000000"/>
          <w:sz w:val="24"/>
        </w:rPr>
        <w:t xml:space="preserve">Notification. </w:t>
      </w:r>
      <w:r>
        <w:rPr>
          <w:rFonts w:ascii="Times New Roman" w:hAnsi="Times New Roman"/>
          <w:b w:val="false"/>
          <w:i w:val="false"/>
          <w:color w:val="000000"/>
          <w:sz w:val="24"/>
        </w:rPr>
        <w:t>Before the composting facility commences operation, the department shall be notified in writing of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location of the composting facility.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Legal description of the facility.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Landowner’s name, telephone number, email, and mailing address.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Responsible party’s name, telephone number, email, and mailing address.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Maximum throughput and capacity.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Method of composting to be employed.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Source of the feedstock.</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Aerial photograph identifying wells, streams, creeks, rivers, ponds, sinkholes, and drainage wells within one-half mile of the closest portion of the facility.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102.8(2)</w:t>
      </w:r>
      <w:r>
        <w:rPr>
          <w:rFonts w:ascii="Times New Roman" w:hAnsi="Times New Roman"/>
          <w:b w:val="false"/>
          <w:i w:val="false"/>
          <w:color w:val="000000"/>
          <w:sz w:val="24"/>
        </w:rPr>
        <w:t> </w:t>
      </w:r>
      <w:r>
        <w:rPr>
          <w:rFonts w:ascii="Times New Roman" w:hAnsi="Times New Roman"/>
          <w:b w:val="false"/>
          <w:i/>
          <w:color w:val="000000"/>
          <w:sz w:val="24"/>
        </w:rPr>
        <w:t xml:space="preserve">Operational requirements. </w:t>
      </w:r>
      <w:r>
        <w:rPr>
          <w:rFonts w:ascii="Times New Roman" w:hAnsi="Times New Roman"/>
          <w:b w:val="false"/>
          <w:i w:val="false"/>
          <w:color w:val="000000"/>
          <w:sz w:val="24"/>
        </w:rPr>
        <w:t xml:space="preserve">In addition to the operational requirements in </w:t>
      </w:r>
      <w:hyperlink r:id="rId21">
        <w:r>
          <w:rPr>
            <w:rStyle w:val="Hyperlink"/>
            <w:rFonts w:ascii="Times New Roman" w:hAnsi="Times New Roman"/>
            <w:b w:val="false"/>
            <w:i w:val="false"/>
            <w:color w:val="000000"/>
            <w:sz w:val="24"/>
          </w:rPr>
          <w:t>102.5(4)</w:t>
        </w:r>
      </w:hyperlink>
      <w:r>
        <w:rPr>
          <w:rFonts w:ascii="Times New Roman" w:hAnsi="Times New Roman"/>
          <w:b w:val="false"/>
          <w:i w:val="false"/>
          <w:color w:val="000000"/>
          <w:sz w:val="24"/>
        </w:rPr>
        <w:t>, Tier 3 composting facilities shall meet the following operational standards: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Tier 3 composting facilities must develop and follow an operations plan that describes operational procedures. This includes the method of composting; measures to control nuisance odors, vectors, fires, contact water, and stormwater; and plans for using or marketing finished compost. The operations plan must be reviewed annually and updated when there is a change to procedures, equipment, or feedstocks being processed. The operations plan shall be available to the department upon request.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person responsible for daily operation of the facility shall be certified by a department-approved training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Feedstocks with free liquid shall be mixed with drier feedstocks, bulking material, or compost so that the liquid is promptly absorbed and not allowed to flow as free liquid from the compost piles or windrows. Free liquid that is not absorbed shall be managed as contact water.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Contact water shall be directed to a containment, recycling, treatment system, or any combination of the three.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By the end of each operating day, all incoming Type B feedstocks must be processed into the active composting pile, transferred to leak-proof containment, or mixed with bulking material and covered in a manner that minimizes nuisance odors and scavenging by vectors.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 xml:space="preserve">Beginning September 23, 2027, the person responsible for daily operations shall be a certified compost operator as described in </w:t>
      </w:r>
      <w:hyperlink r:id="rId22">
        <w:r>
          <w:rPr>
            <w:rStyle w:val="Hyperlink"/>
            <w:rFonts w:ascii="Times New Roman" w:hAnsi="Times New Roman"/>
            <w:b w:val="false"/>
            <w:i w:val="false"/>
            <w:color w:val="000000"/>
            <w:sz w:val="24"/>
          </w:rPr>
          <w:t>567—102.11</w:t>
        </w:r>
      </w:hyperlink>
      <w:r>
        <w:rPr>
          <w:rFonts w:ascii="Times New Roman" w:hAnsi="Times New Roman"/>
          <w:b w:val="false"/>
          <w:i w:val="false"/>
          <w:color w:val="000000"/>
          <w:sz w:val="24"/>
        </w:rPr>
        <w:t>(455D).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102.8(3)</w:t>
      </w:r>
      <w:r>
        <w:rPr>
          <w:rFonts w:ascii="Times New Roman" w:hAnsi="Times New Roman"/>
          <w:b w:val="false"/>
          <w:i w:val="false"/>
          <w:color w:val="000000"/>
          <w:sz w:val="24"/>
        </w:rPr>
        <w:t> </w:t>
      </w:r>
      <w:r>
        <w:rPr>
          <w:rFonts w:ascii="Times New Roman" w:hAnsi="Times New Roman"/>
          <w:b w:val="false"/>
          <w:i/>
          <w:color w:val="000000"/>
          <w:sz w:val="24"/>
        </w:rPr>
        <w:t xml:space="preserve">Reporting. </w:t>
      </w:r>
      <w:r>
        <w:rPr>
          <w:rFonts w:ascii="Times New Roman" w:hAnsi="Times New Roman"/>
          <w:b w:val="false"/>
          <w:i w:val="false"/>
          <w:color w:val="000000"/>
          <w:sz w:val="24"/>
        </w:rPr>
        <w:t>An annual report for the previous fiscal year beginning July 1 and ending June 30 shall be submitted to the department by July 31 of each year. The report shall be submitted using a form prescribed by the department. The report shall include: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Confirmation that the amount and type of feedstock accepted was within the criteria for a Tier 3 facility.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Method of composting used.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Tons of finished compost sold, given away or used by the permit holder.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Name of certified operator.</w:t>
      </w:r>
    </w:p>
    <w:p>
      <w:pPr>
        <w:spacing w:before="0" w:after="0" w:line="480"/>
        <w:ind w:left="120"/>
        <w:jc w:val="both"/>
      </w:pPr>
      <w:r>
        <w:rPr>
          <w:rFonts w:ascii="Times New Roman" w:hAnsi="Times New Roman"/>
          <w:b/>
          <w:i w:val="false"/>
          <w:color w:val="000000"/>
          <w:sz w:val="24"/>
        </w:rPr>
        <w:t>567—102.9</w:t>
      </w:r>
      <w:r>
        <w:rPr>
          <w:rFonts w:ascii="Times New Roman" w:hAnsi="Times New Roman"/>
          <w:b/>
          <w:i w:val="false"/>
          <w:color w:val="000000"/>
          <w:sz w:val="24"/>
        </w:rPr>
        <w:t xml:space="preserve">(455D) </w:t>
      </w:r>
      <w:r>
        <w:rPr>
          <w:rFonts w:ascii="Times New Roman" w:hAnsi="Times New Roman"/>
          <w:b/>
          <w:i w:val="false"/>
          <w:color w:val="000000"/>
          <w:sz w:val="24"/>
        </w:rPr>
        <w:t xml:space="preserve">Tier 4 composting facility. </w:t>
      </w:r>
      <w:r>
        <w:rPr>
          <w:rFonts w:ascii="Times New Roman" w:hAnsi="Times New Roman"/>
          <w:b w:val="false"/>
          <w:i w:val="false"/>
          <w:color w:val="000000"/>
          <w:sz w:val="24"/>
        </w:rPr>
        <w:t>A Tier 4 composting facility is a compost facility that composts any amount of Type A, B, and C feedstock. Tier 4 facilities shall comply with the provisions of this rule.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102.9(1)</w:t>
      </w:r>
      <w:r>
        <w:rPr>
          <w:rFonts w:ascii="Times New Roman" w:hAnsi="Times New Roman"/>
          <w:b w:val="false"/>
          <w:i w:val="false"/>
          <w:color w:val="000000"/>
          <w:sz w:val="24"/>
        </w:rPr>
        <w:t> </w:t>
      </w:r>
      <w:r>
        <w:rPr>
          <w:rFonts w:ascii="Times New Roman" w:hAnsi="Times New Roman"/>
          <w:b w:val="false"/>
          <w:i/>
          <w:color w:val="000000"/>
          <w:sz w:val="24"/>
        </w:rPr>
        <w:t xml:space="preserve">Permit required. </w:t>
      </w:r>
      <w:r>
        <w:rPr>
          <w:rFonts w:ascii="Times New Roman" w:hAnsi="Times New Roman"/>
          <w:b w:val="false"/>
          <w:i w:val="false"/>
          <w:color w:val="000000"/>
          <w:sz w:val="24"/>
        </w:rPr>
        <w:t xml:space="preserve">Tier 4 composting facilities shall not be operated without a permit from the department as described in </w:t>
      </w:r>
      <w:hyperlink r:id="rId23">
        <w:r>
          <w:rPr>
            <w:rStyle w:val="Hyperlink"/>
            <w:rFonts w:ascii="Times New Roman" w:hAnsi="Times New Roman"/>
            <w:b w:val="false"/>
            <w:i w:val="false"/>
            <w:color w:val="000000"/>
            <w:sz w:val="24"/>
          </w:rPr>
          <w:t>567—subrule 100.4(2)</w:t>
        </w:r>
      </w:hyperlink>
      <w:r>
        <w:rPr>
          <w:rFonts w:ascii="Times New Roman" w:hAnsi="Times New Roman"/>
          <w:b w:val="false"/>
          <w:i w:val="false"/>
          <w:color w:val="000000"/>
          <w:sz w:val="24"/>
        </w:rPr>
        <w:t xml:space="preserve">. A permit application shall be on a form prescribed by the department and include the following in addition to the requirements in </w:t>
      </w:r>
      <w:hyperlink r:id="rId24">
        <w:r>
          <w:rPr>
            <w:rStyle w:val="Hyperlink"/>
            <w:rFonts w:ascii="Times New Roman" w:hAnsi="Times New Roman"/>
            <w:b w:val="false"/>
            <w:i w:val="false"/>
            <w:color w:val="000000"/>
            <w:sz w:val="24"/>
          </w:rPr>
          <w:t>567—subrule 100.5(1)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Aerial photography identifying wells, streams, creeks, rivers, ponds, sinkholes, and drainage wells within one-half mile of the closest portion of the facility.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Design documents prepared by an Iowa-licensed professional engineer that include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Dimensions, details, and capacities of the proposed receiving, processing, production, curing, and storage areas, as well as the contact water containment, recycling, or treatment system.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Design calculations justifying the size of the composting area for the volume of material to be composted.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 xml:space="preserve">Design plans showing compliance with design requirements in </w:t>
      </w:r>
      <w:hyperlink r:id="rId25">
        <w:r>
          <w:rPr>
            <w:rStyle w:val="Hyperlink"/>
            <w:rFonts w:ascii="Times New Roman" w:hAnsi="Times New Roman"/>
            <w:b w:val="false"/>
            <w:i w:val="false"/>
            <w:color w:val="000000"/>
            <w:sz w:val="24"/>
          </w:rPr>
          <w:t>102.9(3)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 stormwater management plan that prevents run-on to the operating base, as well as controls outside of the operating base for a 25-year 24-hour storm event.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A flow diagram of all steps in the operational procedure.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An operations plan addressing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method of composting, including description of the aeration method and the aeration frequency to be used to maintain aerobic conditions.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duration of composting with a time frame for receiving, processing, production, curing, and storage.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 description of storage of feedstock, including quantity and types.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A description of the methods to minimize and manage odors, dust, vectors, noise, and litter.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A description of the specific procedures to be followed in case of equipment breakdown, maintenance downtime, and fire in equipment, composting material, or buildings, including methods to be used to remove or dispose of accumulated waste and burned or damaged material.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Plans for using or marketing the finished compost.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The method(s) of managing collected contact water.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The method(s) of maintaining contact water management systems to maintain design volume.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(9)</w:t>
      </w:r>
      <w:r>
        <w:rPr>
          <w:rFonts w:ascii="Times New Roman" w:hAnsi="Times New Roman"/>
          <w:b w:val="false"/>
          <w:i w:val="false"/>
          <w:color w:val="000000"/>
          <w:sz w:val="24"/>
        </w:rPr>
        <w:t>  </w:t>
      </w:r>
      <w:r>
        <w:rPr>
          <w:rFonts w:ascii="Times New Roman" w:hAnsi="Times New Roman"/>
          <w:b w:val="false"/>
          <w:i w:val="false"/>
          <w:color w:val="000000"/>
          <w:sz w:val="24"/>
        </w:rPr>
        <w:t>The description of the monitoring, sampling, and analysis procedures and schedule for testing the composting, including sampling frequency, sample size and number, and sample locations.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 xml:space="preserve">A closure plan containing a description of the steps necessary to close the facility in compliance with </w:t>
      </w:r>
      <w:hyperlink r:id="rId26">
        <w:r>
          <w:rPr>
            <w:rStyle w:val="Hyperlink"/>
            <w:rFonts w:ascii="Times New Roman" w:hAnsi="Times New Roman"/>
            <w:b w:val="false"/>
            <w:i w:val="false"/>
            <w:color w:val="000000"/>
            <w:sz w:val="24"/>
          </w:rPr>
          <w:t>567—100.10</w:t>
        </w:r>
      </w:hyperlink>
      <w:r>
        <w:rPr>
          <w:rFonts w:ascii="Times New Roman" w:hAnsi="Times New Roman"/>
          <w:b w:val="false"/>
          <w:i w:val="false"/>
          <w:color w:val="000000"/>
          <w:sz w:val="24"/>
        </w:rPr>
        <w:t>(455B, 455D).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Documentation that the person responsible for daily operation of the facility is certified by a department-approved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102.9(2)</w:t>
      </w:r>
      <w:r>
        <w:rPr>
          <w:rFonts w:ascii="Times New Roman" w:hAnsi="Times New Roman"/>
          <w:b w:val="false"/>
          <w:i w:val="false"/>
          <w:color w:val="000000"/>
          <w:sz w:val="24"/>
        </w:rPr>
        <w:t> </w:t>
      </w:r>
      <w:r>
        <w:rPr>
          <w:rFonts w:ascii="Times New Roman" w:hAnsi="Times New Roman"/>
          <w:b w:val="false"/>
          <w:i/>
          <w:color w:val="000000"/>
          <w:sz w:val="24"/>
        </w:rPr>
        <w:t xml:space="preserve">Design requirements. </w:t>
      </w:r>
      <w:r>
        <w:rPr>
          <w:rFonts w:ascii="Times New Roman" w:hAnsi="Times New Roman"/>
          <w:b w:val="false"/>
          <w:i w:val="false"/>
          <w:color w:val="000000"/>
          <w:sz w:val="24"/>
        </w:rPr>
        <w:t xml:space="preserve">In addition to the requirements of </w:t>
      </w:r>
      <w:hyperlink r:id="rId27">
        <w:r>
          <w:rPr>
            <w:rStyle w:val="Hyperlink"/>
            <w:rFonts w:ascii="Times New Roman" w:hAnsi="Times New Roman"/>
            <w:b w:val="false"/>
            <w:i w:val="false"/>
            <w:color w:val="000000"/>
            <w:sz w:val="24"/>
          </w:rPr>
          <w:t>102.5(2)</w:t>
        </w:r>
      </w:hyperlink>
      <w:r>
        <w:rPr>
          <w:rFonts w:ascii="Times New Roman" w:hAnsi="Times New Roman"/>
          <w:b w:val="false"/>
          <w:i w:val="false"/>
          <w:color w:val="000000"/>
          <w:sz w:val="24"/>
        </w:rPr>
        <w:t>, Tier 4 composting facilities shall comply with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All operations shall take place on a foundation that will permit accessibility during periods of inclement weather. The foundation shall be maintained and repaired, as needed.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 base/foundation used for receiving, processing, and production of feedstock must meet the following minimum design standards.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base must support the load of the equipment, vehicles, materials, and all operations for the duration of the permit period.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base must have sufficient slope to prevent surface ponding and to transmit contact water to a containment structure to prevent liquids from entering surface water or groundwater.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base must be protected with a wearing surface consisting of asphalt, concrete, compacted granular aggregate, or similar relatively impermeable material and underlain by a liner consisting of a minimum of 12 inches of recompacted clay or other approved material with a hydraulic conductivity of 1 × 10</w:t>
      </w:r>
      <w:r>
        <w:rPr>
          <w:rFonts w:ascii="Times New Roman" w:hAnsi="Times New Roman"/>
          <w:b w:val="false"/>
          <w:i w:val="false"/>
          <w:color w:val="000000"/>
          <w:sz w:val="24"/>
          <w:vertAlign w:val="superscript"/>
        </w:rPr>
        <w:t>-5</w:t>
      </w:r>
      <w:r>
        <w:rPr>
          <w:rFonts w:ascii="Times New Roman" w:hAnsi="Times New Roman"/>
          <w:b w:val="false"/>
          <w:i w:val="false"/>
          <w:color w:val="000000"/>
          <w:sz w:val="24"/>
        </w:rPr>
        <w:t xml:space="preserve"> cm/sec or less. The bottom of the liner shall be at least 12 inches above the high-water table.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containment structure for contact water shall include a liner system consisting of a minimum of 12 inches of recompacted clay or other approved material with a hydraulic conductivity of 1 × 10</w:t>
      </w:r>
      <w:r>
        <w:rPr>
          <w:rFonts w:ascii="Times New Roman" w:hAnsi="Times New Roman"/>
          <w:b w:val="false"/>
          <w:i w:val="false"/>
          <w:color w:val="000000"/>
          <w:sz w:val="24"/>
          <w:vertAlign w:val="superscript"/>
        </w:rPr>
        <w:t>-7</w:t>
      </w:r>
      <w:r>
        <w:rPr>
          <w:rFonts w:ascii="Times New Roman" w:hAnsi="Times New Roman"/>
          <w:b w:val="false"/>
          <w:i w:val="false"/>
          <w:color w:val="000000"/>
          <w:sz w:val="24"/>
        </w:rPr>
        <w:t xml:space="preserve"> cm/sec or less. The bottom of the liner shall be at least five feet above the high-water table.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The design of the facility shall include specifications for documentation of quality control and assurance that the construction meets the minimum design standards.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Composting facilities permitted by the department prior to September 23, 2026, shall submit a compliance plan on or before September 23, 2027, that includes a schedule to verify compliance or obtain compliance with this subrule no later than September 23, 2031.</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The department may approve alternatives to these design requirements that provides the same level of environmental protection.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102.9(3)</w:t>
      </w:r>
      <w:r>
        <w:rPr>
          <w:rFonts w:ascii="Times New Roman" w:hAnsi="Times New Roman"/>
          <w:b w:val="false"/>
          <w:i w:val="false"/>
          <w:color w:val="000000"/>
          <w:sz w:val="24"/>
        </w:rPr>
        <w:t> </w:t>
      </w:r>
      <w:r>
        <w:rPr>
          <w:rFonts w:ascii="Times New Roman" w:hAnsi="Times New Roman"/>
          <w:b w:val="false"/>
          <w:i/>
          <w:color w:val="000000"/>
          <w:sz w:val="24"/>
        </w:rPr>
        <w:t xml:space="preserve">Operating requirements. </w:t>
      </w:r>
      <w:r>
        <w:rPr>
          <w:rFonts w:ascii="Times New Roman" w:hAnsi="Times New Roman"/>
          <w:b w:val="false"/>
          <w:i w:val="false"/>
          <w:color w:val="000000"/>
          <w:sz w:val="24"/>
        </w:rPr>
        <w:t xml:space="preserve">In addition, the requirements of </w:t>
      </w:r>
      <w:hyperlink r:id="rId28">
        <w:r>
          <w:rPr>
            <w:rStyle w:val="Hyperlink"/>
            <w:rFonts w:ascii="Times New Roman" w:hAnsi="Times New Roman"/>
            <w:b w:val="false"/>
            <w:i w:val="false"/>
            <w:color w:val="000000"/>
            <w:sz w:val="24"/>
          </w:rPr>
          <w:t>567—102.4</w:t>
        </w:r>
      </w:hyperlink>
      <w:r>
        <w:rPr>
          <w:rFonts w:ascii="Times New Roman" w:hAnsi="Times New Roman"/>
          <w:b w:val="false"/>
          <w:i w:val="false"/>
          <w:color w:val="000000"/>
          <w:sz w:val="24"/>
        </w:rPr>
        <w:t>(455D), Tier 4 composting facilities shall comply with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Access to the facility shall be limited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Access to the facility shall be restricted with a lockable gate at the entrance to the facility and perimeter access controlled by a fence or natural barrier approved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Access to the facility shall be allowed only when an employee, agent, or representative of the facility is on duty.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Emergency access to the facility shall be provided. Fire lanes shall be maintained to provide access for firefighting equipment.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All putrescible materials received must be incorporated into the composting process within 24 hours of receipt, unless storage of these materials is specified in the operations plan and authorized in the permit.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Compost processing time and temperatures shall meet Process to Further Reduce Pathogens (PFRP) requirements in B.1 of </w:t>
      </w:r>
      <w:r>
        <w:rPr>
          <w:rFonts w:ascii="Times New Roman" w:hAnsi="Times New Roman"/>
          <w:b w:val="false"/>
          <w:i w:val="false"/>
          <w:color w:val="000000"/>
          <w:sz w:val="24"/>
        </w:rPr>
        <w:t>40 CFR Part 503</w:t>
      </w:r>
      <w:r>
        <w:rPr>
          <w:rFonts w:ascii="Times New Roman" w:hAnsi="Times New Roman"/>
          <w:b w:val="false"/>
          <w:i w:val="false"/>
          <w:color w:val="000000"/>
          <w:sz w:val="24"/>
        </w:rPr>
        <w:t>, Appendix B, and produce compost that meets the stability necessary for the intended use. Unless otherwise proposed in the operating plan and authorized in the permit, the permit holder shall test, at a minimum: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Twice weekly temperature readings of compost piles, batches, and windrows.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Weekly moisture levels of compost piles, batches, and windrows.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Contact water shall be directed to a containment, recycling, or treatment system that prevents prohibited discharges to the stormwater system or a surface water. A containment system shall have a minimum of one foot of freeboard at all times.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 xml:space="preserve">The person responsible for daily operations shall be a certified compost operator as described in </w:t>
      </w:r>
      <w:hyperlink r:id="rId29">
        <w:r>
          <w:rPr>
            <w:rStyle w:val="Hyperlink"/>
            <w:rFonts w:ascii="Times New Roman" w:hAnsi="Times New Roman"/>
            <w:b w:val="false"/>
            <w:i w:val="false"/>
            <w:color w:val="000000"/>
            <w:sz w:val="24"/>
          </w:rPr>
          <w:t>567—102.11</w:t>
        </w:r>
      </w:hyperlink>
      <w:r>
        <w:rPr>
          <w:rFonts w:ascii="Times New Roman" w:hAnsi="Times New Roman"/>
          <w:b w:val="false"/>
          <w:i w:val="false"/>
          <w:color w:val="000000"/>
          <w:sz w:val="24"/>
        </w:rPr>
        <w:t>(455D). The department may require as a condition in the permit that a facility retain a certified compost operator during all regular operational hours.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A visual inspection of the facility shall be conducted and documented on a quarterly basis at a minimum. If deficiencies are discovered during the visual inspection, actions taken to correct the deficiency shall be documented. The inspection shall at a minimum include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condition of the pad. Portions of the pad that are under windrows or piles of curing or finished compost are not required to be inspected.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Verification that ponding is not occurring on the pad.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Verification that contact water is being directed to a containment, recycling, or treatment system and not discharging to the stormwater system or to surface water.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The remaining capacity, amount of freeboard, and general condition of the contact water basin.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The condition of containers and aeration equipment used for in-vessel composting if applicable.</w:t>
      </w:r>
    </w:p>
    <w:p>
      <w:pPr>
        <w:spacing w:before="0" w:after="0" w:line="480"/>
        <w:ind w:left="120"/>
        <w:jc w:val="both"/>
      </w:pPr>
      <w:r>
        <w:rPr>
          <w:rFonts w:ascii="Times New Roman" w:hAnsi="Times New Roman"/>
          <w:b/>
          <w:i w:val="false"/>
          <w:color w:val="000000"/>
          <w:sz w:val="24"/>
        </w:rPr>
        <w:t>102.9(4)</w:t>
      </w:r>
      <w:r>
        <w:rPr>
          <w:rFonts w:ascii="Times New Roman" w:hAnsi="Times New Roman"/>
          <w:b w:val="false"/>
          <w:i w:val="false"/>
          <w:color w:val="000000"/>
          <w:sz w:val="24"/>
        </w:rPr>
        <w:t> </w:t>
      </w:r>
      <w:r>
        <w:rPr>
          <w:rFonts w:ascii="Times New Roman" w:hAnsi="Times New Roman"/>
          <w:b w:val="false"/>
          <w:i/>
          <w:color w:val="000000"/>
          <w:sz w:val="24"/>
        </w:rPr>
        <w:t xml:space="preserve">Product testing. </w:t>
      </w:r>
      <w:r>
        <w:rPr>
          <w:rFonts w:ascii="Times New Roman" w:hAnsi="Times New Roman"/>
          <w:b w:val="false"/>
          <w:i w:val="false"/>
          <w:color w:val="000000"/>
          <w:sz w:val="24"/>
        </w:rPr>
        <w:t>Prior to the use or sale, finished compost must be sampled and measurements taken for the purpose of product testing in a manner that is representative of the composting activity and consistent with Test Methods for Examination of Composting and Compost (TMECC) (2026) or other applicable standards approved by the department in the permit. Contaminants within finished compost must comply with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 The density of fecal coliform bacteria shall be less than 1,000 most probable number (MPN) per gram of total solids (dry weight basis) or the density of Salmonella sp. bacteria in compost shall be less than three MPN per four grams of total solids (dry weight basis).</w:t>
      </w:r>
    </w:p>
    <w:p>
      <w:pPr>
        <w:spacing w:before="0" w:after="0" w:line="480"/>
        <w:ind w:left="120"/>
        <w:jc w:val="both"/>
      </w:pP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 The concentrations of all metals shall be less than the following:</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3708"/>
        <w:gridCol w:w="5244"/>
      </w:tblGrid>
      <w:tr>
        <w:trPr>
          <w:trHeight w:val="195" w:hRule="atLeast"/>
        </w:trPr>
        <w:tc>
          <w:tcPr>
            <w:tcW w:w="3708"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Metal</w:t>
            </w:r>
          </w:p>
        </w:tc>
        <w:tc>
          <w:tcPr>
            <w:tcW w:w="524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Concentration mg/kg dry weight</w:t>
            </w:r>
          </w:p>
        </w:tc>
      </w:tr>
      <w:tr>
        <w:trPr>
          <w:trHeight w:val="180" w:hRule="atLeast"/>
        </w:trPr>
        <w:tc>
          <w:tcPr>
            <w:tcW w:w="3708"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Arsenic (As)</w:t>
            </w:r>
          </w:p>
        </w:tc>
        <w:tc>
          <w:tcPr>
            <w:tcW w:w="524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41</w:t>
            </w:r>
          </w:p>
        </w:tc>
      </w:tr>
      <w:tr>
        <w:trPr>
          <w:trHeight w:val="180" w:hRule="atLeast"/>
        </w:trPr>
        <w:tc>
          <w:tcPr>
            <w:tcW w:w="3708"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Cadmium (Cd)</w:t>
            </w:r>
          </w:p>
        </w:tc>
        <w:tc>
          <w:tcPr>
            <w:tcW w:w="524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39</w:t>
            </w:r>
          </w:p>
        </w:tc>
      </w:tr>
      <w:tr>
        <w:trPr>
          <w:trHeight w:val="180" w:hRule="atLeast"/>
        </w:trPr>
        <w:tc>
          <w:tcPr>
            <w:tcW w:w="3708"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Copper (Cu)</w:t>
            </w:r>
          </w:p>
        </w:tc>
        <w:tc>
          <w:tcPr>
            <w:tcW w:w="524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1500</w:t>
            </w:r>
          </w:p>
        </w:tc>
      </w:tr>
      <w:tr>
        <w:trPr>
          <w:trHeight w:val="180" w:hRule="atLeast"/>
        </w:trPr>
        <w:tc>
          <w:tcPr>
            <w:tcW w:w="3708"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Lead (Pb)</w:t>
            </w:r>
          </w:p>
        </w:tc>
        <w:tc>
          <w:tcPr>
            <w:tcW w:w="524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300</w:t>
            </w:r>
          </w:p>
        </w:tc>
      </w:tr>
      <w:tr>
        <w:trPr>
          <w:trHeight w:val="180" w:hRule="atLeast"/>
        </w:trPr>
        <w:tc>
          <w:tcPr>
            <w:tcW w:w="3708"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Mercury (Hg)</w:t>
            </w:r>
          </w:p>
        </w:tc>
        <w:tc>
          <w:tcPr>
            <w:tcW w:w="524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17</w:t>
            </w:r>
          </w:p>
        </w:tc>
      </w:tr>
      <w:tr>
        <w:trPr>
          <w:trHeight w:val="180" w:hRule="atLeast"/>
        </w:trPr>
        <w:tc>
          <w:tcPr>
            <w:tcW w:w="3708"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Nickel (Ni)</w:t>
            </w:r>
          </w:p>
        </w:tc>
        <w:tc>
          <w:tcPr>
            <w:tcW w:w="524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420</w:t>
            </w:r>
          </w:p>
        </w:tc>
      </w:tr>
      <w:tr>
        <w:trPr>
          <w:trHeight w:val="180" w:hRule="atLeast"/>
        </w:trPr>
        <w:tc>
          <w:tcPr>
            <w:tcW w:w="3708"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Selenium (Se)</w:t>
            </w:r>
          </w:p>
        </w:tc>
        <w:tc>
          <w:tcPr>
            <w:tcW w:w="524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100</w:t>
            </w:r>
          </w:p>
        </w:tc>
      </w:tr>
      <w:tr>
        <w:trPr>
          <w:trHeight w:val="195" w:hRule="atLeast"/>
        </w:trPr>
        <w:tc>
          <w:tcPr>
            <w:tcW w:w="3708"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Zinc (Zn)</w:t>
            </w:r>
          </w:p>
        </w:tc>
        <w:tc>
          <w:tcPr>
            <w:tcW w:w="524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2800</w:t>
            </w:r>
          </w:p>
        </w:tc>
      </w:tr>
    </w:tbl>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Compost shall be tested for stability using one of the methods listed in TMECC 5.08 (2026), Respirometry, or another method approved by the department in the permit.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102.9(5)</w:t>
      </w:r>
      <w:r>
        <w:rPr>
          <w:rFonts w:ascii="Times New Roman" w:hAnsi="Times New Roman"/>
          <w:b w:val="false"/>
          <w:i w:val="false"/>
          <w:color w:val="000000"/>
          <w:sz w:val="24"/>
        </w:rPr>
        <w:t> </w:t>
      </w:r>
      <w:r>
        <w:rPr>
          <w:rFonts w:ascii="Times New Roman" w:hAnsi="Times New Roman"/>
          <w:b w:val="false"/>
          <w:i/>
          <w:color w:val="000000"/>
          <w:sz w:val="24"/>
        </w:rPr>
        <w:t xml:space="preserve">Recordkeeping requirements. </w:t>
      </w:r>
      <w:r>
        <w:rPr>
          <w:rFonts w:ascii="Times New Roman" w:hAnsi="Times New Roman"/>
          <w:b w:val="false"/>
          <w:i w:val="false"/>
          <w:color w:val="000000"/>
          <w:sz w:val="24"/>
        </w:rPr>
        <w:t>The following records shall be maintained by the facility for a period of three years, kept at the facility at all times, and submitted to the department upon request: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Analytical results described in </w:t>
      </w:r>
      <w:hyperlink r:id="rId30">
        <w:r>
          <w:rPr>
            <w:rStyle w:val="Hyperlink"/>
            <w:rFonts w:ascii="Times New Roman" w:hAnsi="Times New Roman"/>
            <w:b w:val="false"/>
            <w:i w:val="false"/>
            <w:color w:val="000000"/>
            <w:sz w:val="24"/>
          </w:rPr>
          <w:t>102.9(5)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Types and weight of compostable materials and bulking agent, in tons, accepted at the facility annually.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Weight of compost, in tons, removed from the facility annually.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A copy of the operations plan, the permit and annual reports.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Documentation of the volumes and dates of treatment, recycling, or disposal of unused contact water.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 xml:space="preserve">Documentation of visual inspections conducted pursuant to </w:t>
      </w:r>
      <w:hyperlink r:id="rId31">
        <w:r>
          <w:rPr>
            <w:rStyle w:val="Hyperlink"/>
            <w:rFonts w:ascii="Times New Roman" w:hAnsi="Times New Roman"/>
            <w:b w:val="false"/>
            <w:i w:val="false"/>
            <w:color w:val="000000"/>
            <w:sz w:val="24"/>
          </w:rPr>
          <w:t>102.9(4)</w:t>
        </w:r>
      </w:hyperlink>
      <w:r>
        <w:rPr>
          <w:rFonts w:ascii="Times New Roman" w:hAnsi="Times New Roman"/>
          <w:b w:val="false"/>
          <w:i/>
          <w:color w:val="000000"/>
          <w:sz w:val="24"/>
        </w:rPr>
        <w:t>“f.”</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102.9(6)</w:t>
      </w:r>
      <w:r>
        <w:rPr>
          <w:rFonts w:ascii="Times New Roman" w:hAnsi="Times New Roman"/>
          <w:b w:val="false"/>
          <w:i w:val="false"/>
          <w:color w:val="000000"/>
          <w:sz w:val="24"/>
        </w:rPr>
        <w:t> </w:t>
      </w:r>
      <w:r>
        <w:rPr>
          <w:rFonts w:ascii="Times New Roman" w:hAnsi="Times New Roman"/>
          <w:b w:val="false"/>
          <w:i/>
          <w:color w:val="000000"/>
          <w:sz w:val="24"/>
        </w:rPr>
        <w:t xml:space="preserve">Reporting requirements. </w:t>
      </w:r>
      <w:r>
        <w:rPr>
          <w:rFonts w:ascii="Times New Roman" w:hAnsi="Times New Roman"/>
          <w:b w:val="false"/>
          <w:i w:val="false"/>
          <w:color w:val="000000"/>
          <w:sz w:val="24"/>
        </w:rPr>
        <w:t>An annual report for the previous fiscal year beginning July 1 and ending June 30 shall be submitted to the department by July 31 of each year. The report shall be submitted using a form prescribed by the department and include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Tons of type A feedstock received.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Tons of type B feedstock received.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Tons of type C feedstock received.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Tons of finished compost sold, given away or used by permit holder.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Method of composting.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Name of certified operator.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 xml:space="preserve">Copy of the most recent results of the testing required in </w:t>
      </w:r>
      <w:hyperlink r:id="rId32">
        <w:r>
          <w:rPr>
            <w:rStyle w:val="Hyperlink"/>
            <w:rFonts w:ascii="Times New Roman" w:hAnsi="Times New Roman"/>
            <w:b w:val="false"/>
            <w:i w:val="false"/>
            <w:color w:val="000000"/>
            <w:sz w:val="24"/>
          </w:rPr>
          <w:t>102.9(4)</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102.9(7)</w:t>
      </w:r>
      <w:r>
        <w:rPr>
          <w:rFonts w:ascii="Times New Roman" w:hAnsi="Times New Roman"/>
          <w:b w:val="false"/>
          <w:i w:val="false"/>
          <w:color w:val="000000"/>
          <w:sz w:val="24"/>
        </w:rPr>
        <w:t> </w:t>
      </w:r>
      <w:r>
        <w:rPr>
          <w:rFonts w:ascii="Times New Roman" w:hAnsi="Times New Roman"/>
          <w:b w:val="false"/>
          <w:i/>
          <w:color w:val="000000"/>
          <w:sz w:val="24"/>
        </w:rPr>
        <w:t xml:space="preserve">Closure requirements.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A schedule to implement the closure plan in </w:t>
      </w:r>
      <w:hyperlink r:id="rId33">
        <w:r>
          <w:rPr>
            <w:rStyle w:val="Hyperlink"/>
            <w:rFonts w:ascii="Times New Roman" w:hAnsi="Times New Roman"/>
            <w:b w:val="false"/>
            <w:i w:val="false"/>
            <w:color w:val="000000"/>
            <w:sz w:val="24"/>
          </w:rPr>
          <w:t>102.9(2)</w:t>
        </w:r>
      </w:hyperlink>
      <w:r>
        <w:rPr>
          <w:rFonts w:ascii="Times New Roman" w:hAnsi="Times New Roman"/>
          <w:b w:val="false"/>
          <w:i/>
          <w:color w:val="000000"/>
          <w:sz w:val="24"/>
        </w:rPr>
        <w:t>“f”</w:t>
      </w:r>
      <w:r>
        <w:rPr>
          <w:rFonts w:ascii="Times New Roman" w:hAnsi="Times New Roman"/>
          <w:b w:val="false"/>
          <w:i w:val="false"/>
          <w:color w:val="000000"/>
          <w:sz w:val="24"/>
        </w:rPr>
        <w:t xml:space="preserve"> shall be submitted to the department at least 30 days prior to the proposed termination date for the facility. If needed, a request to modify the closure plan may be submitted at the same time.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Unless an alternative schedule is approved by the department, within six months of the facility’s ceasing operation, the facility shall properly dispose of all organic material, solid waste, and litter and remove all finished compost from the premises.</w:t>
      </w:r>
    </w:p>
    <w:p>
      <w:pPr>
        <w:spacing w:before="0" w:after="0" w:line="480"/>
        <w:ind w:left="120"/>
        <w:jc w:val="both"/>
      </w:pPr>
      <w:r>
        <w:rPr>
          <w:rFonts w:ascii="Times New Roman" w:hAnsi="Times New Roman"/>
          <w:b/>
          <w:i w:val="false"/>
          <w:color w:val="000000"/>
          <w:sz w:val="24"/>
        </w:rPr>
        <w:t>567—102.10</w:t>
      </w:r>
      <w:r>
        <w:rPr>
          <w:rFonts w:ascii="Times New Roman" w:hAnsi="Times New Roman"/>
          <w:b/>
          <w:i w:val="false"/>
          <w:color w:val="000000"/>
          <w:sz w:val="24"/>
        </w:rPr>
        <w:t xml:space="preserve">(455D) </w:t>
      </w:r>
      <w:r>
        <w:rPr>
          <w:rFonts w:ascii="Times New Roman" w:hAnsi="Times New Roman"/>
          <w:b/>
          <w:i w:val="false"/>
          <w:color w:val="000000"/>
          <w:sz w:val="24"/>
        </w:rPr>
        <w:t xml:space="preserve">Financial assurance. </w:t>
      </w:r>
      <w:r>
        <w:rPr>
          <w:rFonts w:ascii="Times New Roman" w:hAnsi="Times New Roman"/>
          <w:b w:val="false"/>
          <w:i w:val="false"/>
          <w:color w:val="000000"/>
          <w:sz w:val="24"/>
        </w:rPr>
        <w:t xml:space="preserve">Tier 4 composting facilities must obtain and submit a financial assurance instrument to the department. The financial assurance instrument shall provide monetary funds to properly dispose of any preprocessed and postprocessed materials that remain at a facility due to the owner’s or operator’s failure to properly close the site according to the schedule approved be the department in </w:t>
      </w:r>
      <w:hyperlink r:id="rId34">
        <w:r>
          <w:rPr>
            <w:rStyle w:val="Hyperlink"/>
            <w:rFonts w:ascii="Times New Roman" w:hAnsi="Times New Roman"/>
            <w:b w:val="false"/>
            <w:i w:val="false"/>
            <w:color w:val="000000"/>
            <w:sz w:val="24"/>
          </w:rPr>
          <w:t>102.9(9)</w:t>
        </w:r>
      </w:hyperlink>
      <w:r>
        <w:rPr>
          <w:rFonts w:ascii="Times New Roman" w:hAnsi="Times New Roman"/>
          <w:b w:val="false"/>
          <w:i/>
          <w:color w:val="000000"/>
          <w:sz w:val="24"/>
        </w:rPr>
        <w:t>“a”</w:t>
      </w:r>
      <w:r>
        <w:rPr>
          <w:rFonts w:ascii="Times New Roman" w:hAnsi="Times New Roman"/>
          <w:b w:val="false"/>
          <w:i w:val="false"/>
          <w:color w:val="000000"/>
          <w:sz w:val="24"/>
        </w:rPr>
        <w:t xml:space="preserve"> or within six months of permit suspension, termination, revocation, or expiration if no alternative schedule is approved.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102.10(1)</w:t>
      </w:r>
      <w:r>
        <w:rPr>
          <w:rFonts w:ascii="Times New Roman" w:hAnsi="Times New Roman"/>
          <w:b w:val="false"/>
          <w:i w:val="false"/>
          <w:color w:val="000000"/>
          <w:sz w:val="24"/>
        </w:rPr>
        <w:t> </w:t>
      </w:r>
      <w:r>
        <w:rPr>
          <w:rFonts w:ascii="Times New Roman" w:hAnsi="Times New Roman"/>
          <w:b w:val="false"/>
          <w:i/>
          <w:color w:val="000000"/>
          <w:sz w:val="24"/>
        </w:rPr>
        <w:t xml:space="preserve">No permit without financial assurance. </w:t>
      </w:r>
      <w:r>
        <w:rPr>
          <w:rFonts w:ascii="Times New Roman" w:hAnsi="Times New Roman"/>
          <w:b w:val="false"/>
          <w:i w:val="false"/>
          <w:color w:val="000000"/>
          <w:sz w:val="24"/>
        </w:rPr>
        <w:t>The department shall not issue or renew a permit to an owner or operator until a financial assurance instrument has been submitted to and approved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102.10(2)</w:t>
      </w:r>
      <w:r>
        <w:rPr>
          <w:rFonts w:ascii="Times New Roman" w:hAnsi="Times New Roman"/>
          <w:b w:val="false"/>
          <w:i w:val="false"/>
          <w:color w:val="000000"/>
          <w:sz w:val="24"/>
        </w:rPr>
        <w:t> </w:t>
      </w:r>
      <w:r>
        <w:rPr>
          <w:rFonts w:ascii="Times New Roman" w:hAnsi="Times New Roman"/>
          <w:b w:val="false"/>
          <w:i/>
          <w:color w:val="000000"/>
          <w:sz w:val="24"/>
        </w:rPr>
        <w:t xml:space="preserve">Proof of compliance. </w:t>
      </w:r>
      <w:r>
        <w:rPr>
          <w:rFonts w:ascii="Times New Roman" w:hAnsi="Times New Roman"/>
          <w:b w:val="false"/>
          <w:i w:val="false"/>
          <w:color w:val="000000"/>
          <w:sz w:val="24"/>
        </w:rPr>
        <w:t>Proof of the establishment of the financial assurance instrument and compliance with this rule, including a current closure cost estimate, shall be submitted to the department at the time of application for a permit for a new composting facility. The owner or operator must provide continuous coverage for closure and submit proof of compliance, including an updated closure cost estimate, with each permit renewal until released from this requirement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102.10(3)</w:t>
      </w:r>
      <w:r>
        <w:rPr>
          <w:rFonts w:ascii="Times New Roman" w:hAnsi="Times New Roman"/>
          <w:b w:val="false"/>
          <w:i w:val="false"/>
          <w:color w:val="000000"/>
          <w:sz w:val="24"/>
        </w:rPr>
        <w:t> </w:t>
      </w:r>
      <w:r>
        <w:rPr>
          <w:rFonts w:ascii="Times New Roman" w:hAnsi="Times New Roman"/>
          <w:b w:val="false"/>
          <w:i/>
          <w:color w:val="000000"/>
          <w:sz w:val="24"/>
        </w:rPr>
        <w:t xml:space="preserve">Use of one financial assurance instrument for multiple permitted activities. </w:t>
      </w:r>
      <w:r>
        <w:rPr>
          <w:rFonts w:ascii="Times New Roman" w:hAnsi="Times New Roman"/>
          <w:b w:val="false"/>
          <w:i w:val="false"/>
          <w:color w:val="000000"/>
          <w:sz w:val="24"/>
        </w:rPr>
        <w:t xml:space="preserve">Composting facilities required to maintain financial assurance pursuant to any other provisions of </w:t>
      </w:r>
      <w:hyperlink r:id="rId35">
        <w:r>
          <w:rPr>
            <w:rStyle w:val="Hyperlink"/>
            <w:rFonts w:ascii="Times New Roman" w:hAnsi="Times New Roman"/>
            <w:b w:val="false"/>
            <w:i w:val="false"/>
            <w:color w:val="000000"/>
            <w:sz w:val="24"/>
          </w:rPr>
          <w:t>567—Chapters 100</w:t>
        </w:r>
      </w:hyperlink>
      <w:r>
        <w:rPr>
          <w:rFonts w:ascii="Times New Roman" w:hAnsi="Times New Roman"/>
          <w:b w:val="false"/>
          <w:i w:val="false"/>
          <w:color w:val="000000"/>
          <w:sz w:val="24"/>
        </w:rPr>
        <w:t xml:space="preserve"> through </w:t>
      </w:r>
      <w:hyperlink r:id="rId36">
        <w:r>
          <w:rPr>
            <w:rStyle w:val="Hyperlink"/>
            <w:rFonts w:ascii="Times New Roman" w:hAnsi="Times New Roman"/>
            <w:b w:val="false"/>
            <w:i w:val="false"/>
            <w:color w:val="000000"/>
            <w:sz w:val="24"/>
          </w:rPr>
          <w:t>102</w:t>
        </w:r>
      </w:hyperlink>
      <w:r>
        <w:rPr>
          <w:rFonts w:ascii="Times New Roman" w:hAnsi="Times New Roman"/>
          <w:b w:val="false"/>
          <w:i w:val="false"/>
          <w:color w:val="000000"/>
          <w:sz w:val="24"/>
        </w:rPr>
        <w:t xml:space="preserve"> may satisfy the requirements of this rule by the use of one financial assurance instrument listed in </w:t>
      </w:r>
      <w:hyperlink r:id="rId37">
        <w:r>
          <w:rPr>
            <w:rStyle w:val="Hyperlink"/>
            <w:rFonts w:ascii="Times New Roman" w:hAnsi="Times New Roman"/>
            <w:b w:val="false"/>
            <w:i w:val="false"/>
            <w:color w:val="000000"/>
            <w:sz w:val="24"/>
          </w:rPr>
          <w:t>102.10(5)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102.10(4)</w:t>
      </w:r>
      <w:r>
        <w:rPr>
          <w:rFonts w:ascii="Times New Roman" w:hAnsi="Times New Roman"/>
          <w:b w:val="false"/>
          <w:i w:val="false"/>
          <w:color w:val="000000"/>
          <w:sz w:val="24"/>
        </w:rPr>
        <w:t> </w:t>
      </w:r>
      <w:r>
        <w:rPr>
          <w:rFonts w:ascii="Times New Roman" w:hAnsi="Times New Roman"/>
          <w:b w:val="false"/>
          <w:i/>
          <w:color w:val="000000"/>
          <w:sz w:val="24"/>
        </w:rPr>
        <w:t xml:space="preserve">Financial assurance amounts required. </w:t>
      </w:r>
      <w:r>
        <w:rPr>
          <w:rFonts w:ascii="Times New Roman" w:hAnsi="Times New Roman"/>
          <w:b w:val="false"/>
          <w:i w:val="false"/>
          <w:color w:val="000000"/>
          <w:sz w:val="24"/>
        </w:rPr>
        <w:t>The estimate submitted to the department must be certified by an Iowa-licensed professional engineer and must account for at least the following factors determined by the department to be minimal necessary costs for closure: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Transportation costs, which include the cost to load the material, and total tip fees to properly dispose of the maximum tonnage of received materials that could be managed and stockpiled by the compost facility. Also included shall be the costs of properly removing any wastewater held at the facility.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The costs for maintaining financial assurance pursuant to any other provisions of </w:t>
      </w:r>
      <w:hyperlink r:id="rId38">
        <w:r>
          <w:rPr>
            <w:rStyle w:val="Hyperlink"/>
            <w:rFonts w:ascii="Times New Roman" w:hAnsi="Times New Roman"/>
            <w:b w:val="false"/>
            <w:i w:val="false"/>
            <w:color w:val="000000"/>
            <w:sz w:val="24"/>
          </w:rPr>
          <w:t>567—Chapters 100</w:t>
        </w:r>
      </w:hyperlink>
      <w:r>
        <w:rPr>
          <w:rFonts w:ascii="Times New Roman" w:hAnsi="Times New Roman"/>
          <w:b w:val="false"/>
          <w:i w:val="false"/>
          <w:color w:val="000000"/>
          <w:sz w:val="24"/>
        </w:rPr>
        <w:t xml:space="preserve"> through </w:t>
      </w:r>
      <w:hyperlink r:id="rId39">
        <w:r>
          <w:rPr>
            <w:rStyle w:val="Hyperlink"/>
            <w:rFonts w:ascii="Times New Roman" w:hAnsi="Times New Roman"/>
            <w:b w:val="false"/>
            <w:i w:val="false"/>
            <w:color w:val="000000"/>
            <w:sz w:val="24"/>
          </w:rPr>
          <w:t>123</w:t>
        </w:r>
      </w:hyperlink>
      <w:r>
        <w:rPr>
          <w:rFonts w:ascii="Times New Roman" w:hAnsi="Times New Roman"/>
          <w:b w:val="false"/>
          <w:i w:val="false"/>
          <w:color w:val="000000"/>
          <w:sz w:val="24"/>
        </w:rPr>
        <w:t xml:space="preserve">, if any, in accordance with </w:t>
      </w:r>
      <w:hyperlink r:id="rId40">
        <w:r>
          <w:rPr>
            <w:rStyle w:val="Hyperlink"/>
            <w:rFonts w:ascii="Times New Roman" w:hAnsi="Times New Roman"/>
            <w:b w:val="false"/>
            <w:i w:val="false"/>
            <w:color w:val="000000"/>
            <w:sz w:val="24"/>
          </w:rPr>
          <w:t>102.10(3)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102.10(5)</w:t>
      </w:r>
      <w:r>
        <w:rPr>
          <w:rFonts w:ascii="Times New Roman" w:hAnsi="Times New Roman"/>
          <w:b w:val="false"/>
          <w:i w:val="false"/>
          <w:color w:val="000000"/>
          <w:sz w:val="24"/>
        </w:rPr>
        <w:t> </w:t>
      </w:r>
      <w:r>
        <w:rPr>
          <w:rFonts w:ascii="Times New Roman" w:hAnsi="Times New Roman"/>
          <w:b w:val="false"/>
          <w:i/>
          <w:color w:val="000000"/>
          <w:sz w:val="24"/>
        </w:rPr>
        <w:t xml:space="preserve">Acceptable financial assurance instruments. </w:t>
      </w:r>
      <w:r>
        <w:rPr>
          <w:rFonts w:ascii="Times New Roman" w:hAnsi="Times New Roman"/>
          <w:b w:val="false"/>
          <w:i w:val="false"/>
          <w:color w:val="000000"/>
          <w:sz w:val="24"/>
        </w:rPr>
        <w:t xml:space="preserve">The financial assurance instrument shall be established in an amount equal to the cost estimate prepared in accordance with </w:t>
      </w:r>
      <w:hyperlink r:id="rId41">
        <w:r>
          <w:rPr>
            <w:rStyle w:val="Hyperlink"/>
            <w:rFonts w:ascii="Times New Roman" w:hAnsi="Times New Roman"/>
            <w:b w:val="false"/>
            <w:i w:val="false"/>
            <w:color w:val="000000"/>
            <w:sz w:val="24"/>
          </w:rPr>
          <w:t>102.10(4)</w:t>
        </w:r>
      </w:hyperlink>
      <w:r>
        <w:rPr>
          <w:rFonts w:ascii="Times New Roman" w:hAnsi="Times New Roman"/>
          <w:b w:val="false"/>
          <w:i w:val="false"/>
          <w:color w:val="000000"/>
          <w:sz w:val="24"/>
        </w:rPr>
        <w:t xml:space="preserve"> and shall not be canceled, revoked, disbursed, released, or allowed to terminate without the approval of the department. The language of the financial assurance instrument shall meet the criteria in </w:t>
      </w:r>
      <w:hyperlink r:id="rId42">
        <w:r>
          <w:rPr>
            <w:rStyle w:val="Hyperlink"/>
            <w:rFonts w:ascii="Times New Roman" w:hAnsi="Times New Roman"/>
            <w:b w:val="false"/>
            <w:i w:val="false"/>
            <w:color w:val="000000"/>
            <w:sz w:val="24"/>
          </w:rPr>
          <w:t>567—subrule 101.708(3)</w:t>
        </w:r>
      </w:hyperlink>
      <w:r>
        <w:rPr>
          <w:rFonts w:ascii="Times New Roman" w:hAnsi="Times New Roman"/>
          <w:b w:val="false"/>
          <w:i w:val="false"/>
          <w:color w:val="000000"/>
          <w:sz w:val="24"/>
        </w:rPr>
        <w:t>. Financial assurance shall be provided by one of the following options: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Trust fund pursuant to </w:t>
      </w:r>
      <w:hyperlink r:id="rId43">
        <w:r>
          <w:rPr>
            <w:rStyle w:val="Hyperlink"/>
            <w:rFonts w:ascii="Times New Roman" w:hAnsi="Times New Roman"/>
            <w:b w:val="false"/>
            <w:i w:val="false"/>
            <w:color w:val="000000"/>
            <w:sz w:val="24"/>
          </w:rPr>
          <w:t>567—subrule 101.707(1)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Surety bond, pursuant to </w:t>
      </w:r>
      <w:hyperlink r:id="rId44">
        <w:r>
          <w:rPr>
            <w:rStyle w:val="Hyperlink"/>
            <w:rFonts w:ascii="Times New Roman" w:hAnsi="Times New Roman"/>
            <w:b w:val="false"/>
            <w:i w:val="false"/>
            <w:color w:val="000000"/>
            <w:sz w:val="24"/>
          </w:rPr>
          <w:t>567—subrule 101.707(2)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Letter of credit, pursuant to </w:t>
      </w:r>
      <w:hyperlink r:id="rId45">
        <w:r>
          <w:rPr>
            <w:rStyle w:val="Hyperlink"/>
            <w:rFonts w:ascii="Times New Roman" w:hAnsi="Times New Roman"/>
            <w:b w:val="false"/>
            <w:i w:val="false"/>
            <w:color w:val="000000"/>
            <w:sz w:val="24"/>
          </w:rPr>
          <w:t>567—subrule 101.707(3)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 xml:space="preserve">Corporate guarantee pursuant to </w:t>
      </w:r>
      <w:hyperlink r:id="rId46">
        <w:r>
          <w:rPr>
            <w:rStyle w:val="Hyperlink"/>
            <w:rFonts w:ascii="Times New Roman" w:hAnsi="Times New Roman"/>
            <w:b w:val="false"/>
            <w:i w:val="false"/>
            <w:color w:val="000000"/>
            <w:sz w:val="24"/>
          </w:rPr>
          <w:t>567—subrule 101.707(7)</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 xml:space="preserve">Local government guarantee pursuant to </w:t>
      </w:r>
      <w:hyperlink r:id="rId47">
        <w:r>
          <w:rPr>
            <w:rStyle w:val="Hyperlink"/>
            <w:rFonts w:ascii="Times New Roman" w:hAnsi="Times New Roman"/>
            <w:b w:val="false"/>
            <w:i w:val="false"/>
            <w:color w:val="000000"/>
            <w:sz w:val="24"/>
          </w:rPr>
          <w:t>567—subrule 101.707(8)</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 xml:space="preserve">Local government dedicated fund pursuant to </w:t>
      </w:r>
      <w:hyperlink r:id="rId48">
        <w:r>
          <w:rPr>
            <w:rStyle w:val="Hyperlink"/>
            <w:rFonts w:ascii="Times New Roman" w:hAnsi="Times New Roman"/>
            <w:b w:val="false"/>
            <w:i w:val="false"/>
            <w:color w:val="000000"/>
            <w:sz w:val="24"/>
          </w:rPr>
          <w:t>567—subrule 101.707(9)</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567—102.11</w:t>
      </w:r>
      <w:r>
        <w:rPr>
          <w:rFonts w:ascii="Times New Roman" w:hAnsi="Times New Roman"/>
          <w:b/>
          <w:i w:val="false"/>
          <w:color w:val="000000"/>
          <w:sz w:val="24"/>
        </w:rPr>
        <w:t xml:space="preserve">(455D) </w:t>
      </w:r>
      <w:r>
        <w:rPr>
          <w:rFonts w:ascii="Times New Roman" w:hAnsi="Times New Roman"/>
          <w:b/>
          <w:i w:val="false"/>
          <w:color w:val="000000"/>
          <w:sz w:val="24"/>
        </w:rPr>
        <w:t xml:space="preserve">Compost operator certification.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102.11(1)</w:t>
      </w:r>
      <w:r>
        <w:rPr>
          <w:rFonts w:ascii="Times New Roman" w:hAnsi="Times New Roman"/>
          <w:b w:val="false"/>
          <w:i w:val="false"/>
          <w:color w:val="000000"/>
          <w:sz w:val="24"/>
        </w:rPr>
        <w:t> </w:t>
      </w:r>
      <w:r>
        <w:rPr>
          <w:rFonts w:ascii="Times New Roman" w:hAnsi="Times New Roman"/>
          <w:b w:val="false"/>
          <w:i/>
          <w:color w:val="000000"/>
          <w:sz w:val="24"/>
        </w:rPr>
        <w:t xml:space="preserve">General requirements. </w:t>
      </w:r>
      <w:r>
        <w:rPr>
          <w:rFonts w:ascii="Times New Roman" w:hAnsi="Times New Roman"/>
          <w:b w:val="false"/>
          <w:i w:val="false"/>
          <w:color w:val="000000"/>
          <w:sz w:val="24"/>
        </w:rPr>
        <w:t>To become a certified compost facility operator, an individual shall complete a compost operator training course that has been approved by the department, then apply for certification by the department. An operator certified by another state may have reciprocity subject to approval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102.11(2)</w:t>
      </w:r>
      <w:r>
        <w:rPr>
          <w:rFonts w:ascii="Times New Roman" w:hAnsi="Times New Roman"/>
          <w:b w:val="false"/>
          <w:i w:val="false"/>
          <w:color w:val="000000"/>
          <w:sz w:val="24"/>
        </w:rPr>
        <w:t> </w:t>
      </w:r>
      <w:r>
        <w:rPr>
          <w:rFonts w:ascii="Times New Roman" w:hAnsi="Times New Roman"/>
          <w:b w:val="false"/>
          <w:i/>
          <w:color w:val="000000"/>
          <w:sz w:val="24"/>
        </w:rPr>
        <w:t xml:space="preserve">Course approval. </w:t>
      </w:r>
      <w:r>
        <w:rPr>
          <w:rFonts w:ascii="Times New Roman" w:hAnsi="Times New Roman"/>
          <w:b w:val="false"/>
          <w:i w:val="false"/>
          <w:color w:val="000000"/>
          <w:sz w:val="24"/>
        </w:rPr>
        <w:t>To be approved by the department, an operator training course for a certified compost facility operator must have at least 24 contact hours and must address the following areas at a minimum: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Basic principles of composting and decomposition.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Composting methods.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Site design and equipment.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Characteristics of various types of feedstocks and recipe development.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Construction of windrows or piles.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Monitoring and troubleshooting.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Uses and markets for compost.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Applicable laws and regulations.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102.11(3)</w:t>
      </w:r>
      <w:r>
        <w:rPr>
          <w:rFonts w:ascii="Times New Roman" w:hAnsi="Times New Roman"/>
          <w:b w:val="false"/>
          <w:i w:val="false"/>
          <w:color w:val="000000"/>
          <w:sz w:val="24"/>
        </w:rPr>
        <w:t> </w:t>
      </w:r>
      <w:r>
        <w:rPr>
          <w:rFonts w:ascii="Times New Roman" w:hAnsi="Times New Roman"/>
          <w:b w:val="false"/>
          <w:i/>
          <w:color w:val="000000"/>
          <w:sz w:val="24"/>
        </w:rPr>
        <w:t xml:space="preserve">Form. </w:t>
      </w:r>
      <w:r>
        <w:rPr>
          <w:rFonts w:ascii="Times New Roman" w:hAnsi="Times New Roman"/>
          <w:b w:val="false"/>
          <w:i w:val="false"/>
          <w:color w:val="000000"/>
          <w:sz w:val="24"/>
        </w:rPr>
        <w:t>Applications for certification shall be made on a form prescribed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102.11(4)</w:t>
      </w:r>
      <w:r>
        <w:rPr>
          <w:rFonts w:ascii="Times New Roman" w:hAnsi="Times New Roman"/>
          <w:b w:val="false"/>
          <w:i w:val="false"/>
          <w:color w:val="000000"/>
          <w:sz w:val="24"/>
        </w:rPr>
        <w:t> </w:t>
      </w:r>
      <w:r>
        <w:rPr>
          <w:rFonts w:ascii="Times New Roman" w:hAnsi="Times New Roman"/>
          <w:b w:val="false"/>
          <w:i/>
          <w:color w:val="000000"/>
          <w:sz w:val="24"/>
        </w:rPr>
        <w:t xml:space="preserve">Duration and renewal of certification. </w:t>
      </w:r>
      <w:r>
        <w:rPr>
          <w:rFonts w:ascii="Times New Roman" w:hAnsi="Times New Roman"/>
          <w:b w:val="false"/>
          <w:i w:val="false"/>
          <w:color w:val="000000"/>
          <w:sz w:val="24"/>
        </w:rPr>
        <w:t>The department shall issue all compost operator certifications on a three-year cycle. This rule shall take effect relative solely to certifications on July 1, 2026, and a new cycle shall start at that time. The department may issue a certification at any time during a three-year cycle. Certificates are valid through the expiration date listed on the certification, which shall be the end of the most current cycle.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An application for renewal is due prior to expiration of certification. If a certificate holder fails to apply for renewal within 30 days following expiration of the certificate, the applicant must then apply for a new certification in accordance with </w:t>
      </w:r>
      <w:hyperlink r:id="rId49">
        <w:r>
          <w:rPr>
            <w:rStyle w:val="Hyperlink"/>
            <w:rFonts w:ascii="Times New Roman" w:hAnsi="Times New Roman"/>
            <w:b w:val="false"/>
            <w:i w:val="false"/>
            <w:color w:val="000000"/>
            <w:sz w:val="24"/>
          </w:rPr>
          <w:t>102.11(1)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To renew a certification, a certified operator must earn eight contact hours during each three-year period, except that a first-time certified operator is not required to earn contact hours prior to the first renewal of the certification. The certificates of operators not fulfilling the continuing education requirements will be void 30 days after the expiration date.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All activities for which contact hours will be granted must be related to compost and pre-approved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The certified operator is responsible for submitting an application for renewal that includes documentation of the contact hours completed during the renewal period.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The department may, in individual cases involving hardship or extenuating circumstances, grant an extension of time of up to three months within which the applicant may fulfill the contact hour requirements. Hardship or extenuating circumstances include documented health-related confinement or other circumstances beyond the control of the certified operator that prevent attendance at the required activities. All requests for extensions must be made prior to expiration of certification.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The deadline to apply for renewal and to fulfill continuing education requirements under this rule shall automatically be extended a length of time equal to any period in which the operator served honorably on active duty in military service within the three-year renewal cycle.</w:t>
      </w:r>
    </w:p>
    <w:p>
      <w:pPr>
        <w:spacing w:before="210" w:after="0" w:line="480"/>
        <w:ind w:left="120"/>
        <w:jc w:val="both"/>
      </w:pPr>
      <w:r>
        <w:rPr>
          <w:rFonts w:ascii="Times New Roman" w:hAnsi="Times New Roman"/>
          <w:b/>
          <w:i w:val="false"/>
          <w:color w:val="000000"/>
          <w:sz w:val="24"/>
        </w:rPr>
        <w:t>567—102.12</w:t>
      </w:r>
      <w:r>
        <w:rPr>
          <w:rFonts w:ascii="Times New Roman" w:hAnsi="Times New Roman"/>
          <w:b/>
          <w:i w:val="false"/>
          <w:color w:val="000000"/>
          <w:sz w:val="24"/>
        </w:rPr>
        <w:t xml:space="preserve">(455D) </w:t>
      </w:r>
      <w:r>
        <w:rPr>
          <w:rFonts w:ascii="Times New Roman" w:hAnsi="Times New Roman"/>
          <w:b/>
          <w:i w:val="false"/>
          <w:color w:val="000000"/>
          <w:sz w:val="24"/>
        </w:rPr>
        <w:t xml:space="preserve">Temporary operation without a certified operator. </w:t>
      </w:r>
      <w:r>
        <w:rPr>
          <w:rFonts w:ascii="Times New Roman" w:hAnsi="Times New Roman"/>
          <w:b w:val="false"/>
          <w:i w:val="false"/>
          <w:color w:val="000000"/>
          <w:sz w:val="24"/>
        </w:rPr>
        <w:t>Notwithstanding any other provision of these rules, the department in its sole discretion may authorize, in writing, a facility to temporarily operate without a certified operator for a period of six months when a certified operator is no longer available to the facility. The facility must make a request in writing to the department, explaining why a temporary authorization is needed and identify the efforts that will be made to obtain a certified operator.</w:t>
      </w:r>
    </w:p>
    <w:p>
      <w:pPr>
        <w:spacing w:before="210" w:after="0" w:line="480"/>
        <w:ind w:left="120"/>
        <w:jc w:val="both"/>
      </w:pPr>
      <w:r>
        <w:rPr>
          <w:rFonts w:ascii="Times New Roman" w:hAnsi="Times New Roman"/>
          <w:b/>
          <w:i w:val="false"/>
          <w:color w:val="000000"/>
          <w:sz w:val="24"/>
        </w:rPr>
        <w:t>567—102.13</w:t>
      </w:r>
      <w:r>
        <w:rPr>
          <w:rFonts w:ascii="Times New Roman" w:hAnsi="Times New Roman"/>
          <w:b w:val="false"/>
          <w:i w:val="false"/>
          <w:color w:val="000000"/>
          <w:sz w:val="24"/>
        </w:rPr>
        <w:t xml:space="preserve"> to </w:t>
      </w:r>
      <w:r>
        <w:rPr>
          <w:rFonts w:ascii="Times New Roman" w:hAnsi="Times New Roman"/>
          <w:b/>
          <w:i w:val="false"/>
          <w:color w:val="000000"/>
          <w:sz w:val="24"/>
        </w:rPr>
        <w:t>102.99</w:t>
      </w:r>
      <w:r>
        <w:rPr>
          <w:rFonts w:ascii="Times New Roman" w:hAnsi="Times New Roman"/>
          <w:b w:val="false"/>
          <w:i w:val="false"/>
          <w:color w:val="000000"/>
          <w:sz w:val="24"/>
        </w:rPr>
        <w:t>Reserved.</w:t>
      </w:r>
    </w:p>
    <w:p>
      <w:pPr>
        <w:spacing w:before="0" w:after="0" w:line="480"/>
        <w:ind w:left="120"/>
        <w:jc w:val="both"/>
      </w:pPr>
      <w:r>
        <w:rPr>
          <w:rFonts w:ascii="Times New Roman" w:hAnsi="Times New Roman"/>
          <w:b w:val="false"/>
          <w:i w:val="false"/>
          <w:color w:val="000000"/>
          <w:sz w:val="24"/>
        </w:rPr>
        <w:t xml:space="preserve">These rules are intended to implement Iowa Code section </w:t>
      </w:r>
      <w:hyperlink r:id="rId50">
        <w:r>
          <w:rPr>
            <w:rStyle w:val="Hyperlink"/>
            <w:rFonts w:ascii="Times New Roman" w:hAnsi="Times New Roman"/>
            <w:b w:val="false"/>
            <w:i w:val="false"/>
            <w:color w:val="000000"/>
            <w:sz w:val="24"/>
          </w:rPr>
          <w:t>455D.9</w:t>
        </w:r>
      </w:hyperlink>
      <w:r>
        <w:rPr>
          <w:rFonts w:ascii="Times New Roman" w:hAnsi="Times New Roman"/>
          <w:b w:val="false"/>
          <w:i w:val="false"/>
          <w:color w:val="000000"/>
          <w:sz w:val="24"/>
        </w:rPr>
        <w:t>.</w:t>
      </w:r>
    </w:p>
    <w:p>
      <w:pPr>
        <w:pBdr>
          <w:top w:space="10"/>
        </w:pBdr>
        <w:spacing w:before="0" w:after="0" w:line="480"/>
        <w:ind w:left="120"/>
        <w:jc w:val="center"/>
      </w:pPr>
      <w:r>
        <w:rPr>
          <w:rFonts w:ascii="Times New Roman" w:hAnsi="Times New Roman"/>
          <w:b w:val="false"/>
          <w:i w:val="false"/>
          <w:color w:val="000000"/>
          <w:sz w:val="16"/>
        </w:rPr>
        <w:t>DIVISION II</w:t>
      </w:r>
    </w:p>
    <w:p>
      <w:pPr>
        <w:pBdr>
          <w:bottom w:space="10"/>
        </w:pBdr>
        <w:spacing w:before="0" w:after="0" w:line="480"/>
        <w:ind w:left="120"/>
        <w:jc w:val="center"/>
      </w:pPr>
      <w:r>
        <w:rPr>
          <w:rFonts w:ascii="Times New Roman" w:hAnsi="Times New Roman"/>
          <w:b w:val="false"/>
          <w:i w:val="false"/>
          <w:color w:val="000000"/>
          <w:sz w:val="16"/>
        </w:rPr>
        <w:t>LAND APPLICATION OF WASTE</w:t>
      </w:r>
    </w:p>
    <w:p>
      <w:pPr>
        <w:spacing w:before="210" w:after="0" w:line="480"/>
        <w:ind w:left="120"/>
        <w:jc w:val="both"/>
      </w:pPr>
      <w:r>
        <w:rPr>
          <w:rFonts w:ascii="Times New Roman" w:hAnsi="Times New Roman"/>
          <w:b/>
          <w:i w:val="false"/>
          <w:color w:val="000000"/>
          <w:sz w:val="24"/>
        </w:rPr>
        <w:t>567—102.100</w:t>
      </w:r>
      <w:r>
        <w:rPr>
          <w:rFonts w:ascii="Times New Roman" w:hAnsi="Times New Roman"/>
          <w:b/>
          <w:i w:val="false"/>
          <w:color w:val="000000"/>
          <w:sz w:val="24"/>
        </w:rPr>
        <w:t xml:space="preserve">(455B,17A) </w:t>
      </w:r>
      <w:r>
        <w:rPr>
          <w:rFonts w:ascii="Times New Roman" w:hAnsi="Times New Roman"/>
          <w:b/>
          <w:i w:val="false"/>
          <w:color w:val="000000"/>
          <w:sz w:val="24"/>
        </w:rPr>
        <w:t xml:space="preserve">Purpose; applicability; compliance. </w:t>
      </w:r>
      <w:r>
        <w:rPr>
          <w:rFonts w:ascii="Times New Roman" w:hAnsi="Times New Roman"/>
          <w:b w:val="false"/>
          <w:i w:val="false"/>
          <w:color w:val="000000"/>
          <w:sz w:val="24"/>
        </w:rPr>
        <w:t xml:space="preserve">This division shall apply to the land application of solid waste and industrial sludge, except as follows. It does not apply to sewage or other wastewater regulated by </w:t>
      </w:r>
      <w:hyperlink r:id="rId51">
        <w:r>
          <w:rPr>
            <w:rStyle w:val="Hyperlink"/>
            <w:rFonts w:ascii="Times New Roman" w:hAnsi="Times New Roman"/>
            <w:b w:val="false"/>
            <w:i w:val="false"/>
            <w:color w:val="000000"/>
            <w:sz w:val="24"/>
          </w:rPr>
          <w:t>567—Chapters 60</w:t>
        </w:r>
      </w:hyperlink>
      <w:r>
        <w:rPr>
          <w:rFonts w:ascii="Times New Roman" w:hAnsi="Times New Roman"/>
          <w:b w:val="false"/>
          <w:i w:val="false"/>
          <w:color w:val="000000"/>
          <w:sz w:val="24"/>
        </w:rPr>
        <w:t xml:space="preserve"> through </w:t>
      </w:r>
      <w:hyperlink r:id="rId52">
        <w:r>
          <w:rPr>
            <w:rStyle w:val="Hyperlink"/>
            <w:rFonts w:ascii="Times New Roman" w:hAnsi="Times New Roman"/>
            <w:b w:val="false"/>
            <w:i w:val="false"/>
            <w:color w:val="000000"/>
            <w:sz w:val="24"/>
          </w:rPr>
          <w:t>63</w:t>
        </w:r>
      </w:hyperlink>
      <w:r>
        <w:rPr>
          <w:rFonts w:ascii="Times New Roman" w:hAnsi="Times New Roman"/>
          <w:b w:val="false"/>
          <w:i w:val="false"/>
          <w:color w:val="000000"/>
          <w:sz w:val="24"/>
        </w:rPr>
        <w:t>, domestic septage, sewage sludge, animal manure, animal bedding, crop residue, waste registered as a fertilizer or soil conditioner with IDALS, waste registered as a liming agent with IDALS, or finished compost.</w:t>
      </w:r>
    </w:p>
    <w:p>
      <w:pPr>
        <w:spacing w:before="210" w:after="0" w:line="480"/>
        <w:ind w:left="120"/>
        <w:jc w:val="both"/>
      </w:pPr>
      <w:r>
        <w:rPr>
          <w:rFonts w:ascii="Times New Roman" w:hAnsi="Times New Roman"/>
          <w:b/>
          <w:i w:val="false"/>
          <w:color w:val="000000"/>
          <w:sz w:val="24"/>
        </w:rPr>
        <w:t>567—102.101</w:t>
      </w:r>
      <w:r>
        <w:rPr>
          <w:rFonts w:ascii="Times New Roman" w:hAnsi="Times New Roman"/>
          <w:b/>
          <w:i w:val="false"/>
          <w:color w:val="000000"/>
          <w:sz w:val="24"/>
        </w:rPr>
        <w:t xml:space="preserve">(455B) </w:t>
      </w:r>
      <w:r>
        <w:rPr>
          <w:rFonts w:ascii="Times New Roman" w:hAnsi="Times New Roman"/>
          <w:b/>
          <w:i w:val="false"/>
          <w:color w:val="000000"/>
          <w:sz w:val="24"/>
        </w:rPr>
        <w:t xml:space="preserve">Definitions. </w:t>
      </w:r>
      <w:r>
        <w:rPr>
          <w:rFonts w:ascii="Times New Roman" w:hAnsi="Times New Roman"/>
          <w:b w:val="false"/>
          <w:i w:val="false"/>
          <w:color w:val="000000"/>
          <w:sz w:val="24"/>
        </w:rPr>
        <w:t xml:space="preserve">The definitions in Iowa Code section </w:t>
      </w:r>
      <w:hyperlink r:id="rId53">
        <w:r>
          <w:rPr>
            <w:rStyle w:val="Hyperlink"/>
            <w:rFonts w:ascii="Times New Roman" w:hAnsi="Times New Roman"/>
            <w:b w:val="false"/>
            <w:i w:val="false"/>
            <w:color w:val="000000"/>
            <w:sz w:val="24"/>
          </w:rPr>
          <w:t>455B.301</w:t>
        </w:r>
      </w:hyperlink>
      <w:r>
        <w:rPr>
          <w:rFonts w:ascii="Times New Roman" w:hAnsi="Times New Roman"/>
          <w:b w:val="false"/>
          <w:i w:val="false"/>
          <w:color w:val="000000"/>
          <w:sz w:val="24"/>
        </w:rPr>
        <w:t xml:space="preserve"> and </w:t>
      </w:r>
      <w:hyperlink r:id="rId54">
        <w:r>
          <w:rPr>
            <w:rStyle w:val="Hyperlink"/>
            <w:rFonts w:ascii="Times New Roman" w:hAnsi="Times New Roman"/>
            <w:b w:val="false"/>
            <w:i w:val="false"/>
            <w:color w:val="000000"/>
            <w:sz w:val="24"/>
          </w:rPr>
          <w:t>567—Chapter 100</w:t>
        </w:r>
      </w:hyperlink>
      <w:r>
        <w:rPr>
          <w:rFonts w:ascii="Times New Roman" w:hAnsi="Times New Roman"/>
          <w:b w:val="false"/>
          <w:i w:val="false"/>
          <w:color w:val="000000"/>
          <w:sz w:val="24"/>
        </w:rPr>
        <w:t xml:space="preserve"> shall apply to this division.</w:t>
      </w:r>
    </w:p>
    <w:p>
      <w:pPr>
        <w:spacing w:before="0" w:after="0" w:line="480"/>
        <w:ind w:left="120"/>
        <w:jc w:val="both"/>
      </w:pPr>
      <w:r>
        <w:rPr>
          <w:rFonts w:ascii="Times New Roman" w:hAnsi="Times New Roman"/>
          <w:b/>
          <w:i w:val="false"/>
          <w:color w:val="000000"/>
          <w:sz w:val="24"/>
        </w:rPr>
        <w:t>567—102.102</w:t>
      </w:r>
      <w:r>
        <w:rPr>
          <w:rFonts w:ascii="Times New Roman" w:hAnsi="Times New Roman"/>
          <w:b/>
          <w:i w:val="false"/>
          <w:color w:val="000000"/>
          <w:sz w:val="24"/>
        </w:rPr>
        <w:t xml:space="preserve">(455B) </w:t>
      </w:r>
      <w:r>
        <w:rPr>
          <w:rFonts w:ascii="Times New Roman" w:hAnsi="Times New Roman"/>
          <w:b/>
          <w:i w:val="false"/>
          <w:color w:val="000000"/>
          <w:sz w:val="24"/>
        </w:rPr>
        <w:t xml:space="preserve">Land application of water supply sludge.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102.102(1)</w:t>
      </w:r>
      <w:r>
        <w:rPr>
          <w:rFonts w:ascii="Times New Roman" w:hAnsi="Times New Roman"/>
          <w:b w:val="false"/>
          <w:i w:val="false"/>
          <w:color w:val="000000"/>
          <w:sz w:val="24"/>
        </w:rPr>
        <w:t> </w:t>
      </w:r>
      <w:r>
        <w:rPr>
          <w:rFonts w:ascii="Times New Roman" w:hAnsi="Times New Roman"/>
          <w:b w:val="false"/>
          <w:i w:val="false"/>
          <w:color w:val="000000"/>
          <w:sz w:val="24"/>
        </w:rPr>
        <w:t>Sludges generated from water supply treatment may be applied to lawns, gardens, flower beds, or similar areas associated with residential use and crops that may be consumed by humans without prior heating or processing that are commonly available to the public in raw form (e.g., sweet corn, lettuce, carrots, asparagus, squash).</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102.102(2)</w:t>
      </w:r>
      <w:r>
        <w:rPr>
          <w:rFonts w:ascii="Times New Roman" w:hAnsi="Times New Roman"/>
          <w:b w:val="false"/>
          <w:i w:val="false"/>
          <w:color w:val="000000"/>
          <w:sz w:val="24"/>
        </w:rPr>
        <w:t> </w:t>
      </w:r>
      <w:r>
        <w:rPr>
          <w:rFonts w:ascii="Times New Roman" w:hAnsi="Times New Roman"/>
          <w:b w:val="false"/>
          <w:i w:val="false"/>
          <w:color w:val="000000"/>
          <w:sz w:val="24"/>
        </w:rPr>
        <w:t>Land application of sludges generated from water supply treatment are exempt from the remainder of this division.</w:t>
      </w:r>
    </w:p>
    <w:p>
      <w:pPr>
        <w:spacing w:before="0" w:after="0" w:line="480"/>
        <w:ind w:left="120"/>
        <w:jc w:val="both"/>
      </w:pPr>
      <w:r>
        <w:rPr>
          <w:rFonts w:ascii="Times New Roman" w:hAnsi="Times New Roman"/>
          <w:b/>
          <w:i w:val="false"/>
          <w:color w:val="000000"/>
          <w:sz w:val="24"/>
        </w:rPr>
        <w:t>567—102.103</w:t>
      </w:r>
      <w:r>
        <w:rPr>
          <w:rFonts w:ascii="Times New Roman" w:hAnsi="Times New Roman"/>
          <w:b/>
          <w:i w:val="false"/>
          <w:color w:val="000000"/>
          <w:sz w:val="24"/>
        </w:rPr>
        <w:t xml:space="preserve">(455B) </w:t>
      </w:r>
      <w:r>
        <w:rPr>
          <w:rFonts w:ascii="Times New Roman" w:hAnsi="Times New Roman"/>
          <w:b/>
          <w:i w:val="false"/>
          <w:color w:val="000000"/>
          <w:sz w:val="24"/>
        </w:rPr>
        <w:t xml:space="preserve">Waste eligible for land application. </w:t>
      </w:r>
      <w:r>
        <w:rPr>
          <w:rFonts w:ascii="Times New Roman" w:hAnsi="Times New Roman"/>
          <w:b w:val="false"/>
          <w:i w:val="false"/>
          <w:color w:val="000000"/>
          <w:sz w:val="24"/>
        </w:rPr>
        <w:t>Material must conform with the following to land applied pursuant to this division.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102.103(1)</w:t>
      </w:r>
      <w:r>
        <w:rPr>
          <w:rFonts w:ascii="Times New Roman" w:hAnsi="Times New Roman"/>
          <w:b w:val="false"/>
          <w:i w:val="false"/>
          <w:color w:val="000000"/>
          <w:sz w:val="24"/>
        </w:rPr>
        <w:t> </w:t>
      </w:r>
      <w:r>
        <w:rPr>
          <w:rFonts w:ascii="Times New Roman" w:hAnsi="Times New Roman"/>
          <w:b w:val="false"/>
          <w:i w:val="false"/>
          <w:color w:val="000000"/>
          <w:sz w:val="24"/>
        </w:rPr>
        <w:t>The material must either meet the definition of solid waste or be a sludge resulting from commercial or industrial wastewater treatment, water supply treatment, or air pollution control facility.</w:t>
      </w:r>
    </w:p>
    <w:p>
      <w:pPr>
        <w:spacing w:before="0" w:after="0" w:line="480"/>
        <w:ind w:left="120"/>
        <w:jc w:val="both"/>
      </w:pPr>
      <w:r>
        <w:rPr>
          <w:rFonts w:ascii="Times New Roman" w:hAnsi="Times New Roman"/>
          <w:b/>
          <w:i w:val="false"/>
          <w:color w:val="000000"/>
          <w:sz w:val="24"/>
        </w:rPr>
        <w:t>102.103(2)</w:t>
      </w:r>
      <w:r>
        <w:rPr>
          <w:rFonts w:ascii="Times New Roman" w:hAnsi="Times New Roman"/>
          <w:b w:val="false"/>
          <w:i w:val="false"/>
          <w:color w:val="000000"/>
          <w:sz w:val="24"/>
        </w:rPr>
        <w:t> </w:t>
      </w:r>
      <w:r>
        <w:rPr>
          <w:rFonts w:ascii="Times New Roman" w:hAnsi="Times New Roman"/>
          <w:b w:val="false"/>
          <w:i w:val="false"/>
          <w:color w:val="000000"/>
          <w:sz w:val="24"/>
        </w:rPr>
        <w:t>The waste shall not contain constituents in excess of the levels specified below measured on a dry weight basis.</w:t>
      </w:r>
    </w:p>
    <w:tbl>
      <w:tblPr>
        <w:tblW w:w="0" w:type="auto"/>
        <w:tblCellSpacing w:w="0" w:type="auto"/>
        <w:tblBorders>
          <w:top w:val="none"/>
          <w:left w:val="none"/>
          <w:bottom w:val="none"/>
          <w:right w:val="none"/>
          <w:insideH w:val="none"/>
          <w:insideV w:val="none"/>
        </w:tblBorders>
        <w:tblLayout w:type="fixed"/>
      </w:tblPr>
      <w:tblGrid>
        <w:gridCol w:w="2334"/>
        <w:gridCol w:w="2334"/>
        <w:gridCol w:w="2142"/>
        <w:gridCol w:w="2142"/>
      </w:tblGrid>
      <w:tr>
        <w:trPr>
          <w:trHeight w:val="180" w:hRule="atLeast"/>
        </w:trPr>
        <w:tc>
          <w:tcPr>
            <w:tcW w:w="233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u w:val="single"/>
              </w:rPr>
              <w:t>Constituents</w:t>
            </w:r>
          </w:p>
        </w:tc>
        <w:tc>
          <w:tcPr>
            <w:tcW w:w="233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u w:val="single"/>
              </w:rPr>
              <w:t>Levels</w:t>
            </w:r>
          </w:p>
        </w:tc>
        <w:tc>
          <w:tcPr>
            <w:tcW w:w="0" w:type="auto"/>
            <w:gridSpan w:val="2"/>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u w:val="single"/>
              </w:rPr>
              <w:t>Cumulative Loading Rate</w:t>
            </w:r>
          </w:p>
        </w:tc>
      </w:tr>
      <w:tr>
        <w:trPr>
          <w:trHeight w:val="180" w:hRule="atLeast"/>
        </w:trPr>
        <w:tc>
          <w:tcPr>
            <w:tcW w:w="233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Arsenic</w:t>
            </w:r>
          </w:p>
        </w:tc>
        <w:tc>
          <w:tcPr>
            <w:tcW w:w="233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41 mg/kg</w:t>
            </w:r>
          </w:p>
        </w:tc>
        <w:tc>
          <w:tcPr>
            <w:tcW w:w="214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41 kg/ha</w:t>
            </w:r>
          </w:p>
        </w:tc>
        <w:tc>
          <w:tcPr>
            <w:tcW w:w="214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36 lb/ac</w:t>
            </w:r>
          </w:p>
        </w:tc>
      </w:tr>
      <w:tr>
        <w:trPr>
          <w:trHeight w:val="180" w:hRule="atLeast"/>
        </w:trPr>
        <w:tc>
          <w:tcPr>
            <w:tcW w:w="233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Cadmium</w:t>
            </w:r>
          </w:p>
        </w:tc>
        <w:tc>
          <w:tcPr>
            <w:tcW w:w="233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39 mg/kg</w:t>
            </w:r>
          </w:p>
        </w:tc>
        <w:tc>
          <w:tcPr>
            <w:tcW w:w="214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39 kg/ha</w:t>
            </w:r>
          </w:p>
        </w:tc>
        <w:tc>
          <w:tcPr>
            <w:tcW w:w="214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34 lb/ac</w:t>
            </w:r>
          </w:p>
        </w:tc>
      </w:tr>
      <w:tr>
        <w:trPr>
          <w:trHeight w:val="180" w:hRule="atLeast"/>
        </w:trPr>
        <w:tc>
          <w:tcPr>
            <w:tcW w:w="233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Chromium</w:t>
            </w:r>
          </w:p>
        </w:tc>
        <w:tc>
          <w:tcPr>
            <w:tcW w:w="233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1200 mg/kg</w:t>
            </w:r>
          </w:p>
        </w:tc>
        <w:tc>
          <w:tcPr>
            <w:tcW w:w="214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3000 kg/ha</w:t>
            </w:r>
          </w:p>
        </w:tc>
        <w:tc>
          <w:tcPr>
            <w:tcW w:w="214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2670 lb/ac</w:t>
            </w:r>
          </w:p>
        </w:tc>
      </w:tr>
      <w:tr>
        <w:trPr>
          <w:trHeight w:val="180" w:hRule="atLeast"/>
        </w:trPr>
        <w:tc>
          <w:tcPr>
            <w:tcW w:w="233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Copper</w:t>
            </w:r>
          </w:p>
        </w:tc>
        <w:tc>
          <w:tcPr>
            <w:tcW w:w="233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1500 mg/kg</w:t>
            </w:r>
          </w:p>
        </w:tc>
        <w:tc>
          <w:tcPr>
            <w:tcW w:w="214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1500 kg/ha</w:t>
            </w:r>
          </w:p>
        </w:tc>
        <w:tc>
          <w:tcPr>
            <w:tcW w:w="214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1335 lb/ac</w:t>
            </w:r>
          </w:p>
        </w:tc>
      </w:tr>
      <w:tr>
        <w:trPr>
          <w:trHeight w:val="180" w:hRule="atLeast"/>
        </w:trPr>
        <w:tc>
          <w:tcPr>
            <w:tcW w:w="233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Lead</w:t>
            </w:r>
          </w:p>
        </w:tc>
        <w:tc>
          <w:tcPr>
            <w:tcW w:w="233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300 mg/kg</w:t>
            </w:r>
          </w:p>
        </w:tc>
        <w:tc>
          <w:tcPr>
            <w:tcW w:w="214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300 kg/ha</w:t>
            </w:r>
          </w:p>
        </w:tc>
        <w:tc>
          <w:tcPr>
            <w:tcW w:w="214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267 lb/ac</w:t>
            </w:r>
          </w:p>
        </w:tc>
      </w:tr>
      <w:tr>
        <w:trPr>
          <w:trHeight w:val="180" w:hRule="atLeast"/>
        </w:trPr>
        <w:tc>
          <w:tcPr>
            <w:tcW w:w="233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Mercury</w:t>
            </w:r>
          </w:p>
        </w:tc>
        <w:tc>
          <w:tcPr>
            <w:tcW w:w="233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17 mg/kg</w:t>
            </w:r>
          </w:p>
        </w:tc>
        <w:tc>
          <w:tcPr>
            <w:tcW w:w="214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17 kg/ha</w:t>
            </w:r>
          </w:p>
        </w:tc>
        <w:tc>
          <w:tcPr>
            <w:tcW w:w="214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15 lb/ac</w:t>
            </w:r>
          </w:p>
        </w:tc>
      </w:tr>
      <w:tr>
        <w:trPr>
          <w:trHeight w:val="180" w:hRule="atLeast"/>
        </w:trPr>
        <w:tc>
          <w:tcPr>
            <w:tcW w:w="233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Molybdenum</w:t>
            </w:r>
          </w:p>
        </w:tc>
        <w:tc>
          <w:tcPr>
            <w:tcW w:w="233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75 mg/kg</w:t>
            </w:r>
          </w:p>
        </w:tc>
        <w:tc>
          <w:tcPr>
            <w:tcW w:w="214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75 kg/ha</w:t>
            </w:r>
          </w:p>
        </w:tc>
        <w:tc>
          <w:tcPr>
            <w:tcW w:w="214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66 lb/ac</w:t>
            </w:r>
          </w:p>
        </w:tc>
      </w:tr>
      <w:tr>
        <w:trPr>
          <w:trHeight w:val="180" w:hRule="atLeast"/>
        </w:trPr>
        <w:tc>
          <w:tcPr>
            <w:tcW w:w="233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Nickel</w:t>
            </w:r>
          </w:p>
        </w:tc>
        <w:tc>
          <w:tcPr>
            <w:tcW w:w="233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420 mg/kg</w:t>
            </w:r>
          </w:p>
        </w:tc>
        <w:tc>
          <w:tcPr>
            <w:tcW w:w="214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420 kg/ha</w:t>
            </w:r>
          </w:p>
        </w:tc>
        <w:tc>
          <w:tcPr>
            <w:tcW w:w="214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373 lb/ac</w:t>
            </w:r>
          </w:p>
        </w:tc>
      </w:tr>
      <w:tr>
        <w:trPr>
          <w:trHeight w:val="180" w:hRule="atLeast"/>
        </w:trPr>
        <w:tc>
          <w:tcPr>
            <w:tcW w:w="233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Selenium</w:t>
            </w:r>
          </w:p>
        </w:tc>
        <w:tc>
          <w:tcPr>
            <w:tcW w:w="233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36 mg/kg</w:t>
            </w:r>
          </w:p>
        </w:tc>
        <w:tc>
          <w:tcPr>
            <w:tcW w:w="214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100 kg/ha</w:t>
            </w:r>
          </w:p>
        </w:tc>
        <w:tc>
          <w:tcPr>
            <w:tcW w:w="214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89 lb/ac</w:t>
            </w:r>
          </w:p>
        </w:tc>
      </w:tr>
      <w:tr>
        <w:trPr>
          <w:trHeight w:val="180" w:hRule="atLeast"/>
        </w:trPr>
        <w:tc>
          <w:tcPr>
            <w:tcW w:w="233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Zinc</w:t>
            </w:r>
          </w:p>
        </w:tc>
        <w:tc>
          <w:tcPr>
            <w:tcW w:w="233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2800 mg/kg</w:t>
            </w:r>
          </w:p>
        </w:tc>
        <w:tc>
          <w:tcPr>
            <w:tcW w:w="214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2800 kg/ha</w:t>
            </w:r>
          </w:p>
        </w:tc>
        <w:tc>
          <w:tcPr>
            <w:tcW w:w="214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2490 lb/ac</w:t>
            </w:r>
          </w:p>
        </w:tc>
      </w:tr>
    </w:tbl>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102.103(3)</w:t>
      </w:r>
      <w:r>
        <w:rPr>
          <w:rFonts w:ascii="Times New Roman" w:hAnsi="Times New Roman"/>
          <w:b w:val="false"/>
          <w:i w:val="false"/>
          <w:color w:val="000000"/>
          <w:sz w:val="24"/>
        </w:rPr>
        <w:t> </w:t>
      </w:r>
      <w:r>
        <w:rPr>
          <w:rFonts w:ascii="Times New Roman" w:hAnsi="Times New Roman"/>
          <w:b w:val="false"/>
          <w:i w:val="false"/>
          <w:color w:val="000000"/>
          <w:sz w:val="24"/>
        </w:rPr>
        <w:t>If the waste has other toxic constituents, the toxic constituents shall not be in excess of levels where there is a threat to human, animal, or plant life as determined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102.103(4)</w:t>
      </w:r>
      <w:r>
        <w:rPr>
          <w:rFonts w:ascii="Times New Roman" w:hAnsi="Times New Roman"/>
          <w:b w:val="false"/>
          <w:i w:val="false"/>
          <w:color w:val="000000"/>
          <w:sz w:val="24"/>
        </w:rPr>
        <w:t> </w:t>
      </w:r>
      <w:r>
        <w:rPr>
          <w:rFonts w:ascii="Times New Roman" w:hAnsi="Times New Roman"/>
          <w:b w:val="false"/>
          <w:i w:val="false"/>
          <w:color w:val="000000"/>
          <w:sz w:val="24"/>
        </w:rPr>
        <w:t>The waste does not have a sodium absorption ratio in excess of levels where there is a threat to plant life. If high sodium absorption ratios are suspected, analytical testing may be required.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102.103(5)</w:t>
      </w:r>
      <w:r>
        <w:rPr>
          <w:rFonts w:ascii="Times New Roman" w:hAnsi="Times New Roman"/>
          <w:b w:val="false"/>
          <w:i w:val="false"/>
          <w:color w:val="000000"/>
          <w:sz w:val="24"/>
        </w:rPr>
        <w:t> </w:t>
      </w:r>
      <w:r>
        <w:rPr>
          <w:rFonts w:ascii="Times New Roman" w:hAnsi="Times New Roman"/>
          <w:b w:val="false"/>
          <w:i w:val="false"/>
          <w:color w:val="000000"/>
          <w:sz w:val="24"/>
        </w:rPr>
        <w:t xml:space="preserve">If the waste contains pathogens, the waste must be treated to reduce pathogen content by methods specified in </w:t>
      </w:r>
      <w:hyperlink r:id="rId55">
        <w:r>
          <w:rPr>
            <w:rStyle w:val="Hyperlink"/>
            <w:rFonts w:ascii="Times New Roman" w:hAnsi="Times New Roman"/>
            <w:b w:val="false"/>
            <w:i w:val="false"/>
            <w:color w:val="000000"/>
            <w:sz w:val="24"/>
          </w:rPr>
          <w:t>567—Chapter 67</w:t>
        </w:r>
      </w:hyperlink>
      <w:r>
        <w:rPr>
          <w:rFonts w:ascii="Times New Roman" w:hAnsi="Times New Roman"/>
          <w:b w:val="false"/>
          <w:i w:val="false"/>
          <w:color w:val="000000"/>
          <w:sz w:val="24"/>
        </w:rPr>
        <w:t xml:space="preserve"> prior to land application.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102.103(6)</w:t>
      </w:r>
      <w:r>
        <w:rPr>
          <w:rFonts w:ascii="Times New Roman" w:hAnsi="Times New Roman"/>
          <w:b w:val="false"/>
          <w:i w:val="false"/>
          <w:color w:val="000000"/>
          <w:sz w:val="24"/>
        </w:rPr>
        <w:t> </w:t>
      </w:r>
      <w:r>
        <w:rPr>
          <w:rFonts w:ascii="Times New Roman" w:hAnsi="Times New Roman"/>
          <w:b w:val="false"/>
          <w:i w:val="false"/>
          <w:color w:val="000000"/>
          <w:sz w:val="24"/>
        </w:rPr>
        <w:t>The waste shall not have direct process stream contact with or originate from a process that may release the following organic compounds.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Petroleum products,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Organic solvents,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Pesticides,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Pharmaceuticals,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Polychlorinated biphenyls (PCBs).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102.103(7)</w:t>
      </w:r>
      <w:r>
        <w:rPr>
          <w:rFonts w:ascii="Times New Roman" w:hAnsi="Times New Roman"/>
          <w:b w:val="false"/>
          <w:i w:val="false"/>
          <w:color w:val="000000"/>
          <w:sz w:val="24"/>
        </w:rPr>
        <w:t> </w:t>
      </w:r>
      <w:r>
        <w:rPr>
          <w:rFonts w:ascii="Times New Roman" w:hAnsi="Times New Roman"/>
          <w:b w:val="false"/>
          <w:i w:val="false"/>
          <w:color w:val="000000"/>
          <w:sz w:val="24"/>
        </w:rPr>
        <w:t>The waste assimilates and would not be readily present in a visual analysis of a random sample collected two years following application.</w:t>
      </w:r>
    </w:p>
    <w:p>
      <w:pPr>
        <w:spacing w:before="0" w:after="0" w:line="480"/>
        <w:ind w:left="120"/>
        <w:jc w:val="both"/>
      </w:pPr>
      <w:r>
        <w:rPr>
          <w:rFonts w:ascii="Times New Roman" w:hAnsi="Times New Roman"/>
          <w:b/>
          <w:i w:val="false"/>
          <w:color w:val="000000"/>
          <w:sz w:val="24"/>
        </w:rPr>
        <w:t>567—102.104</w:t>
      </w:r>
      <w:r>
        <w:rPr>
          <w:rFonts w:ascii="Times New Roman" w:hAnsi="Times New Roman"/>
          <w:b/>
          <w:i w:val="false"/>
          <w:color w:val="000000"/>
          <w:sz w:val="24"/>
        </w:rPr>
        <w:t xml:space="preserve">(455B) </w:t>
      </w:r>
      <w:r>
        <w:rPr>
          <w:rFonts w:ascii="Times New Roman" w:hAnsi="Times New Roman"/>
          <w:b/>
          <w:i w:val="false"/>
          <w:color w:val="000000"/>
          <w:sz w:val="24"/>
        </w:rPr>
        <w:t xml:space="preserve">Application site restrictions. </w:t>
      </w:r>
    </w:p>
    <w:p>
      <w:pPr>
        <w:spacing w:before="0" w:after="0" w:line="480"/>
        <w:ind w:left="120"/>
        <w:jc w:val="both"/>
      </w:pPr>
      <w:r>
        <w:rPr>
          <w:rFonts w:ascii="Times New Roman" w:hAnsi="Times New Roman"/>
          <w:b/>
          <w:i w:val="false"/>
          <w:color w:val="000000"/>
          <w:sz w:val="24"/>
        </w:rPr>
        <w:t>102.104(1)</w:t>
      </w:r>
      <w:r>
        <w:rPr>
          <w:rFonts w:ascii="Times New Roman" w:hAnsi="Times New Roman"/>
          <w:b w:val="false"/>
          <w:i w:val="false"/>
          <w:color w:val="000000"/>
          <w:sz w:val="24"/>
        </w:rPr>
        <w:t> </w:t>
      </w:r>
      <w:r>
        <w:rPr>
          <w:rFonts w:ascii="Times New Roman" w:hAnsi="Times New Roman"/>
          <w:b w:val="false"/>
          <w:i w:val="false"/>
          <w:color w:val="000000"/>
          <w:sz w:val="24"/>
        </w:rPr>
        <w:t>The waste shall not be applied to soils classified as sand, loamy sand, or silt on the United States Department of Agriculture (USDA) textural classification chart, 1951 Soil Survey Manual, USDA Handbook No. 18.</w:t>
      </w:r>
    </w:p>
    <w:tbl>
      <w:tblPr>
        <w:tblW w:w="0" w:type="auto"/>
        <w:tblCellSpacing w:w="0" w:type="auto"/>
        <w:tblBorders>
          <w:top w:val="none"/>
          <w:left w:val="none"/>
          <w:bottom w:val="none"/>
          <w:right w:val="none"/>
          <w:insideH w:val="none"/>
          <w:insideV w:val="none"/>
        </w:tblBorders>
        <w:tblLayout w:type="fixed"/>
      </w:tblPr>
      <w:tblGrid>
        <w:gridCol w:w="8952"/>
      </w:tblGrid>
      <w:tr>
        <w:trPr>
          <w:trHeight w:val="6900" w:hRule="atLeast"/>
        </w:trPr>
        <w:tc>
          <w:tcPr>
            <w:tcW w:w="8952" w:type="dxa"/>
            <w:tcBorders/>
            <w:tcMar>
              <w:top w:w="30" w:type="dxa"/>
              <w:left w:w="30" w:type="dxa"/>
              <w:bottom w:w="15" w:type="dxa"/>
              <w:right w:w="30" w:type="dxa"/>
            </w:tcMar>
            <w:vAlign w:val="top"/>
          </w:tcPr>
          <w:p>
            <w:pPr>
              <w:spacing w:before="0" w:after="0" w:line="264"/>
              <w:ind w:left="160"/>
              <w:jc w:val="center"/>
            </w:pPr>
            <w:r>
              <w:drawing>
                <wp:inline distT="0" distB="0" distL="0" distR="0">
                  <wp:extent cx="2743200" cy="2743200"/>
                  <wp:effectExtent l="0" t="0" r="0" b="0"/>
                  <wp:docPr id="2" name="" descr=""/>
                  <wp:cNvGraphicFramePr>
                    <a:graphicFrameLocks noChangeAspect="true"/>
                  </wp:cNvGraphicFramePr>
                  <a:graphic>
                    <a:graphicData uri="http://schemas.openxmlformats.org/drawingml/2006/picture">
                      <pic:pic>
                        <pic:nvPicPr>
                          <pic:cNvPr id="1" name=""/>
                          <pic:cNvPicPr/>
                        </pic:nvPicPr>
                        <pic:blipFill>
                          <a:blip r:embed="rId56"/>
                          <a:stretch>
                            <a:fillRect/>
                          </a:stretch>
                        </pic:blipFill>
                        <pic:spPr>
                          <a:xfrm>
                            <a:off x="0" y="0"/>
                            <a:ext cx="2743200" cy="2743200"/>
                          </a:xfrm>
                          <a:prstGeom prst="rect">
                            <a:avLst/>
                          </a:prstGeom>
                        </pic:spPr>
                      </pic:pic>
                    </a:graphicData>
                  </a:graphic>
                </wp:inline>
              </w:drawing>
            </w:r>
          </w:p>
        </w:tc>
      </w:tr>
      <w:tr>
        <w:trPr>
          <w:trHeight w:val="345" w:hRule="atLeast"/>
        </w:trPr>
        <w:tc>
          <w:tcPr>
            <w:tcW w:w="8952"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USDA textural classification chart. Sand size particles, 2-0.05 mm; </w:t>
            </w:r>
            <w:r>
              <w:br/>
            </w:r>
            <w:r>
              <w:rPr>
                <w:rFonts w:ascii="Times New Roman" w:hAnsi="Times New Roman"/>
                <w:b w:val="false"/>
                <w:i w:val="false"/>
                <w:color w:val="000000"/>
                <w:sz w:val="14"/>
              </w:rPr>
              <w:t>silt-sized particles, 0.05-.002 mm; and clay sized particles, less than .002 mm.</w:t>
            </w:r>
          </w:p>
        </w:tc>
      </w:tr>
    </w:tbl>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102.104(2)</w:t>
      </w:r>
      <w:r>
        <w:rPr>
          <w:rFonts w:ascii="Times New Roman" w:hAnsi="Times New Roman"/>
          <w:b w:val="false"/>
          <w:i w:val="false"/>
          <w:color w:val="000000"/>
          <w:sz w:val="24"/>
        </w:rPr>
        <w:t> </w:t>
      </w:r>
      <w:r>
        <w:rPr>
          <w:rFonts w:ascii="Times New Roman" w:hAnsi="Times New Roman"/>
          <w:b w:val="false"/>
          <w:i w:val="false"/>
          <w:color w:val="000000"/>
          <w:sz w:val="24"/>
        </w:rPr>
        <w:t>Land application sites shall have soil pH maintained above 6.0 unless otherwise specified in a permit. If the soil pH is below these levels, it is acceptable to use agricultural lime to increase the pH to an acceptable level prior to land application of sludge.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102.104(3)</w:t>
      </w:r>
      <w:r>
        <w:rPr>
          <w:rFonts w:ascii="Times New Roman" w:hAnsi="Times New Roman"/>
          <w:b w:val="false"/>
          <w:i w:val="false"/>
          <w:color w:val="000000"/>
          <w:sz w:val="24"/>
        </w:rPr>
        <w:t> </w:t>
      </w:r>
      <w:r>
        <w:rPr>
          <w:rFonts w:ascii="Times New Roman" w:hAnsi="Times New Roman"/>
          <w:b w:val="false"/>
          <w:i w:val="false"/>
          <w:color w:val="000000"/>
          <w:sz w:val="24"/>
        </w:rPr>
        <w:t>The waste shall not be applied to ground having greater than 9 percent slope unless specific permit conditions specify otherwise.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102.104(4)</w:t>
      </w:r>
      <w:r>
        <w:rPr>
          <w:rFonts w:ascii="Times New Roman" w:hAnsi="Times New Roman"/>
          <w:b w:val="false"/>
          <w:i w:val="false"/>
          <w:color w:val="000000"/>
          <w:sz w:val="24"/>
        </w:rPr>
        <w:t> </w:t>
      </w:r>
      <w:r>
        <w:rPr>
          <w:rFonts w:ascii="Times New Roman" w:hAnsi="Times New Roman"/>
          <w:b w:val="false"/>
          <w:i w:val="false"/>
          <w:color w:val="000000"/>
          <w:sz w:val="24"/>
        </w:rPr>
        <w:t>If the waste is applied to land subject to flooding more frequently than once in ten years, the waste shall be injected or shall be applied to the surface and mechanically incorporated into the soil within 48 hours.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102.104(5)</w:t>
      </w:r>
      <w:r>
        <w:rPr>
          <w:rFonts w:ascii="Times New Roman" w:hAnsi="Times New Roman"/>
          <w:b w:val="false"/>
          <w:i w:val="false"/>
          <w:color w:val="000000"/>
          <w:sz w:val="24"/>
        </w:rPr>
        <w:t> </w:t>
      </w:r>
      <w:r>
        <w:rPr>
          <w:rFonts w:ascii="Times New Roman" w:hAnsi="Times New Roman"/>
          <w:b w:val="false"/>
          <w:i w:val="false"/>
          <w:color w:val="000000"/>
          <w:sz w:val="24"/>
        </w:rPr>
        <w:t>Application on frozen or snow-covered ground shall be limited to areas of less than 5 percent slope unless specific permit conditions specify otherwise.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102.104(6)</w:t>
      </w:r>
      <w:r>
        <w:rPr>
          <w:rFonts w:ascii="Times New Roman" w:hAnsi="Times New Roman"/>
          <w:b w:val="false"/>
          <w:i w:val="false"/>
          <w:color w:val="000000"/>
          <w:sz w:val="24"/>
        </w:rPr>
        <w:t> </w:t>
      </w:r>
      <w:r>
        <w:rPr>
          <w:rFonts w:ascii="Times New Roman" w:hAnsi="Times New Roman"/>
          <w:b w:val="false"/>
          <w:i w:val="false"/>
          <w:color w:val="000000"/>
          <w:sz w:val="24"/>
        </w:rPr>
        <w:t xml:space="preserve">Waste shall not be applied within 200 feet of an occupied residence nor within 500 feet of a well that is part of a public water supply, as defined in 567—subrule </w:t>
      </w:r>
      <w:hyperlink r:id="rId57">
        <w:r>
          <w:rPr>
            <w:rStyle w:val="Hyperlink"/>
            <w:rFonts w:ascii="Times New Roman" w:hAnsi="Times New Roman"/>
            <w:b w:val="false"/>
            <w:i w:val="false"/>
            <w:color w:val="000000"/>
            <w:sz w:val="24"/>
          </w:rPr>
          <w:t>40.2(1)</w:t>
        </w:r>
      </w:hyperlink>
      <w:r>
        <w:rPr>
          <w:rFonts w:ascii="Times New Roman" w:hAnsi="Times New Roman"/>
          <w:b w:val="false"/>
          <w:i w:val="false"/>
          <w:color w:val="000000"/>
          <w:sz w:val="24"/>
        </w:rPr>
        <w:t>, or 200 feet of all other wells.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102.104(7)</w:t>
      </w:r>
      <w:r>
        <w:rPr>
          <w:rFonts w:ascii="Times New Roman" w:hAnsi="Times New Roman"/>
          <w:b w:val="false"/>
          <w:i w:val="false"/>
          <w:color w:val="000000"/>
          <w:sz w:val="24"/>
        </w:rPr>
        <w:t> </w:t>
      </w:r>
      <w:r>
        <w:rPr>
          <w:rFonts w:ascii="Times New Roman" w:hAnsi="Times New Roman"/>
          <w:b w:val="false"/>
          <w:i w:val="false"/>
          <w:color w:val="000000"/>
          <w:sz w:val="24"/>
        </w:rPr>
        <w:t>Waste shall not be applied to land used for growing crops that may be consumed by humans without prior heating or processing or those that are commonly available to the public in raw form unless crops grown on the land are not harvested for at least 14 months following land application.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102.104(8)</w:t>
      </w:r>
      <w:r>
        <w:rPr>
          <w:rFonts w:ascii="Times New Roman" w:hAnsi="Times New Roman"/>
          <w:b w:val="false"/>
          <w:i w:val="false"/>
          <w:color w:val="000000"/>
          <w:sz w:val="24"/>
        </w:rPr>
        <w:t> </w:t>
      </w:r>
      <w:r>
        <w:rPr>
          <w:rFonts w:ascii="Times New Roman" w:hAnsi="Times New Roman"/>
          <w:b w:val="false"/>
          <w:i w:val="false"/>
          <w:color w:val="000000"/>
          <w:sz w:val="24"/>
        </w:rPr>
        <w:t>A site shall not be used for land application of waste from more than one generator in the same growing season or for a spring land application after land application the previous fall.</w:t>
      </w:r>
    </w:p>
    <w:p>
      <w:pPr>
        <w:spacing w:before="0" w:after="0" w:line="480"/>
        <w:ind w:left="120"/>
        <w:jc w:val="both"/>
      </w:pPr>
      <w:r>
        <w:rPr>
          <w:rFonts w:ascii="Times New Roman" w:hAnsi="Times New Roman"/>
          <w:b/>
          <w:i w:val="false"/>
          <w:color w:val="000000"/>
          <w:sz w:val="24"/>
        </w:rPr>
        <w:t>567—102.105</w:t>
      </w:r>
      <w:r>
        <w:rPr>
          <w:rFonts w:ascii="Times New Roman" w:hAnsi="Times New Roman"/>
          <w:b/>
          <w:i w:val="false"/>
          <w:color w:val="000000"/>
          <w:sz w:val="24"/>
        </w:rPr>
        <w:t xml:space="preserve">(455B) </w:t>
      </w:r>
      <w:r>
        <w:rPr>
          <w:rFonts w:ascii="Times New Roman" w:hAnsi="Times New Roman"/>
          <w:b/>
          <w:i w:val="false"/>
          <w:color w:val="000000"/>
          <w:sz w:val="24"/>
        </w:rPr>
        <w:t xml:space="preserve">Operating requirements. </w:t>
      </w:r>
      <w:r>
        <w:rPr>
          <w:rFonts w:ascii="Times New Roman" w:hAnsi="Times New Roman"/>
          <w:b w:val="false"/>
          <w:i w:val="false"/>
          <w:color w:val="000000"/>
          <w:sz w:val="24"/>
        </w:rPr>
        <w:t>All land application projects shall be operated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102.105(1)</w:t>
      </w:r>
      <w:r>
        <w:rPr>
          <w:rFonts w:ascii="Times New Roman" w:hAnsi="Times New Roman"/>
          <w:b w:val="false"/>
          <w:i w:val="false"/>
          <w:color w:val="000000"/>
          <w:sz w:val="24"/>
        </w:rPr>
        <w:t> </w:t>
      </w:r>
      <w:r>
        <w:rPr>
          <w:rFonts w:ascii="Times New Roman" w:hAnsi="Times New Roman"/>
          <w:b w:val="false"/>
          <w:i w:val="false"/>
          <w:color w:val="000000"/>
          <w:sz w:val="24"/>
        </w:rPr>
        <w:t>If solid waste is applied within 200 feet of a stream, lake, sinkhole, or tile line surface intake located downgradient of the land application site, it shall be injected or applied to the surface and mechanically incorporated into the soil within 48 hours of application.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102.105(2)</w:t>
      </w:r>
      <w:r>
        <w:rPr>
          <w:rFonts w:ascii="Times New Roman" w:hAnsi="Times New Roman"/>
          <w:b w:val="false"/>
          <w:i w:val="false"/>
          <w:color w:val="000000"/>
          <w:sz w:val="24"/>
        </w:rPr>
        <w:t> </w:t>
      </w:r>
      <w:r>
        <w:rPr>
          <w:rFonts w:ascii="Times New Roman" w:hAnsi="Times New Roman"/>
          <w:b w:val="false"/>
          <w:i w:val="false"/>
          <w:color w:val="000000"/>
          <w:sz w:val="24"/>
        </w:rPr>
        <w:t>If waste is applied to land where crops being grown will be grazed by or fed to livestock within two months of waste application, or where cereal grains will be harvested within two months of waste application, the waste shall be injected or shall be applied to the surface and mechanically incorporated into the soil unless specific permit conditions specify otherwise. The general public shall not be given access to the disposal site during waste disposal and for a minimum of two months after waste disposal operations have ceased.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102.105(3)</w:t>
      </w:r>
      <w:r>
        <w:rPr>
          <w:rFonts w:ascii="Times New Roman" w:hAnsi="Times New Roman"/>
          <w:b w:val="false"/>
          <w:i w:val="false"/>
          <w:color w:val="000000"/>
          <w:sz w:val="24"/>
        </w:rPr>
        <w:t> </w:t>
      </w:r>
      <w:r>
        <w:rPr>
          <w:rFonts w:ascii="Times New Roman" w:hAnsi="Times New Roman"/>
          <w:b w:val="false"/>
          <w:i w:val="false"/>
          <w:color w:val="000000"/>
          <w:sz w:val="24"/>
        </w:rPr>
        <w:t>If the waste is putrescible, it shall be injected or mechanically incorporated within 24 hours or otherwise managed to prevent runoff and odor problems.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102.105(4)</w:t>
      </w:r>
      <w:r>
        <w:rPr>
          <w:rFonts w:ascii="Times New Roman" w:hAnsi="Times New Roman"/>
          <w:b w:val="false"/>
          <w:i w:val="false"/>
          <w:color w:val="000000"/>
          <w:sz w:val="24"/>
        </w:rPr>
        <w:t> </w:t>
      </w:r>
      <w:r>
        <w:rPr>
          <w:rFonts w:ascii="Times New Roman" w:hAnsi="Times New Roman"/>
          <w:b w:val="false"/>
          <w:i w:val="false"/>
          <w:color w:val="000000"/>
          <w:sz w:val="24"/>
        </w:rPr>
        <w:t>Land application shall not take place during or immediately preceding expected rains or other occasions when runoff may result unless subsurface injection methods are utilized. Additionally, land application shall not take place during periods of high groundwater conditions or during flooding.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102.105(5)</w:t>
      </w:r>
      <w:r>
        <w:rPr>
          <w:rFonts w:ascii="Times New Roman" w:hAnsi="Times New Roman"/>
          <w:b w:val="false"/>
          <w:i w:val="false"/>
          <w:color w:val="000000"/>
          <w:sz w:val="24"/>
        </w:rPr>
        <w:t> </w:t>
      </w:r>
      <w:r>
        <w:rPr>
          <w:rFonts w:ascii="Times New Roman" w:hAnsi="Times New Roman"/>
          <w:b w:val="false"/>
          <w:i w:val="false"/>
          <w:color w:val="000000"/>
          <w:sz w:val="24"/>
        </w:rPr>
        <w:t>The application of nitrogen available from the waste and any other sources shall not exceed the acceptable agronomic application rates for the vegetation to be grown on the site over the next year. The total application of phosphorus and potassium shall not exceed the acceptable agronomic application rates for the site and crops involved.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102.105(6)</w:t>
      </w:r>
      <w:r>
        <w:rPr>
          <w:rFonts w:ascii="Times New Roman" w:hAnsi="Times New Roman"/>
          <w:b w:val="false"/>
          <w:i w:val="false"/>
          <w:color w:val="000000"/>
          <w:sz w:val="24"/>
        </w:rPr>
        <w:t> </w:t>
      </w:r>
      <w:r>
        <w:rPr>
          <w:rFonts w:ascii="Times New Roman" w:hAnsi="Times New Roman"/>
          <w:b w:val="false"/>
          <w:i w:val="false"/>
          <w:color w:val="000000"/>
          <w:sz w:val="24"/>
        </w:rPr>
        <w:t>Waste may be staged prior to application at the application site pursuant to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Putrescible waste shall not be staged for more than 48 hours.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Non-putrescible waste shall not be staged for longer than two weeks.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Waste shall not be staged within 200 feet of an occupied residence nor within 500 feet of a well that is part of a public water supply, as defined in 567—subrule </w:t>
      </w:r>
      <w:hyperlink r:id="rId58">
        <w:r>
          <w:rPr>
            <w:rStyle w:val="Hyperlink"/>
            <w:rFonts w:ascii="Times New Roman" w:hAnsi="Times New Roman"/>
            <w:b w:val="false"/>
            <w:i w:val="false"/>
            <w:color w:val="000000"/>
            <w:sz w:val="24"/>
          </w:rPr>
          <w:t>40.2(1)</w:t>
        </w:r>
      </w:hyperlink>
      <w:r>
        <w:rPr>
          <w:rFonts w:ascii="Times New Roman" w:hAnsi="Times New Roman"/>
          <w:b w:val="false"/>
          <w:i w:val="false"/>
          <w:color w:val="000000"/>
          <w:sz w:val="24"/>
        </w:rPr>
        <w:t>, or 200 feet of all other wells.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 xml:space="preserve">The waste shall not be staged on soils classified as sand, loamy sand, or silt on the USDA textural classification chart shown in </w:t>
      </w:r>
      <w:hyperlink r:id="rId59">
        <w:r>
          <w:rPr>
            <w:rStyle w:val="Hyperlink"/>
            <w:rFonts w:ascii="Times New Roman" w:hAnsi="Times New Roman"/>
            <w:b w:val="false"/>
            <w:i w:val="false"/>
            <w:color w:val="000000"/>
            <w:sz w:val="24"/>
          </w:rPr>
          <w:t>102.104(6)</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Runoff from the waste must be controlled at all times.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If weather or extenuating circumstances prevent application from taking place, the generator must notify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102.105(7)</w:t>
      </w:r>
      <w:r>
        <w:rPr>
          <w:rFonts w:ascii="Times New Roman" w:hAnsi="Times New Roman"/>
          <w:b w:val="false"/>
          <w:i w:val="false"/>
          <w:color w:val="000000"/>
          <w:sz w:val="24"/>
        </w:rPr>
        <w:t> </w:t>
      </w:r>
      <w:r>
        <w:rPr>
          <w:rFonts w:ascii="Times New Roman" w:hAnsi="Times New Roman"/>
          <w:b w:val="false"/>
          <w:i w:val="false"/>
          <w:color w:val="000000"/>
          <w:sz w:val="24"/>
        </w:rPr>
        <w:t>When waste is supplied to other persons for land application, the generating facility shall do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Inform the recipient of the applicable requirements of the waste disposal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If the generating facility determines that the recipient is not complying with applicable requirements of the waste disposal program or the land application criteria, the generating facility shall work with the recipient to obtain compliance with the requirements. If subsequent compliance cannot be achieved, the generating facility shall not supply additional waste to the person.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Inform all persons involved in waste disposal operations of the potential health hazards associated with waste disposal, including informing them of the cautions and recommended practices that should be followed to minimize these hazards.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102.105(8)</w:t>
      </w:r>
      <w:r>
        <w:rPr>
          <w:rFonts w:ascii="Times New Roman" w:hAnsi="Times New Roman"/>
          <w:b w:val="false"/>
          <w:i w:val="false"/>
          <w:color w:val="000000"/>
          <w:sz w:val="24"/>
        </w:rPr>
        <w:t> </w:t>
      </w:r>
      <w:r>
        <w:rPr>
          <w:rFonts w:ascii="Times New Roman" w:hAnsi="Times New Roman"/>
          <w:b w:val="false"/>
          <w:i w:val="false"/>
          <w:color w:val="000000"/>
          <w:sz w:val="24"/>
        </w:rPr>
        <w:t>The generator shall maintain records of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Analysis of waste to document compliance with </w:t>
      </w:r>
      <w:hyperlink r:id="rId60">
        <w:r>
          <w:rPr>
            <w:rStyle w:val="Hyperlink"/>
            <w:rFonts w:ascii="Times New Roman" w:hAnsi="Times New Roman"/>
            <w:b w:val="false"/>
            <w:i w:val="false"/>
            <w:color w:val="000000"/>
            <w:sz w:val="24"/>
          </w:rPr>
          <w:t>102.103(2)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Records of land application for each site, which shall be maintained for five years; be made available to the department upon request; and include dates of application, application rate, and quantity of waste applied.</w:t>
      </w:r>
    </w:p>
    <w:p>
      <w:pPr>
        <w:spacing w:before="0" w:after="0" w:line="480"/>
        <w:ind w:left="120"/>
        <w:jc w:val="both"/>
      </w:pPr>
      <w:r>
        <w:rPr>
          <w:rFonts w:ascii="Times New Roman" w:hAnsi="Times New Roman"/>
          <w:b/>
          <w:i w:val="false"/>
          <w:color w:val="000000"/>
          <w:sz w:val="24"/>
        </w:rPr>
        <w:t>567—102.106</w:t>
      </w:r>
      <w:r>
        <w:rPr>
          <w:rFonts w:ascii="Times New Roman" w:hAnsi="Times New Roman"/>
          <w:b/>
          <w:i w:val="false"/>
          <w:color w:val="000000"/>
          <w:sz w:val="24"/>
        </w:rPr>
        <w:t xml:space="preserve">(455B) </w:t>
      </w:r>
      <w:r>
        <w:rPr>
          <w:rFonts w:ascii="Times New Roman" w:hAnsi="Times New Roman"/>
          <w:b/>
          <w:i w:val="false"/>
          <w:color w:val="000000"/>
          <w:sz w:val="24"/>
        </w:rPr>
        <w:t xml:space="preserve">General permit. </w:t>
      </w:r>
      <w:r>
        <w:rPr>
          <w:rFonts w:ascii="Times New Roman" w:hAnsi="Times New Roman"/>
          <w:b w:val="false"/>
          <w:i w:val="false"/>
          <w:color w:val="000000"/>
          <w:sz w:val="24"/>
        </w:rPr>
        <w:t xml:space="preserve">Land application of waste at a rate that does not exceed two dry tons per acre per year and that meets the requirements of </w:t>
      </w:r>
      <w:hyperlink r:id="rId61">
        <w:r>
          <w:rPr>
            <w:rStyle w:val="Hyperlink"/>
            <w:rFonts w:ascii="Times New Roman" w:hAnsi="Times New Roman"/>
            <w:b w:val="false"/>
            <w:i w:val="false"/>
            <w:color w:val="000000"/>
            <w:sz w:val="24"/>
          </w:rPr>
          <w:t>567—102.103</w:t>
        </w:r>
      </w:hyperlink>
      <w:r>
        <w:rPr>
          <w:rFonts w:ascii="Times New Roman" w:hAnsi="Times New Roman"/>
          <w:b w:val="false"/>
          <w:i w:val="false"/>
          <w:color w:val="000000"/>
          <w:sz w:val="24"/>
        </w:rPr>
        <w:t xml:space="preserve">(455B), </w:t>
      </w:r>
      <w:hyperlink r:id="rId62">
        <w:r>
          <w:rPr>
            <w:rStyle w:val="Hyperlink"/>
            <w:rFonts w:ascii="Times New Roman" w:hAnsi="Times New Roman"/>
            <w:b w:val="false"/>
            <w:i w:val="false"/>
            <w:color w:val="000000"/>
            <w:sz w:val="24"/>
          </w:rPr>
          <w:t>567—102.104</w:t>
        </w:r>
      </w:hyperlink>
      <w:r>
        <w:rPr>
          <w:rFonts w:ascii="Times New Roman" w:hAnsi="Times New Roman"/>
          <w:b w:val="false"/>
          <w:i w:val="false"/>
          <w:color w:val="000000"/>
          <w:sz w:val="24"/>
        </w:rPr>
        <w:t xml:space="preserve">(455B), and </w:t>
      </w:r>
      <w:hyperlink r:id="rId63">
        <w:r>
          <w:rPr>
            <w:rStyle w:val="Hyperlink"/>
            <w:rFonts w:ascii="Times New Roman" w:hAnsi="Times New Roman"/>
            <w:b w:val="false"/>
            <w:i w:val="false"/>
            <w:color w:val="000000"/>
            <w:sz w:val="24"/>
          </w:rPr>
          <w:t>567—102.105</w:t>
        </w:r>
      </w:hyperlink>
      <w:r>
        <w:rPr>
          <w:rFonts w:ascii="Times New Roman" w:hAnsi="Times New Roman"/>
          <w:b w:val="false"/>
          <w:i w:val="false"/>
          <w:color w:val="000000"/>
          <w:sz w:val="24"/>
        </w:rPr>
        <w:t>(455B) may be land applied in accordance with this rule.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102.106(1)</w:t>
      </w:r>
      <w:r>
        <w:rPr>
          <w:rFonts w:ascii="Times New Roman" w:hAnsi="Times New Roman"/>
          <w:b w:val="false"/>
          <w:i w:val="false"/>
          <w:color w:val="000000"/>
          <w:sz w:val="24"/>
        </w:rPr>
        <w:t> </w:t>
      </w:r>
      <w:r>
        <w:rPr>
          <w:rFonts w:ascii="Times New Roman" w:hAnsi="Times New Roman"/>
          <w:b w:val="false"/>
          <w:i w:val="false"/>
          <w:color w:val="000000"/>
          <w:sz w:val="24"/>
        </w:rPr>
        <w:t>The maximum application rate shall be reduced if analysis of the waste indicates that a two ton per acre per year rate would provide nutrient levels in excess of crop nutrient requirements or would provide heavy metals concentrations in the soil at levels that may be detrimental to crop production or hazardous to human health.</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102.106(2)</w:t>
      </w:r>
      <w:r>
        <w:rPr>
          <w:rFonts w:ascii="Times New Roman" w:hAnsi="Times New Roman"/>
          <w:b w:val="false"/>
          <w:i w:val="false"/>
          <w:color w:val="000000"/>
          <w:sz w:val="24"/>
        </w:rPr>
        <w:t> </w:t>
      </w:r>
      <w:r>
        <w:rPr>
          <w:rFonts w:ascii="Times New Roman" w:hAnsi="Times New Roman"/>
          <w:b w:val="false"/>
          <w:i w:val="false"/>
          <w:color w:val="000000"/>
          <w:sz w:val="24"/>
        </w:rPr>
        <w:t>All material must be staged on ground eligible for land application.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102.106(3)</w:t>
      </w:r>
      <w:r>
        <w:rPr>
          <w:rFonts w:ascii="Times New Roman" w:hAnsi="Times New Roman"/>
          <w:b w:val="false"/>
          <w:i w:val="false"/>
          <w:color w:val="000000"/>
          <w:sz w:val="24"/>
        </w:rPr>
        <w:t> </w:t>
      </w:r>
      <w:r>
        <w:rPr>
          <w:rFonts w:ascii="Times New Roman" w:hAnsi="Times New Roman"/>
          <w:b w:val="false"/>
          <w:i w:val="false"/>
          <w:color w:val="000000"/>
          <w:sz w:val="24"/>
        </w:rPr>
        <w:t>Before the initial land application, the applicator must notify the department in writing. This notice shall contain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name and address of the generator of the waste.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Contact information for the responsible official.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A description of the waste including the process to generate it, chemical analyses showing compliance with </w:t>
      </w:r>
      <w:hyperlink r:id="rId64">
        <w:r>
          <w:rPr>
            <w:rStyle w:val="Hyperlink"/>
            <w:rFonts w:ascii="Times New Roman" w:hAnsi="Times New Roman"/>
            <w:b w:val="false"/>
            <w:i w:val="false"/>
            <w:color w:val="000000"/>
            <w:sz w:val="24"/>
          </w:rPr>
          <w:t>102.103(2)</w:t>
        </w:r>
      </w:hyperlink>
      <w:r>
        <w:rPr>
          <w:rFonts w:ascii="Times New Roman" w:hAnsi="Times New Roman"/>
          <w:b w:val="false"/>
          <w:i w:val="false"/>
          <w:color w:val="000000"/>
          <w:sz w:val="24"/>
        </w:rPr>
        <w:t xml:space="preserve">, and any additional analysis that the department may require to adequately define the waste. Chemical analysis shall be done by a laboratory certified pursuant to </w:t>
      </w:r>
      <w:hyperlink r:id="rId65">
        <w:r>
          <w:rPr>
            <w:rStyle w:val="Hyperlink"/>
            <w:rFonts w:ascii="Times New Roman" w:hAnsi="Times New Roman"/>
            <w:b w:val="false"/>
            <w:i w:val="false"/>
            <w:color w:val="000000"/>
            <w:sz w:val="24"/>
          </w:rPr>
          <w:t>567—Chapter 83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Quantities of waste to be land applied.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Application rate.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Legal description of the site.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An aerial photo with the site outlined and any areas ineligible for application marked off.</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Number of acres eligible for land application at the site.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w:t>
      </w:r>
      <w:r>
        <w:rPr>
          <w:rFonts w:ascii="Times New Roman" w:hAnsi="Times New Roman"/>
          <w:b w:val="false"/>
          <w:i w:val="false"/>
          <w:color w:val="000000"/>
          <w:sz w:val="24"/>
        </w:rPr>
        <w:t>  </w:t>
      </w:r>
      <w:r>
        <w:rPr>
          <w:rFonts w:ascii="Times New Roman" w:hAnsi="Times New Roman"/>
          <w:b w:val="false"/>
          <w:i w:val="false"/>
          <w:color w:val="000000"/>
          <w:sz w:val="24"/>
        </w:rPr>
        <w:t>The landowner’s name and contact information.</w:t>
      </w:r>
    </w:p>
    <w:p>
      <w:pPr>
        <w:spacing w:before="0" w:after="0" w:line="480"/>
        <w:ind w:left="120"/>
        <w:jc w:val="both"/>
      </w:pPr>
      <w:r>
        <w:rPr>
          <w:rFonts w:ascii="Times New Roman" w:hAnsi="Times New Roman"/>
          <w:b/>
          <w:i w:val="false"/>
          <w:color w:val="000000"/>
          <w:sz w:val="24"/>
        </w:rPr>
        <w:t>567—102.107</w:t>
      </w:r>
      <w:r>
        <w:rPr>
          <w:rFonts w:ascii="Times New Roman" w:hAnsi="Times New Roman"/>
          <w:b/>
          <w:i w:val="false"/>
          <w:color w:val="000000"/>
          <w:sz w:val="24"/>
        </w:rPr>
        <w:t xml:space="preserve">(455B) </w:t>
      </w:r>
      <w:r>
        <w:rPr>
          <w:rFonts w:ascii="Times New Roman" w:hAnsi="Times New Roman"/>
          <w:b/>
          <w:i w:val="false"/>
          <w:color w:val="000000"/>
          <w:sz w:val="24"/>
        </w:rPr>
        <w:t xml:space="preserve">Permit. </w:t>
      </w:r>
      <w:r>
        <w:rPr>
          <w:rFonts w:ascii="Times New Roman" w:hAnsi="Times New Roman"/>
          <w:b w:val="false"/>
          <w:i w:val="false"/>
          <w:color w:val="000000"/>
          <w:sz w:val="24"/>
        </w:rPr>
        <w:t xml:space="preserve">Prior to any land application of solid waste not exempted in </w:t>
      </w:r>
      <w:hyperlink r:id="rId66">
        <w:r>
          <w:rPr>
            <w:rStyle w:val="Hyperlink"/>
            <w:rFonts w:ascii="Times New Roman" w:hAnsi="Times New Roman"/>
            <w:b w:val="false"/>
            <w:i w:val="false"/>
            <w:color w:val="000000"/>
            <w:sz w:val="24"/>
          </w:rPr>
          <w:t>567—102.102</w:t>
        </w:r>
      </w:hyperlink>
      <w:r>
        <w:rPr>
          <w:rFonts w:ascii="Times New Roman" w:hAnsi="Times New Roman"/>
          <w:b w:val="false"/>
          <w:i w:val="false"/>
          <w:color w:val="000000"/>
          <w:sz w:val="24"/>
        </w:rPr>
        <w:t xml:space="preserve">(455B) or </w:t>
      </w:r>
      <w:hyperlink r:id="rId67">
        <w:r>
          <w:rPr>
            <w:rStyle w:val="Hyperlink"/>
            <w:rFonts w:ascii="Times New Roman" w:hAnsi="Times New Roman"/>
            <w:b w:val="false"/>
            <w:i w:val="false"/>
            <w:color w:val="000000"/>
            <w:sz w:val="24"/>
          </w:rPr>
          <w:t>567—102.106</w:t>
        </w:r>
      </w:hyperlink>
      <w:r>
        <w:rPr>
          <w:rFonts w:ascii="Times New Roman" w:hAnsi="Times New Roman"/>
          <w:b w:val="false"/>
          <w:i w:val="false"/>
          <w:color w:val="000000"/>
          <w:sz w:val="24"/>
        </w:rPr>
        <w:t xml:space="preserve">(455B), a solid waste management permit pursuant to </w:t>
      </w:r>
      <w:hyperlink r:id="rId68">
        <w:r>
          <w:rPr>
            <w:rStyle w:val="Hyperlink"/>
            <w:rFonts w:ascii="Times New Roman" w:hAnsi="Times New Roman"/>
            <w:b w:val="false"/>
            <w:i w:val="false"/>
            <w:color w:val="000000"/>
            <w:sz w:val="24"/>
          </w:rPr>
          <w:t>567—subrule 100.4(2)</w:t>
        </w:r>
      </w:hyperlink>
      <w:r>
        <w:rPr>
          <w:rFonts w:ascii="Times New Roman" w:hAnsi="Times New Roman"/>
          <w:b w:val="false"/>
          <w:i w:val="false"/>
          <w:color w:val="000000"/>
          <w:sz w:val="24"/>
        </w:rPr>
        <w:t xml:space="preserve"> must be obtained by the waste generator.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102.107(1)</w:t>
      </w:r>
      <w:r>
        <w:rPr>
          <w:rFonts w:ascii="Times New Roman" w:hAnsi="Times New Roman"/>
          <w:b w:val="false"/>
          <w:i w:val="false"/>
          <w:color w:val="000000"/>
          <w:sz w:val="24"/>
        </w:rPr>
        <w:t> </w:t>
      </w:r>
      <w:r>
        <w:rPr>
          <w:rFonts w:ascii="Times New Roman" w:hAnsi="Times New Roman"/>
          <w:b w:val="false"/>
          <w:i/>
          <w:color w:val="000000"/>
          <w:sz w:val="24"/>
        </w:rPr>
        <w:t xml:space="preserve">Permit application. </w:t>
      </w:r>
      <w:r>
        <w:rPr>
          <w:rFonts w:ascii="Times New Roman" w:hAnsi="Times New Roman"/>
          <w:b w:val="false"/>
          <w:i w:val="false"/>
          <w:color w:val="000000"/>
          <w:sz w:val="24"/>
        </w:rPr>
        <w:t xml:space="preserve">In lieu of the permit application requirements in </w:t>
      </w:r>
      <w:hyperlink r:id="rId69">
        <w:r>
          <w:rPr>
            <w:rStyle w:val="Hyperlink"/>
            <w:rFonts w:ascii="Times New Roman" w:hAnsi="Times New Roman"/>
            <w:b w:val="false"/>
            <w:i w:val="false"/>
            <w:color w:val="000000"/>
            <w:sz w:val="24"/>
          </w:rPr>
          <w:t>567—subrule 100.5(1)</w:t>
        </w:r>
      </w:hyperlink>
      <w:r>
        <w:rPr>
          <w:rFonts w:ascii="Times New Roman" w:hAnsi="Times New Roman"/>
          <w:b w:val="false"/>
          <w:i w:val="false"/>
          <w:color w:val="000000"/>
          <w:sz w:val="24"/>
        </w:rPr>
        <w:t>, all permit applications for land application shall include: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name, address, email, and telephone number of:</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permit applicant (generator of the waste).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Official responsible for operation of the project.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Agronomist affiliated with the project.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Type, source, and expected volume or weight of waste to be handled per day, week, and year.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Information on the source, quantity, and method of treatment of the waste prior to disposal.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 xml:space="preserve">Chemical analyses showing compliance with </w:t>
      </w:r>
      <w:hyperlink r:id="rId70">
        <w:r>
          <w:rPr>
            <w:rStyle w:val="Hyperlink"/>
            <w:rFonts w:ascii="Times New Roman" w:hAnsi="Times New Roman"/>
            <w:b w:val="false"/>
            <w:i w:val="false"/>
            <w:color w:val="000000"/>
            <w:sz w:val="24"/>
          </w:rPr>
          <w:t>102.103(2)</w:t>
        </w:r>
      </w:hyperlink>
      <w:r>
        <w:rPr>
          <w:rFonts w:ascii="Times New Roman" w:hAnsi="Times New Roman"/>
          <w:b w:val="false"/>
          <w:i w:val="false"/>
          <w:color w:val="000000"/>
          <w:sz w:val="24"/>
        </w:rPr>
        <w:t xml:space="preserve"> and any additional analysis that the department may require to adequately define the waste. Chemical analysis shall be done by a laboratory certified pursuant to </w:t>
      </w:r>
      <w:hyperlink r:id="rId71">
        <w:r>
          <w:rPr>
            <w:rStyle w:val="Hyperlink"/>
            <w:rFonts w:ascii="Times New Roman" w:hAnsi="Times New Roman"/>
            <w:b w:val="false"/>
            <w:i w:val="false"/>
            <w:color w:val="000000"/>
            <w:sz w:val="24"/>
          </w:rPr>
          <w:t>567—Chapter 83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 xml:space="preserve">A detailed description of the land application process to be used, including the method and rate of application, and information indicating how the operational requirements of </w:t>
      </w:r>
      <w:hyperlink r:id="rId72">
        <w:r>
          <w:rPr>
            <w:rStyle w:val="Hyperlink"/>
            <w:rFonts w:ascii="Times New Roman" w:hAnsi="Times New Roman"/>
            <w:b w:val="false"/>
            <w:i w:val="false"/>
            <w:color w:val="000000"/>
            <w:sz w:val="24"/>
          </w:rPr>
          <w:t>567—102.105</w:t>
        </w:r>
      </w:hyperlink>
      <w:r>
        <w:rPr>
          <w:rFonts w:ascii="Times New Roman" w:hAnsi="Times New Roman"/>
          <w:b w:val="false"/>
          <w:i w:val="false"/>
          <w:color w:val="000000"/>
          <w:sz w:val="24"/>
        </w:rPr>
        <w:t>(455B) will be met.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A table of all application sites that includes the name of the site, legal description, county, acres eligible for land application, and the name of the landowner.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For each land application site,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An aerial photograph of sufficient scale to show all homes, buildings, lakes, ponds, watercourses, wetlands, dry runs, roads, and other applicable details.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 map or aerial photo showing all wells located within 500 feet of the site.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 soil map.</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Water table levels of the site, including the frequency and duration of any expected high-water table or flooding.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Proof of the applicant’s ownership of the site or legal entitlement to use the site for the disposal of waste.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Other information as required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102.107(2)</w:t>
      </w:r>
      <w:r>
        <w:rPr>
          <w:rFonts w:ascii="Times New Roman" w:hAnsi="Times New Roman"/>
          <w:b w:val="false"/>
          <w:i w:val="false"/>
          <w:color w:val="000000"/>
          <w:sz w:val="24"/>
        </w:rPr>
        <w:t> </w:t>
      </w:r>
      <w:r>
        <w:rPr>
          <w:rFonts w:ascii="Times New Roman" w:hAnsi="Times New Roman"/>
          <w:b w:val="false"/>
          <w:i/>
          <w:color w:val="000000"/>
          <w:sz w:val="24"/>
        </w:rPr>
        <w:t xml:space="preserve">Reporting requirements.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 permit holder shall have a certified professional agronomist perform an annual inspection of all sites utilized in the previous year to ensure soil properties and constituents being applied are suitable and will not exceed agronomic rates for the crop that will be produced the following summer. The agronomist will review soil test results to ensure that the application of the waste will not cause buildup of nutrients in the soil. The results of this inspection shall be submitted to the department’s main office by April 1 each year.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A permit holder shall submit an annual report summarizing the records required in </w:t>
      </w:r>
      <w:hyperlink r:id="rId73">
        <w:r>
          <w:rPr>
            <w:rStyle w:val="Hyperlink"/>
            <w:rFonts w:ascii="Times New Roman" w:hAnsi="Times New Roman"/>
            <w:b w:val="false"/>
            <w:i w:val="false"/>
            <w:color w:val="000000"/>
            <w:sz w:val="24"/>
          </w:rPr>
          <w:t>102.105(8)</w:t>
        </w:r>
        <w:r>
          <w:rPr>
            <w:rFonts w:ascii="Times New Roman" w:hAnsi="Times New Roman"/>
            <w:b w:val="false"/>
            <w:i/>
            <w:color w:val="000000"/>
            <w:sz w:val="24"/>
          </w:rPr>
          <w:t>“b”</w:t>
        </w:r>
      </w:hyperlink>
      <w:r>
        <w:rPr>
          <w:rFonts w:ascii="Times New Roman" w:hAnsi="Times New Roman"/>
          <w:b w:val="false"/>
          <w:i w:val="false"/>
          <w:color w:val="000000"/>
          <w:sz w:val="24"/>
        </w:rPr>
        <w:t xml:space="preserve"> to the department’s main office on a form provided by the department. The report will be for July through June and is due by October 1 of each year.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Sampling and analyses of the permitted waste shall be performed and submitted to the department according to a schedule stipulated in the permit. At a minimum, an analysis shall be submitted with each permit renewal.</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102.107(3)</w:t>
      </w:r>
      <w:r>
        <w:rPr>
          <w:rFonts w:ascii="Times New Roman" w:hAnsi="Times New Roman"/>
          <w:b w:val="false"/>
          <w:i w:val="false"/>
          <w:color w:val="000000"/>
          <w:sz w:val="24"/>
        </w:rPr>
        <w:t> </w:t>
      </w:r>
      <w:r>
        <w:rPr>
          <w:rFonts w:ascii="Times New Roman" w:hAnsi="Times New Roman"/>
          <w:b w:val="false"/>
          <w:i/>
          <w:color w:val="000000"/>
          <w:sz w:val="24"/>
        </w:rPr>
        <w:t xml:space="preserve">Temporary storage.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permit may allow for storage of stabilized sludge and solid waste at application sites subject to the following conditions: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Waste shall not be stored within 200 feet of an occupied residence nor within 500 feet of a well that is part of a public water supply, as defined in 567—subrule </w:t>
      </w:r>
      <w:hyperlink r:id="rId74">
        <w:r>
          <w:rPr>
            <w:rStyle w:val="Hyperlink"/>
            <w:rFonts w:ascii="Times New Roman" w:hAnsi="Times New Roman"/>
            <w:b w:val="false"/>
            <w:i w:val="false"/>
            <w:color w:val="000000"/>
            <w:sz w:val="24"/>
          </w:rPr>
          <w:t>40.2(1)</w:t>
        </w:r>
      </w:hyperlink>
      <w:r>
        <w:rPr>
          <w:rFonts w:ascii="Times New Roman" w:hAnsi="Times New Roman"/>
          <w:b w:val="false"/>
          <w:i w:val="false"/>
          <w:color w:val="000000"/>
          <w:sz w:val="24"/>
        </w:rPr>
        <w:t>, or 200 feet of all other wells.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The waste shall not be stored on soils classified as sand, loamy sand, or silt on the USDA textural classification chart shown in </w:t>
      </w:r>
      <w:hyperlink r:id="rId75">
        <w:r>
          <w:rPr>
            <w:rStyle w:val="Hyperlink"/>
            <w:rFonts w:ascii="Times New Roman" w:hAnsi="Times New Roman"/>
            <w:b w:val="false"/>
            <w:i w:val="false"/>
            <w:color w:val="000000"/>
            <w:sz w:val="24"/>
          </w:rPr>
          <w:t>102.104(6)</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Amount stored may not exceed the amount needed for the next application window for that site.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All material stored must be land applied the next application season.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If weather or extenuating circumstances prevent application from taking place, the applicant must notify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Runoff shall be controlled at all times.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 xml:space="preserve">Financial assurance in accordance with </w:t>
      </w:r>
      <w:hyperlink r:id="rId76">
        <w:r>
          <w:rPr>
            <w:rStyle w:val="Hyperlink"/>
            <w:rFonts w:ascii="Times New Roman" w:hAnsi="Times New Roman"/>
            <w:b w:val="false"/>
            <w:i w:val="false"/>
            <w:color w:val="000000"/>
            <w:sz w:val="24"/>
          </w:rPr>
          <w:t>567—102.108</w:t>
        </w:r>
      </w:hyperlink>
      <w:r>
        <w:rPr>
          <w:rFonts w:ascii="Times New Roman" w:hAnsi="Times New Roman"/>
          <w:b w:val="false"/>
          <w:i w:val="false"/>
          <w:color w:val="000000"/>
          <w:sz w:val="24"/>
        </w:rPr>
        <w:t>(455B) has been obtained.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permit may allow for storage of stabilized sludge and solid waste at a consolidation point subject to the following conditions: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Waste shall not be stored within 200 feet of an occupied residence nor within 500 feet of a well that is part of a public water supply, as defined in 567—subrule </w:t>
      </w:r>
      <w:hyperlink r:id="rId77">
        <w:r>
          <w:rPr>
            <w:rStyle w:val="Hyperlink"/>
            <w:rFonts w:ascii="Times New Roman" w:hAnsi="Times New Roman"/>
            <w:b w:val="false"/>
            <w:i w:val="false"/>
            <w:color w:val="000000"/>
            <w:sz w:val="24"/>
          </w:rPr>
          <w:t>40.2(1)</w:t>
        </w:r>
      </w:hyperlink>
      <w:r>
        <w:rPr>
          <w:rFonts w:ascii="Times New Roman" w:hAnsi="Times New Roman"/>
          <w:b w:val="false"/>
          <w:i w:val="false"/>
          <w:color w:val="000000"/>
          <w:sz w:val="24"/>
        </w:rPr>
        <w:t>, or 200 feet of all other wells.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storage surface shall be made of asphalt, concrete, compacted granular aggregate, clay, or similar relatively impermeable material.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All material stored must be land applied the next application season.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If weather or extenuating circumstances prevent application from taking place, the applicant must notify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Runoff from the waste shall be controlled at all times.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 xml:space="preserve">Financial assurance in accordance with </w:t>
      </w:r>
      <w:hyperlink r:id="rId78">
        <w:r>
          <w:rPr>
            <w:rStyle w:val="Hyperlink"/>
            <w:rFonts w:ascii="Times New Roman" w:hAnsi="Times New Roman"/>
            <w:b w:val="false"/>
            <w:i w:val="false"/>
            <w:color w:val="000000"/>
            <w:sz w:val="24"/>
          </w:rPr>
          <w:t>567—102.108</w:t>
        </w:r>
      </w:hyperlink>
      <w:r>
        <w:rPr>
          <w:rFonts w:ascii="Times New Roman" w:hAnsi="Times New Roman"/>
          <w:b w:val="false"/>
          <w:i w:val="false"/>
          <w:color w:val="000000"/>
          <w:sz w:val="24"/>
        </w:rPr>
        <w:t>(455B) has been obtained.</w:t>
      </w:r>
    </w:p>
    <w:p>
      <w:pPr>
        <w:spacing w:before="0" w:after="0" w:line="480"/>
        <w:ind w:left="120"/>
        <w:jc w:val="both"/>
      </w:pPr>
      <w:r>
        <w:rPr>
          <w:rFonts w:ascii="Times New Roman" w:hAnsi="Times New Roman"/>
          <w:b/>
          <w:i w:val="false"/>
          <w:color w:val="000000"/>
          <w:sz w:val="24"/>
        </w:rPr>
        <w:t>567—102.108</w:t>
      </w:r>
      <w:r>
        <w:rPr>
          <w:rFonts w:ascii="Times New Roman" w:hAnsi="Times New Roman"/>
          <w:b/>
          <w:i w:val="false"/>
          <w:color w:val="000000"/>
          <w:sz w:val="24"/>
        </w:rPr>
        <w:t xml:space="preserve">(455B) </w:t>
      </w:r>
      <w:r>
        <w:rPr>
          <w:rFonts w:ascii="Times New Roman" w:hAnsi="Times New Roman"/>
          <w:b/>
          <w:i w:val="false"/>
          <w:color w:val="000000"/>
          <w:sz w:val="24"/>
        </w:rPr>
        <w:t xml:space="preserve">Financial assurance. </w:t>
      </w:r>
      <w:r>
        <w:rPr>
          <w:rFonts w:ascii="Times New Roman" w:hAnsi="Times New Roman"/>
          <w:b w:val="false"/>
          <w:i w:val="false"/>
          <w:color w:val="000000"/>
          <w:sz w:val="24"/>
        </w:rPr>
        <w:t>The holder of a solid waste management permit for the land application of wastes that has received authorization to temporarily store waste at the application site(s) or a consolidation point must obtain and submit a financial assurance instrument to the department. The financial assurance instrument shall provide monetary funds for the purpose of properly disposing of or having a third-party land apply any stored wastes due to the permit holder’s failure to properly land apply wastes in accordance with this division and the applicable permit provisions.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102.108(1)</w:t>
      </w:r>
      <w:r>
        <w:rPr>
          <w:rFonts w:ascii="Times New Roman" w:hAnsi="Times New Roman"/>
          <w:b w:val="false"/>
          <w:i w:val="false"/>
          <w:color w:val="000000"/>
          <w:sz w:val="24"/>
        </w:rPr>
        <w:t> </w:t>
      </w:r>
      <w:r>
        <w:rPr>
          <w:rFonts w:ascii="Times New Roman" w:hAnsi="Times New Roman"/>
          <w:b w:val="false"/>
          <w:i/>
          <w:color w:val="000000"/>
          <w:sz w:val="24"/>
        </w:rPr>
        <w:t xml:space="preserve">Proof of compliance. </w:t>
      </w:r>
      <w:r>
        <w:rPr>
          <w:rFonts w:ascii="Times New Roman" w:hAnsi="Times New Roman"/>
          <w:b w:val="false"/>
          <w:i w:val="false"/>
          <w:color w:val="000000"/>
          <w:sz w:val="24"/>
        </w:rPr>
        <w:t>Proof of the establishment of the financial assurance instrument and compliance with this rule, including a current closure cost estimate, shall be submitted by at the time of application for a permit to land apply solid wastes. The owner or operator must provide continuous coverage for closure and submit proof of compliance, including an updated closure cost estimate, with each permit renewal thereafter until released from this requirement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102.108(2)</w:t>
      </w:r>
      <w:r>
        <w:rPr>
          <w:rFonts w:ascii="Times New Roman" w:hAnsi="Times New Roman"/>
          <w:b w:val="false"/>
          <w:i w:val="false"/>
          <w:color w:val="000000"/>
          <w:sz w:val="24"/>
        </w:rPr>
        <w:t> </w:t>
      </w:r>
      <w:r>
        <w:rPr>
          <w:rFonts w:ascii="Times New Roman" w:hAnsi="Times New Roman"/>
          <w:b w:val="false"/>
          <w:i/>
          <w:color w:val="000000"/>
          <w:sz w:val="24"/>
        </w:rPr>
        <w:t xml:space="preserve">Financial assurance amounts required. </w:t>
      </w:r>
      <w:r>
        <w:rPr>
          <w:rFonts w:ascii="Times New Roman" w:hAnsi="Times New Roman"/>
          <w:b w:val="false"/>
          <w:i w:val="false"/>
          <w:color w:val="000000"/>
          <w:sz w:val="24"/>
        </w:rPr>
        <w:t>The estimate submitted to the department must be certified by a professional engineer and account for at least the following factors determined by the department to be minimal necessary costs for closure.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Third-party labor and transportation costs and total tip fees to properly dispose of all solid wastes equal to the maximum storage capacity of all approved storage areas,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Third-party labor costs to land apply all solid wastes equal to the maximum storage capacity of all approved storage areas.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102.108(3)</w:t>
      </w:r>
      <w:r>
        <w:rPr>
          <w:rFonts w:ascii="Times New Roman" w:hAnsi="Times New Roman"/>
          <w:b w:val="false"/>
          <w:i w:val="false"/>
          <w:color w:val="000000"/>
          <w:sz w:val="24"/>
        </w:rPr>
        <w:t> </w:t>
      </w:r>
      <w:r>
        <w:rPr>
          <w:rFonts w:ascii="Times New Roman" w:hAnsi="Times New Roman"/>
          <w:b w:val="false"/>
          <w:i/>
          <w:color w:val="000000"/>
          <w:sz w:val="24"/>
        </w:rPr>
        <w:t xml:space="preserve">Acceptable financial assurance instruments. </w:t>
      </w:r>
      <w:r>
        <w:rPr>
          <w:rFonts w:ascii="Times New Roman" w:hAnsi="Times New Roman"/>
          <w:b w:val="false"/>
          <w:i w:val="false"/>
          <w:color w:val="000000"/>
          <w:sz w:val="24"/>
        </w:rPr>
        <w:t xml:space="preserve">The financial assurance instrument shall be established in an amount equal to the cost estimate prepared in accordance with </w:t>
      </w:r>
      <w:hyperlink r:id="rId79">
        <w:r>
          <w:rPr>
            <w:rStyle w:val="Hyperlink"/>
            <w:rFonts w:ascii="Times New Roman" w:hAnsi="Times New Roman"/>
            <w:b w:val="false"/>
            <w:i w:val="false"/>
            <w:color w:val="000000"/>
            <w:sz w:val="24"/>
          </w:rPr>
          <w:t>102.10(4)</w:t>
        </w:r>
      </w:hyperlink>
      <w:r>
        <w:rPr>
          <w:rFonts w:ascii="Times New Roman" w:hAnsi="Times New Roman"/>
          <w:b w:val="false"/>
          <w:i w:val="false"/>
          <w:color w:val="000000"/>
          <w:sz w:val="24"/>
        </w:rPr>
        <w:t xml:space="preserve"> and shall not be canceled, revoked, disbursed, released, or allowed to terminate without the approval of the department. The language of the financial assurance instrument shall meet the criteria in </w:t>
      </w:r>
      <w:hyperlink r:id="rId80">
        <w:r>
          <w:rPr>
            <w:rStyle w:val="Hyperlink"/>
            <w:rFonts w:ascii="Times New Roman" w:hAnsi="Times New Roman"/>
            <w:b w:val="false"/>
            <w:i w:val="false"/>
            <w:color w:val="000000"/>
            <w:sz w:val="24"/>
          </w:rPr>
          <w:t>567—subrule 101.708(3)</w:t>
        </w:r>
      </w:hyperlink>
      <w:r>
        <w:rPr>
          <w:rFonts w:ascii="Times New Roman" w:hAnsi="Times New Roman"/>
          <w:b w:val="false"/>
          <w:i w:val="false"/>
          <w:color w:val="000000"/>
          <w:sz w:val="24"/>
        </w:rPr>
        <w:t>. Financial assurance shall be provided by one of the following options.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Trust fund pursuant to </w:t>
      </w:r>
      <w:hyperlink r:id="rId81">
        <w:r>
          <w:rPr>
            <w:rStyle w:val="Hyperlink"/>
            <w:rFonts w:ascii="Times New Roman" w:hAnsi="Times New Roman"/>
            <w:b w:val="false"/>
            <w:i w:val="false"/>
            <w:color w:val="000000"/>
            <w:sz w:val="24"/>
          </w:rPr>
          <w:t>567—subrule 101.707(1)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Surety bond pursuant to </w:t>
      </w:r>
      <w:hyperlink r:id="rId82">
        <w:r>
          <w:rPr>
            <w:rStyle w:val="Hyperlink"/>
            <w:rFonts w:ascii="Times New Roman" w:hAnsi="Times New Roman"/>
            <w:b w:val="false"/>
            <w:i w:val="false"/>
            <w:color w:val="000000"/>
            <w:sz w:val="24"/>
          </w:rPr>
          <w:t>567—subrule 101.707(2)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Letter of credit pursuant to </w:t>
      </w:r>
      <w:hyperlink r:id="rId83">
        <w:r>
          <w:rPr>
            <w:rStyle w:val="Hyperlink"/>
            <w:rFonts w:ascii="Times New Roman" w:hAnsi="Times New Roman"/>
            <w:b w:val="false"/>
            <w:i w:val="false"/>
            <w:color w:val="000000"/>
            <w:sz w:val="24"/>
          </w:rPr>
          <w:t>567—subrule 101.707(3)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 xml:space="preserve">Corporate guarantee pursuant to </w:t>
      </w:r>
      <w:hyperlink r:id="rId84">
        <w:r>
          <w:rPr>
            <w:rStyle w:val="Hyperlink"/>
            <w:rFonts w:ascii="Times New Roman" w:hAnsi="Times New Roman"/>
            <w:b w:val="false"/>
            <w:i w:val="false"/>
            <w:color w:val="000000"/>
            <w:sz w:val="24"/>
          </w:rPr>
          <w:t>567—subrule 101.707(7)</w:t>
        </w:r>
      </w:hyperlink>
      <w:r>
        <w:rPr>
          <w:rFonts w:ascii="Times New Roman" w:hAnsi="Times New Roman"/>
          <w:b w:val="false"/>
          <w:i w:val="false"/>
          <w:color w:val="000000"/>
          <w:sz w:val="24"/>
        </w:rPr>
        <w:t>.</w:t>
      </w:r>
    </w:p>
    <w:p>
      <w:pPr>
        <w:spacing w:before="210" w:after="0" w:line="480"/>
        <w:ind w:left="120"/>
        <w:jc w:val="both"/>
      </w:pPr>
      <w:r>
        <w:rPr>
          <w:rFonts w:ascii="Times New Roman" w:hAnsi="Times New Roman"/>
          <w:b/>
          <w:i w:val="false"/>
          <w:color w:val="000000"/>
          <w:sz w:val="24"/>
        </w:rPr>
        <w:t>567—102.109</w:t>
      </w:r>
      <w:r>
        <w:rPr>
          <w:rFonts w:ascii="Times New Roman" w:hAnsi="Times New Roman"/>
          <w:b w:val="false"/>
          <w:i w:val="false"/>
          <w:color w:val="000000"/>
          <w:sz w:val="24"/>
        </w:rPr>
        <w:t xml:space="preserve"> to </w:t>
      </w:r>
      <w:r>
        <w:rPr>
          <w:rFonts w:ascii="Times New Roman" w:hAnsi="Times New Roman"/>
          <w:b/>
          <w:i w:val="false"/>
          <w:color w:val="000000"/>
          <w:sz w:val="24"/>
        </w:rPr>
        <w:t>102.199</w:t>
      </w:r>
      <w:r>
        <w:rPr>
          <w:rFonts w:ascii="Times New Roman" w:hAnsi="Times New Roman"/>
          <w:b w:val="false"/>
          <w:i w:val="false"/>
          <w:color w:val="000000"/>
          <w:sz w:val="24"/>
        </w:rPr>
        <w:t>Reserved.</w:t>
      </w:r>
    </w:p>
    <w:p>
      <w:pPr>
        <w:spacing w:before="0" w:after="0" w:line="480"/>
        <w:ind w:left="120"/>
        <w:jc w:val="both"/>
      </w:pPr>
      <w:r>
        <w:rPr>
          <w:rFonts w:ascii="Times New Roman" w:hAnsi="Times New Roman"/>
          <w:b w:val="false"/>
          <w:i w:val="false"/>
          <w:color w:val="000000"/>
          <w:sz w:val="24"/>
        </w:rPr>
        <w:t xml:space="preserve">These rules are intended to implement Iowa Code sections </w:t>
      </w:r>
      <w:hyperlink r:id="rId85">
        <w:r>
          <w:rPr>
            <w:rStyle w:val="Hyperlink"/>
            <w:rFonts w:ascii="Times New Roman" w:hAnsi="Times New Roman"/>
            <w:b w:val="false"/>
            <w:i w:val="false"/>
            <w:color w:val="000000"/>
            <w:sz w:val="24"/>
          </w:rPr>
          <w:t>455B.173</w:t>
        </w:r>
      </w:hyperlink>
      <w:r>
        <w:rPr>
          <w:rFonts w:ascii="Times New Roman" w:hAnsi="Times New Roman"/>
          <w:b w:val="false"/>
          <w:i w:val="false"/>
          <w:color w:val="000000"/>
          <w:sz w:val="24"/>
        </w:rPr>
        <w:t xml:space="preserve"> and </w:t>
      </w:r>
      <w:hyperlink r:id="rId86">
        <w:r>
          <w:rPr>
            <w:rStyle w:val="Hyperlink"/>
            <w:rFonts w:ascii="Times New Roman" w:hAnsi="Times New Roman"/>
            <w:b w:val="false"/>
            <w:i w:val="false"/>
            <w:color w:val="000000"/>
            <w:sz w:val="24"/>
          </w:rPr>
          <w:t>455B.304</w:t>
        </w:r>
      </w:hyperlink>
      <w:r>
        <w:rPr>
          <w:rFonts w:ascii="Times New Roman" w:hAnsi="Times New Roman"/>
          <w:b w:val="false"/>
          <w:i w:val="false"/>
          <w:color w:val="000000"/>
          <w:sz w:val="24"/>
        </w:rPr>
        <w:t>.</w:t>
      </w:r>
    </w:p>
    <w:p>
      <w:pPr>
        <w:pBdr>
          <w:top w:space="10"/>
        </w:pBdr>
        <w:spacing w:before="0" w:after="0" w:line="480"/>
        <w:ind w:left="120"/>
        <w:jc w:val="center"/>
      </w:pPr>
      <w:r>
        <w:rPr>
          <w:rFonts w:ascii="Times New Roman" w:hAnsi="Times New Roman"/>
          <w:b w:val="false"/>
          <w:i w:val="false"/>
          <w:color w:val="000000"/>
          <w:sz w:val="16"/>
        </w:rPr>
        <w:t>DIVISION III</w:t>
      </w:r>
    </w:p>
    <w:p>
      <w:pPr>
        <w:pBdr>
          <w:bottom w:space="10"/>
        </w:pBdr>
        <w:spacing w:before="0" w:after="0" w:line="480"/>
        <w:ind w:left="120"/>
        <w:jc w:val="center"/>
      </w:pPr>
      <w:r>
        <w:rPr>
          <w:rFonts w:ascii="Times New Roman" w:hAnsi="Times New Roman"/>
          <w:b w:val="false"/>
          <w:i w:val="false"/>
          <w:color w:val="000000"/>
          <w:sz w:val="16"/>
        </w:rPr>
        <w:t>LANDFARMING OF PETROLEUM-CONTAMINATED SOIL</w:t>
      </w:r>
    </w:p>
    <w:p>
      <w:pPr>
        <w:spacing w:before="210" w:after="0" w:line="480"/>
        <w:ind w:left="120"/>
        <w:jc w:val="both"/>
      </w:pPr>
      <w:r>
        <w:rPr>
          <w:rFonts w:ascii="Times New Roman" w:hAnsi="Times New Roman"/>
          <w:b/>
          <w:i w:val="false"/>
          <w:color w:val="000000"/>
          <w:sz w:val="24"/>
        </w:rPr>
        <w:t>567—102.200</w:t>
      </w:r>
      <w:r>
        <w:rPr>
          <w:rFonts w:ascii="Times New Roman" w:hAnsi="Times New Roman"/>
          <w:b/>
          <w:i w:val="false"/>
          <w:color w:val="000000"/>
          <w:sz w:val="24"/>
        </w:rPr>
        <w:t xml:space="preserve">(455B) </w:t>
      </w:r>
      <w:r>
        <w:rPr>
          <w:rFonts w:ascii="Times New Roman" w:hAnsi="Times New Roman"/>
          <w:b/>
          <w:i w:val="false"/>
          <w:color w:val="000000"/>
          <w:sz w:val="24"/>
        </w:rPr>
        <w:t xml:space="preserve">Purpose. </w:t>
      </w:r>
      <w:r>
        <w:rPr>
          <w:rFonts w:ascii="Times New Roman" w:hAnsi="Times New Roman"/>
          <w:b w:val="false"/>
          <w:i w:val="false"/>
          <w:color w:val="000000"/>
          <w:sz w:val="24"/>
        </w:rPr>
        <w:t>The purpose of this division is to establish rules for the safe and effective remediation and disposal of petroleum-contaminated soil (PCS) through landfarming.</w:t>
      </w:r>
    </w:p>
    <w:p>
      <w:pPr>
        <w:spacing w:before="0" w:after="0" w:line="480"/>
        <w:ind w:left="120"/>
        <w:jc w:val="both"/>
      </w:pPr>
      <w:r>
        <w:rPr>
          <w:rFonts w:ascii="Times New Roman" w:hAnsi="Times New Roman"/>
          <w:b/>
          <w:i w:val="false"/>
          <w:color w:val="000000"/>
          <w:sz w:val="24"/>
        </w:rPr>
        <w:t>567—102.201</w:t>
      </w:r>
      <w:r>
        <w:rPr>
          <w:rFonts w:ascii="Times New Roman" w:hAnsi="Times New Roman"/>
          <w:b/>
          <w:i w:val="false"/>
          <w:color w:val="000000"/>
          <w:sz w:val="24"/>
        </w:rPr>
        <w:t xml:space="preserve">(455B) </w:t>
      </w:r>
      <w:r>
        <w:rPr>
          <w:rFonts w:ascii="Times New Roman" w:hAnsi="Times New Roman"/>
          <w:b/>
          <w:i w:val="false"/>
          <w:color w:val="000000"/>
          <w:sz w:val="24"/>
        </w:rPr>
        <w:t xml:space="preserve">Applicability; compliance.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102.201(1)</w:t>
      </w:r>
      <w:r>
        <w:rPr>
          <w:rFonts w:ascii="Times New Roman" w:hAnsi="Times New Roman"/>
          <w:b w:val="false"/>
          <w:i w:val="false"/>
          <w:color w:val="000000"/>
          <w:sz w:val="24"/>
        </w:rPr>
        <w:t> </w:t>
      </w:r>
      <w:r>
        <w:rPr>
          <w:rFonts w:ascii="Times New Roman" w:hAnsi="Times New Roman"/>
          <w:b w:val="false"/>
          <w:i w:val="false"/>
          <w:color w:val="000000"/>
          <w:sz w:val="24"/>
        </w:rPr>
        <w:t>These rules apply to the landfarming of soils contaminated with biodegradable petroleum products including but not limited to gasoline, diesel fuel, kerosene, jet fuel, motor oil, hydraulic fluid, or some combination thereof. All PCS landfarming activities in which three or more cubic yards of PCS are excavated shall comply with this division. Uncontaminated soil that is excavated during the removal of the PCS shall not be counted toward the three-cubic-yard applicability threshold.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102.201(2)</w:t>
      </w:r>
      <w:r>
        <w:rPr>
          <w:rFonts w:ascii="Times New Roman" w:hAnsi="Times New Roman"/>
          <w:b w:val="false"/>
          <w:i w:val="false"/>
          <w:color w:val="000000"/>
          <w:sz w:val="24"/>
        </w:rPr>
        <w:t> </w:t>
      </w:r>
      <w:r>
        <w:rPr>
          <w:rFonts w:ascii="Times New Roman" w:hAnsi="Times New Roman"/>
          <w:b w:val="false"/>
          <w:i w:val="false"/>
          <w:color w:val="000000"/>
          <w:sz w:val="24"/>
        </w:rPr>
        <w:t>These rules do not apply to PCS that is being disposed of at a sanitary landfill.</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102.201(3)</w:t>
      </w:r>
      <w:r>
        <w:rPr>
          <w:rFonts w:ascii="Times New Roman" w:hAnsi="Times New Roman"/>
          <w:b w:val="false"/>
          <w:i w:val="false"/>
          <w:color w:val="000000"/>
          <w:sz w:val="24"/>
        </w:rPr>
        <w:t> </w:t>
      </w:r>
      <w:r>
        <w:rPr>
          <w:rFonts w:ascii="Times New Roman" w:hAnsi="Times New Roman"/>
          <w:b w:val="false"/>
          <w:i w:val="false"/>
          <w:color w:val="000000"/>
          <w:sz w:val="24"/>
        </w:rPr>
        <w:t>The issuance of a landfarm permit by the department in no way relieves the generator or permit holder of the responsibility of complying with all other local, state, or federal statutes, ordinances, and rules and other applicable requirements.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102.201(4)</w:t>
      </w:r>
      <w:r>
        <w:rPr>
          <w:rFonts w:ascii="Times New Roman" w:hAnsi="Times New Roman"/>
          <w:b w:val="false"/>
          <w:i w:val="false"/>
          <w:color w:val="000000"/>
          <w:sz w:val="24"/>
        </w:rPr>
        <w:t> </w:t>
      </w:r>
      <w:r>
        <w:rPr>
          <w:rFonts w:ascii="Times New Roman" w:hAnsi="Times New Roman"/>
          <w:b w:val="false"/>
          <w:i w:val="false"/>
          <w:color w:val="000000"/>
          <w:sz w:val="24"/>
        </w:rPr>
        <w:t>These rules do not apply to hazardous waste.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102.201(5)</w:t>
      </w:r>
      <w:r>
        <w:rPr>
          <w:rFonts w:ascii="Times New Roman" w:hAnsi="Times New Roman"/>
          <w:b w:val="false"/>
          <w:i w:val="false"/>
          <w:color w:val="000000"/>
          <w:sz w:val="24"/>
        </w:rPr>
        <w:t> </w:t>
      </w:r>
      <w:r>
        <w:rPr>
          <w:rFonts w:ascii="Times New Roman" w:hAnsi="Times New Roman"/>
          <w:b w:val="false"/>
          <w:i w:val="false"/>
          <w:color w:val="000000"/>
          <w:sz w:val="24"/>
        </w:rPr>
        <w:t>All rules, standards, technical guidance, and other similar legal or technical documents referenced in this division shall be the version of those documents in effect on August 1, 2025, unless otherwise noted in these rules, and except for references to the Iowa Code and Iowa Administrative Code, which shall always be the most recent version unless otherwise noted in these rules.</w:t>
      </w:r>
    </w:p>
    <w:p>
      <w:pPr>
        <w:spacing w:before="210" w:after="0" w:line="480"/>
        <w:ind w:left="120"/>
        <w:jc w:val="both"/>
      </w:pPr>
      <w:r>
        <w:rPr>
          <w:rFonts w:ascii="Times New Roman" w:hAnsi="Times New Roman"/>
          <w:b/>
          <w:i w:val="false"/>
          <w:color w:val="000000"/>
          <w:sz w:val="24"/>
        </w:rPr>
        <w:t>567—102.202</w:t>
      </w:r>
      <w:r>
        <w:rPr>
          <w:rFonts w:ascii="Times New Roman" w:hAnsi="Times New Roman"/>
          <w:b/>
          <w:i w:val="false"/>
          <w:color w:val="000000"/>
          <w:sz w:val="24"/>
        </w:rPr>
        <w:t xml:space="preserve">(455B) </w:t>
      </w:r>
      <w:r>
        <w:rPr>
          <w:rFonts w:ascii="Times New Roman" w:hAnsi="Times New Roman"/>
          <w:b/>
          <w:i w:val="false"/>
          <w:color w:val="000000"/>
          <w:sz w:val="24"/>
        </w:rPr>
        <w:t xml:space="preserve">Definitions. </w:t>
      </w:r>
      <w:r>
        <w:rPr>
          <w:rFonts w:ascii="Times New Roman" w:hAnsi="Times New Roman"/>
          <w:b w:val="false"/>
          <w:i w:val="false"/>
          <w:color w:val="000000"/>
          <w:sz w:val="24"/>
        </w:rPr>
        <w:t xml:space="preserve">The definitions set out in Iowa Code section </w:t>
      </w:r>
      <w:hyperlink r:id="rId87">
        <w:r>
          <w:rPr>
            <w:rStyle w:val="Hyperlink"/>
            <w:rFonts w:ascii="Times New Roman" w:hAnsi="Times New Roman"/>
            <w:b w:val="false"/>
            <w:i w:val="false"/>
            <w:color w:val="000000"/>
            <w:sz w:val="24"/>
          </w:rPr>
          <w:t>455B.301</w:t>
        </w:r>
      </w:hyperlink>
      <w:r>
        <w:rPr>
          <w:rFonts w:ascii="Times New Roman" w:hAnsi="Times New Roman"/>
          <w:b w:val="false"/>
          <w:i w:val="false"/>
          <w:color w:val="000000"/>
          <w:sz w:val="24"/>
        </w:rPr>
        <w:t xml:space="preserve"> shall be considered to be incorporated by reference in these rules. For the purposes of this division, the definitions found in </w:t>
      </w:r>
      <w:hyperlink r:id="rId88">
        <w:r>
          <w:rPr>
            <w:rStyle w:val="Hyperlink"/>
            <w:rFonts w:ascii="Times New Roman" w:hAnsi="Times New Roman"/>
            <w:b w:val="false"/>
            <w:i w:val="false"/>
            <w:color w:val="000000"/>
            <w:sz w:val="24"/>
          </w:rPr>
          <w:t>567—Chapter 100</w:t>
        </w:r>
      </w:hyperlink>
      <w:r>
        <w:rPr>
          <w:rFonts w:ascii="Times New Roman" w:hAnsi="Times New Roman"/>
          <w:b w:val="false"/>
          <w:i w:val="false"/>
          <w:color w:val="000000"/>
          <w:sz w:val="24"/>
        </w:rPr>
        <w:t xml:space="preserve"> shall apply.</w:t>
      </w:r>
    </w:p>
    <w:p>
      <w:pPr>
        <w:spacing w:before="0" w:after="0" w:line="480"/>
        <w:ind w:left="120"/>
        <w:jc w:val="both"/>
      </w:pPr>
      <w:r>
        <w:rPr>
          <w:rFonts w:ascii="Times New Roman" w:hAnsi="Times New Roman"/>
          <w:b/>
          <w:i w:val="false"/>
          <w:color w:val="000000"/>
          <w:sz w:val="24"/>
        </w:rPr>
        <w:t>567—102.203</w:t>
      </w:r>
      <w:r>
        <w:rPr>
          <w:rFonts w:ascii="Times New Roman" w:hAnsi="Times New Roman"/>
          <w:b/>
          <w:i w:val="false"/>
          <w:color w:val="000000"/>
          <w:sz w:val="24"/>
        </w:rPr>
        <w:t xml:space="preserve">(455B) </w:t>
      </w:r>
      <w:r>
        <w:rPr>
          <w:rFonts w:ascii="Times New Roman" w:hAnsi="Times New Roman"/>
          <w:b/>
          <w:i w:val="false"/>
          <w:color w:val="000000"/>
          <w:sz w:val="24"/>
        </w:rPr>
        <w:t xml:space="preserve">Landfarming application permits.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102.203(1)</w:t>
      </w:r>
      <w:r>
        <w:rPr>
          <w:rFonts w:ascii="Times New Roman" w:hAnsi="Times New Roman"/>
          <w:b w:val="false"/>
          <w:i w:val="false"/>
          <w:color w:val="000000"/>
          <w:sz w:val="24"/>
        </w:rPr>
        <w:t> </w:t>
      </w:r>
      <w:r>
        <w:rPr>
          <w:rFonts w:ascii="Times New Roman" w:hAnsi="Times New Roman"/>
          <w:b w:val="false"/>
          <w:i/>
          <w:color w:val="000000"/>
          <w:sz w:val="24"/>
        </w:rPr>
        <w:t xml:space="preserve">Permit required. </w:t>
      </w:r>
      <w:r>
        <w:rPr>
          <w:rFonts w:ascii="Times New Roman" w:hAnsi="Times New Roman"/>
          <w:b w:val="false"/>
          <w:i w:val="false"/>
          <w:color w:val="000000"/>
          <w:sz w:val="24"/>
        </w:rPr>
        <w:t xml:space="preserve">PCS shall not be landfarmed without a solid waste management permit for landfarm application from the department pursuant to </w:t>
      </w:r>
      <w:hyperlink r:id="rId89">
        <w:r>
          <w:rPr>
            <w:rStyle w:val="Hyperlink"/>
            <w:rFonts w:ascii="Times New Roman" w:hAnsi="Times New Roman"/>
            <w:b w:val="false"/>
            <w:i w:val="false"/>
            <w:color w:val="000000"/>
            <w:sz w:val="24"/>
          </w:rPr>
          <w:t>567—subrule 100.4(2)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102.203(2)</w:t>
      </w:r>
      <w:r>
        <w:rPr>
          <w:rFonts w:ascii="Times New Roman" w:hAnsi="Times New Roman"/>
          <w:b w:val="false"/>
          <w:i w:val="false"/>
          <w:color w:val="000000"/>
          <w:sz w:val="24"/>
        </w:rPr>
        <w:t> </w:t>
      </w:r>
      <w:r>
        <w:rPr>
          <w:rFonts w:ascii="Times New Roman" w:hAnsi="Times New Roman"/>
          <w:b w:val="false"/>
          <w:i/>
          <w:color w:val="000000"/>
          <w:sz w:val="24"/>
        </w:rPr>
        <w:t xml:space="preserve">Landfarm application permit. </w:t>
      </w:r>
      <w:r>
        <w:rPr>
          <w:rFonts w:ascii="Times New Roman" w:hAnsi="Times New Roman"/>
          <w:b w:val="false"/>
          <w:i w:val="false"/>
          <w:color w:val="000000"/>
          <w:sz w:val="24"/>
        </w:rPr>
        <w:t xml:space="preserve">Upon issuance of a landfarm application permit, the permit holder is authorized to apply PCS to the land to create one or more landfarms. This permit requires that landfarms be used for only one application of a particular source and type of PCS. This permit requires that no other PCS be applied within 15 feet of the area of land used as a landfarm until the landfarm is closed pursuant to </w:t>
      </w:r>
      <w:hyperlink r:id="rId90">
        <w:r>
          <w:rPr>
            <w:rStyle w:val="Hyperlink"/>
            <w:rFonts w:ascii="Times New Roman" w:hAnsi="Times New Roman"/>
            <w:b w:val="false"/>
            <w:i w:val="false"/>
            <w:color w:val="000000"/>
            <w:sz w:val="24"/>
          </w:rPr>
          <w:t>567—102.211</w:t>
        </w:r>
      </w:hyperlink>
      <w:r>
        <w:rPr>
          <w:rFonts w:ascii="Times New Roman" w:hAnsi="Times New Roman"/>
          <w:b w:val="false"/>
          <w:i w:val="false"/>
          <w:color w:val="000000"/>
          <w:sz w:val="24"/>
        </w:rPr>
        <w:t>(455B).</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102.203(3)</w:t>
      </w:r>
      <w:r>
        <w:rPr>
          <w:rFonts w:ascii="Times New Roman" w:hAnsi="Times New Roman"/>
          <w:b w:val="false"/>
          <w:i w:val="false"/>
          <w:color w:val="000000"/>
          <w:sz w:val="24"/>
        </w:rPr>
        <w:t> </w:t>
      </w:r>
      <w:r>
        <w:rPr>
          <w:rFonts w:ascii="Times New Roman" w:hAnsi="Times New Roman"/>
          <w:b w:val="false"/>
          <w:i/>
          <w:color w:val="000000"/>
          <w:sz w:val="24"/>
        </w:rPr>
        <w:t xml:space="preserve">Construction and operation. </w:t>
      </w:r>
      <w:r>
        <w:rPr>
          <w:rFonts w:ascii="Times New Roman" w:hAnsi="Times New Roman"/>
          <w:b w:val="false"/>
          <w:i w:val="false"/>
          <w:color w:val="000000"/>
          <w:sz w:val="24"/>
        </w:rPr>
        <w:t>Landfarms shall be constructed and operated according to these rules, any plans and specifications approved by the department, and the conditions of the permit. Any approved plans and specifications shall constitute a condition of the permit.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102.203(4)</w:t>
      </w:r>
      <w:r>
        <w:rPr>
          <w:rFonts w:ascii="Times New Roman" w:hAnsi="Times New Roman"/>
          <w:b w:val="false"/>
          <w:i w:val="false"/>
          <w:color w:val="000000"/>
          <w:sz w:val="24"/>
        </w:rPr>
        <w:t> </w:t>
      </w:r>
      <w:r>
        <w:rPr>
          <w:rFonts w:ascii="Times New Roman" w:hAnsi="Times New Roman"/>
          <w:b w:val="false"/>
          <w:i/>
          <w:color w:val="000000"/>
          <w:sz w:val="24"/>
        </w:rPr>
        <w:t xml:space="preserve">Duration of permits. </w:t>
      </w:r>
      <w:r>
        <w:rPr>
          <w:rFonts w:ascii="Times New Roman" w:hAnsi="Times New Roman"/>
          <w:b w:val="false"/>
          <w:i w:val="false"/>
          <w:color w:val="000000"/>
          <w:sz w:val="24"/>
        </w:rPr>
        <w:t>Landfarm application permits shall be issued and may be renewed for a three-year term.</w:t>
      </w:r>
    </w:p>
    <w:p>
      <w:pPr>
        <w:spacing w:before="0" w:after="0" w:line="480"/>
        <w:ind w:left="120"/>
        <w:jc w:val="both"/>
      </w:pPr>
      <w:r>
        <w:rPr>
          <w:rFonts w:ascii="Times New Roman" w:hAnsi="Times New Roman"/>
          <w:b/>
          <w:i w:val="false"/>
          <w:color w:val="000000"/>
          <w:sz w:val="24"/>
        </w:rPr>
        <w:t>567—102.204</w:t>
      </w:r>
      <w:r>
        <w:rPr>
          <w:rFonts w:ascii="Times New Roman" w:hAnsi="Times New Roman"/>
          <w:b/>
          <w:i w:val="false"/>
          <w:color w:val="000000"/>
          <w:sz w:val="24"/>
        </w:rPr>
        <w:t xml:space="preserve">(455B) </w:t>
      </w:r>
      <w:r>
        <w:rPr>
          <w:rFonts w:ascii="Times New Roman" w:hAnsi="Times New Roman"/>
          <w:b/>
          <w:i w:val="false"/>
          <w:color w:val="000000"/>
          <w:sz w:val="24"/>
        </w:rPr>
        <w:t xml:space="preserve">Application information. </w:t>
      </w:r>
      <w:r>
        <w:rPr>
          <w:rFonts w:ascii="Times New Roman" w:hAnsi="Times New Roman"/>
          <w:b w:val="false"/>
          <w:i w:val="false"/>
          <w:color w:val="000000"/>
          <w:sz w:val="24"/>
        </w:rPr>
        <w:t xml:space="preserve">To apply for a landfarm application permit, the applicant shall submit the following information to the department in addition to the requirements of </w:t>
      </w:r>
      <w:hyperlink r:id="rId91">
        <w:r>
          <w:rPr>
            <w:rStyle w:val="Hyperlink"/>
            <w:rFonts w:ascii="Times New Roman" w:hAnsi="Times New Roman"/>
            <w:b w:val="false"/>
            <w:i w:val="false"/>
            <w:color w:val="000000"/>
            <w:sz w:val="24"/>
          </w:rPr>
          <w:t>567—subrule 100.5(1)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102.204(1)</w:t>
      </w:r>
      <w:r>
        <w:rPr>
          <w:rFonts w:ascii="Times New Roman" w:hAnsi="Times New Roman"/>
          <w:b w:val="false"/>
          <w:i w:val="false"/>
          <w:color w:val="000000"/>
          <w:sz w:val="24"/>
        </w:rPr>
        <w:t> </w:t>
      </w:r>
      <w:r>
        <w:rPr>
          <w:rFonts w:ascii="Times New Roman" w:hAnsi="Times New Roman"/>
          <w:b w:val="false"/>
          <w:i w:val="false"/>
          <w:color w:val="000000"/>
          <w:sz w:val="24"/>
        </w:rPr>
        <w:t>The name, address, and telephone number of:</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Owner(s) of the agency.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Individual responsible for recordkeeping and reporting.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An emergency contact person.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102.204(2)</w:t>
      </w:r>
      <w:r>
        <w:rPr>
          <w:rFonts w:ascii="Times New Roman" w:hAnsi="Times New Roman"/>
          <w:b w:val="false"/>
          <w:i w:val="false"/>
          <w:color w:val="000000"/>
          <w:sz w:val="24"/>
        </w:rPr>
        <w:t> </w:t>
      </w:r>
      <w:r>
        <w:rPr>
          <w:rFonts w:ascii="Times New Roman" w:hAnsi="Times New Roman"/>
          <w:b w:val="false"/>
          <w:i w:val="false"/>
          <w:color w:val="000000"/>
          <w:sz w:val="24"/>
        </w:rPr>
        <w:t xml:space="preserve">A plan of operations that complies with the requirements of </w:t>
      </w:r>
      <w:hyperlink r:id="rId92">
        <w:r>
          <w:rPr>
            <w:rStyle w:val="Hyperlink"/>
            <w:rFonts w:ascii="Times New Roman" w:hAnsi="Times New Roman"/>
            <w:b w:val="false"/>
            <w:i w:val="false"/>
            <w:color w:val="000000"/>
            <w:sz w:val="24"/>
          </w:rPr>
          <w:t>567—102.208</w:t>
        </w:r>
      </w:hyperlink>
      <w:r>
        <w:rPr>
          <w:rFonts w:ascii="Times New Roman" w:hAnsi="Times New Roman"/>
          <w:b w:val="false"/>
          <w:i w:val="false"/>
          <w:color w:val="000000"/>
          <w:sz w:val="24"/>
        </w:rPr>
        <w:t xml:space="preserve">(455B) and </w:t>
      </w:r>
      <w:hyperlink r:id="rId93">
        <w:r>
          <w:rPr>
            <w:rStyle w:val="Hyperlink"/>
            <w:rFonts w:ascii="Times New Roman" w:hAnsi="Times New Roman"/>
            <w:b w:val="false"/>
            <w:i w:val="false"/>
            <w:color w:val="000000"/>
            <w:sz w:val="24"/>
          </w:rPr>
          <w:t>567—102.210</w:t>
        </w:r>
      </w:hyperlink>
      <w:r>
        <w:rPr>
          <w:rFonts w:ascii="Times New Roman" w:hAnsi="Times New Roman"/>
          <w:b w:val="false"/>
          <w:i w:val="false"/>
          <w:color w:val="000000"/>
          <w:sz w:val="24"/>
        </w:rPr>
        <w:t>(455B).</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102.204(3)</w:t>
      </w:r>
      <w:r>
        <w:rPr>
          <w:rFonts w:ascii="Times New Roman" w:hAnsi="Times New Roman"/>
          <w:b w:val="false"/>
          <w:i w:val="false"/>
          <w:color w:val="000000"/>
          <w:sz w:val="24"/>
        </w:rPr>
        <w:t> </w:t>
      </w:r>
      <w:r>
        <w:rPr>
          <w:rFonts w:ascii="Times New Roman" w:hAnsi="Times New Roman"/>
          <w:b w:val="false"/>
          <w:i w:val="false"/>
          <w:color w:val="000000"/>
          <w:sz w:val="24"/>
        </w:rPr>
        <w:t xml:space="preserve">An emergency response and remedial action plan (ERRAP) pursuant to </w:t>
      </w:r>
      <w:hyperlink r:id="rId94">
        <w:r>
          <w:rPr>
            <w:rStyle w:val="Hyperlink"/>
            <w:rFonts w:ascii="Times New Roman" w:hAnsi="Times New Roman"/>
            <w:b w:val="false"/>
            <w:i w:val="false"/>
            <w:color w:val="000000"/>
            <w:sz w:val="24"/>
          </w:rPr>
          <w:t>567—102.209</w:t>
        </w:r>
      </w:hyperlink>
      <w:r>
        <w:rPr>
          <w:rFonts w:ascii="Times New Roman" w:hAnsi="Times New Roman"/>
          <w:b w:val="false"/>
          <w:i w:val="false"/>
          <w:color w:val="000000"/>
          <w:sz w:val="24"/>
        </w:rPr>
        <w:t>(455B).</w:t>
      </w:r>
    </w:p>
    <w:p>
      <w:pPr>
        <w:spacing w:before="0" w:after="0" w:line="480"/>
        <w:ind w:left="120"/>
        <w:jc w:val="both"/>
      </w:pPr>
      <w:r>
        <w:rPr>
          <w:rFonts w:ascii="Times New Roman" w:hAnsi="Times New Roman"/>
          <w:b/>
          <w:i w:val="false"/>
          <w:color w:val="000000"/>
          <w:sz w:val="24"/>
        </w:rPr>
        <w:t>567—102.205</w:t>
      </w:r>
      <w:r>
        <w:rPr>
          <w:rFonts w:ascii="Times New Roman" w:hAnsi="Times New Roman"/>
          <w:b/>
          <w:i w:val="false"/>
          <w:color w:val="000000"/>
          <w:sz w:val="24"/>
        </w:rPr>
        <w:t xml:space="preserve">(455B) </w:t>
      </w:r>
      <w:r>
        <w:rPr>
          <w:rFonts w:ascii="Times New Roman" w:hAnsi="Times New Roman"/>
          <w:b/>
          <w:i w:val="false"/>
          <w:color w:val="000000"/>
          <w:sz w:val="24"/>
        </w:rPr>
        <w:t xml:space="preserve">PCS analysis and characterization.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102.205(1)</w:t>
      </w:r>
      <w:r>
        <w:rPr>
          <w:rFonts w:ascii="Times New Roman" w:hAnsi="Times New Roman"/>
          <w:b w:val="false"/>
          <w:i w:val="false"/>
          <w:color w:val="000000"/>
          <w:sz w:val="24"/>
        </w:rPr>
        <w:t> </w:t>
      </w:r>
      <w:r>
        <w:rPr>
          <w:rFonts w:ascii="Times New Roman" w:hAnsi="Times New Roman"/>
          <w:b w:val="false"/>
          <w:i/>
          <w:color w:val="000000"/>
          <w:sz w:val="24"/>
        </w:rPr>
        <w:t xml:space="preserve"> Source identification. </w:t>
      </w:r>
      <w:r>
        <w:rPr>
          <w:rFonts w:ascii="Times New Roman" w:hAnsi="Times New Roman"/>
          <w:b w:val="false"/>
          <w:i w:val="false"/>
          <w:color w:val="000000"/>
          <w:sz w:val="24"/>
        </w:rPr>
        <w:t>The name and address of the contaminated site from which the PCS originated and the spill or underground storage tank (UST) registration number shall be recorded.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102.205(2)</w:t>
      </w:r>
      <w:r>
        <w:rPr>
          <w:rFonts w:ascii="Times New Roman" w:hAnsi="Times New Roman"/>
          <w:b w:val="false"/>
          <w:i w:val="false"/>
          <w:color w:val="000000"/>
          <w:sz w:val="24"/>
        </w:rPr>
        <w:t> </w:t>
      </w:r>
      <w:r>
        <w:rPr>
          <w:rFonts w:ascii="Times New Roman" w:hAnsi="Times New Roman"/>
          <w:b w:val="false"/>
          <w:i/>
          <w:color w:val="000000"/>
          <w:sz w:val="24"/>
        </w:rPr>
        <w:t xml:space="preserve">Type classification. </w:t>
      </w:r>
      <w:r>
        <w:rPr>
          <w:rFonts w:ascii="Times New Roman" w:hAnsi="Times New Roman"/>
          <w:b w:val="false"/>
          <w:i w:val="false"/>
          <w:color w:val="000000"/>
          <w:sz w:val="24"/>
        </w:rPr>
        <w:t>The PCS shall be classified by type according to the petroleum product’s trade name (e.g., gasoline, diesel fuel) or according to the trade names if there is a mixture of petroleum products.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102.205(3)</w:t>
      </w:r>
      <w:r>
        <w:rPr>
          <w:rFonts w:ascii="Times New Roman" w:hAnsi="Times New Roman"/>
          <w:b w:val="false"/>
          <w:i w:val="false"/>
          <w:color w:val="000000"/>
          <w:sz w:val="24"/>
        </w:rPr>
        <w:t> </w:t>
      </w:r>
      <w:r>
        <w:rPr>
          <w:rFonts w:ascii="Times New Roman" w:hAnsi="Times New Roman"/>
          <w:b w:val="false"/>
          <w:i/>
          <w:color w:val="000000"/>
          <w:sz w:val="24"/>
        </w:rPr>
        <w:t xml:space="preserve">Chemical testing. </w:t>
      </w:r>
      <w:r>
        <w:rPr>
          <w:rFonts w:ascii="Times New Roman" w:hAnsi="Times New Roman"/>
          <w:b w:val="false"/>
          <w:i w:val="false"/>
          <w:color w:val="000000"/>
          <w:sz w:val="24"/>
        </w:rPr>
        <w:t>The following analyses shall be performed.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Benzene, toluene, ethylbenzene, and xylene (BTEX) testing. The PCS shall be tested for BTEX.</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Total extractable hydrocarbons as diesel (TEH-diesel) testing. The PCS shall be tested for TEH-diesel.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Total metals testing. If the history of the petroleum-contaminated site is known to have included solvents, batteries, leaded fuel, waste oil, or a gas station in operation prior to 1985, then the PCS shall be tested for total Resource Conservation and Recovery Act (RCRA) metals.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102.205(4)</w:t>
      </w:r>
      <w:r>
        <w:rPr>
          <w:rFonts w:ascii="Times New Roman" w:hAnsi="Times New Roman"/>
          <w:b w:val="false"/>
          <w:i w:val="false"/>
          <w:color w:val="000000"/>
          <w:sz w:val="24"/>
        </w:rPr>
        <w:t> </w:t>
      </w:r>
      <w:r>
        <w:rPr>
          <w:rFonts w:ascii="Times New Roman" w:hAnsi="Times New Roman"/>
          <w:b w:val="false"/>
          <w:i/>
          <w:color w:val="000000"/>
          <w:sz w:val="24"/>
        </w:rPr>
        <w:t xml:space="preserve">Department-supervised emergency cleanups. </w:t>
      </w:r>
      <w:r>
        <w:rPr>
          <w:rFonts w:ascii="Times New Roman" w:hAnsi="Times New Roman"/>
          <w:b w:val="false"/>
          <w:i w:val="false"/>
          <w:color w:val="000000"/>
          <w:sz w:val="24"/>
        </w:rPr>
        <w:t xml:space="preserve">PCS originating from the cleanup of a spill or expedited over-excavation at a tank closure or upgrade under department jurisdiction shall be characterized and tested as follows before being landfarmed. Such PCS may be landfarmed prior to chemical testing, pursuant to the application rate in </w:t>
      </w:r>
      <w:hyperlink r:id="rId95">
        <w:r>
          <w:rPr>
            <w:rStyle w:val="Hyperlink"/>
            <w:rFonts w:ascii="Times New Roman" w:hAnsi="Times New Roman"/>
            <w:b w:val="false"/>
            <w:i w:val="false"/>
            <w:color w:val="000000"/>
            <w:sz w:val="24"/>
          </w:rPr>
          <w:t>102.208(7)</w:t>
        </w:r>
      </w:hyperlink>
      <w:r>
        <w:rPr>
          <w:rFonts w:ascii="Times New Roman" w:hAnsi="Times New Roman"/>
          <w:b w:val="false"/>
          <w:i w:val="false"/>
          <w:color w:val="000000"/>
          <w:sz w:val="24"/>
        </w:rPr>
        <w:t xml:space="preserve"> and reporting requirements of </w:t>
      </w:r>
      <w:hyperlink r:id="rId96">
        <w:r>
          <w:rPr>
            <w:rStyle w:val="Hyperlink"/>
            <w:rFonts w:ascii="Times New Roman" w:hAnsi="Times New Roman"/>
            <w:b w:val="false"/>
            <w:i w:val="false"/>
            <w:color w:val="000000"/>
            <w:sz w:val="24"/>
          </w:rPr>
          <w:t>567—102.210</w:t>
        </w:r>
      </w:hyperlink>
      <w:r>
        <w:rPr>
          <w:rFonts w:ascii="Times New Roman" w:hAnsi="Times New Roman"/>
          <w:b w:val="false"/>
          <w:i w:val="false"/>
          <w:color w:val="000000"/>
          <w:sz w:val="24"/>
        </w:rPr>
        <w:t>(455B), if permission is obtained from department emergency response personnel or the department field office with jurisdiction over the landfarm site.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102.205(5)</w:t>
      </w:r>
      <w:r>
        <w:rPr>
          <w:rFonts w:ascii="Times New Roman" w:hAnsi="Times New Roman"/>
          <w:b w:val="false"/>
          <w:i w:val="false"/>
          <w:color w:val="000000"/>
          <w:sz w:val="24"/>
        </w:rPr>
        <w:t> </w:t>
      </w:r>
      <w:r>
        <w:rPr>
          <w:rFonts w:ascii="Times New Roman" w:hAnsi="Times New Roman"/>
          <w:b w:val="false"/>
          <w:i/>
          <w:color w:val="000000"/>
          <w:sz w:val="24"/>
        </w:rPr>
        <w:t xml:space="preserve">Other cleanups. </w:t>
      </w:r>
      <w:r>
        <w:rPr>
          <w:rFonts w:ascii="Times New Roman" w:hAnsi="Times New Roman"/>
          <w:b w:val="false"/>
          <w:i w:val="false"/>
          <w:color w:val="000000"/>
          <w:sz w:val="24"/>
        </w:rPr>
        <w:t xml:space="preserve">PCS not originating from a department-supervised emergency cleanup pursuant to </w:t>
      </w:r>
      <w:hyperlink r:id="rId97">
        <w:r>
          <w:rPr>
            <w:rStyle w:val="Hyperlink"/>
            <w:rFonts w:ascii="Times New Roman" w:hAnsi="Times New Roman"/>
            <w:b w:val="false"/>
            <w:i w:val="false"/>
            <w:color w:val="000000"/>
            <w:sz w:val="24"/>
          </w:rPr>
          <w:t>102.205(4)</w:t>
        </w:r>
      </w:hyperlink>
      <w:r>
        <w:rPr>
          <w:rFonts w:ascii="Times New Roman" w:hAnsi="Times New Roman"/>
          <w:b w:val="false"/>
          <w:i w:val="false"/>
          <w:color w:val="000000"/>
          <w:sz w:val="24"/>
        </w:rPr>
        <w:t xml:space="preserve"> shall be characterized and tested as follows before being landfarmed. PCS originating from a cleanup pursuant to </w:t>
      </w:r>
      <w:hyperlink r:id="rId98">
        <w:r>
          <w:rPr>
            <w:rStyle w:val="Hyperlink"/>
            <w:rFonts w:ascii="Times New Roman" w:hAnsi="Times New Roman"/>
            <w:b w:val="false"/>
            <w:i w:val="false"/>
            <w:color w:val="000000"/>
            <w:sz w:val="24"/>
          </w:rPr>
          <w:t>567—Chapter 135</w:t>
        </w:r>
      </w:hyperlink>
      <w:r>
        <w:rPr>
          <w:rFonts w:ascii="Times New Roman" w:hAnsi="Times New Roman"/>
          <w:b w:val="false"/>
          <w:i w:val="false"/>
          <w:color w:val="000000"/>
          <w:sz w:val="24"/>
        </w:rPr>
        <w:t xml:space="preserve"> may utilize those test results as applicable.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102.205(6)</w:t>
      </w:r>
      <w:r>
        <w:rPr>
          <w:rFonts w:ascii="Times New Roman" w:hAnsi="Times New Roman"/>
          <w:b w:val="false"/>
          <w:i w:val="false"/>
          <w:color w:val="000000"/>
          <w:sz w:val="24"/>
        </w:rPr>
        <w:t> </w:t>
      </w:r>
      <w:r>
        <w:rPr>
          <w:rFonts w:ascii="Times New Roman" w:hAnsi="Times New Roman"/>
          <w:b w:val="false"/>
          <w:i/>
          <w:color w:val="000000"/>
          <w:sz w:val="24"/>
        </w:rPr>
        <w:t xml:space="preserve">Tar balls. </w:t>
      </w:r>
      <w:r>
        <w:rPr>
          <w:rFonts w:ascii="Times New Roman" w:hAnsi="Times New Roman"/>
          <w:b w:val="false"/>
          <w:i w:val="false"/>
          <w:color w:val="000000"/>
          <w:sz w:val="24"/>
        </w:rPr>
        <w:t>PCS that has the potential to produce tar balls shall not be landfarmed. Such PCS may be disposed of in a sanitary landfill.</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102.205(7)</w:t>
      </w:r>
      <w:r>
        <w:rPr>
          <w:rFonts w:ascii="Times New Roman" w:hAnsi="Times New Roman"/>
          <w:b w:val="false"/>
          <w:i w:val="false"/>
          <w:color w:val="000000"/>
          <w:sz w:val="24"/>
        </w:rPr>
        <w:t> </w:t>
      </w:r>
      <w:r>
        <w:rPr>
          <w:rFonts w:ascii="Times New Roman" w:hAnsi="Times New Roman"/>
          <w:b w:val="false"/>
          <w:i/>
          <w:color w:val="000000"/>
          <w:sz w:val="24"/>
        </w:rPr>
        <w:t xml:space="preserve">Other tests. </w:t>
      </w:r>
      <w:r>
        <w:rPr>
          <w:rFonts w:ascii="Times New Roman" w:hAnsi="Times New Roman"/>
          <w:b w:val="false"/>
          <w:i w:val="false"/>
          <w:color w:val="000000"/>
          <w:sz w:val="24"/>
        </w:rPr>
        <w:t>The department may require testing of the PCS for other chemicals of concern.</w:t>
      </w:r>
    </w:p>
    <w:p>
      <w:pPr>
        <w:spacing w:before="0" w:after="0" w:line="480"/>
        <w:ind w:left="120"/>
        <w:jc w:val="both"/>
      </w:pPr>
      <w:r>
        <w:rPr>
          <w:rFonts w:ascii="Times New Roman" w:hAnsi="Times New Roman"/>
          <w:b/>
          <w:i w:val="false"/>
          <w:color w:val="000000"/>
          <w:sz w:val="24"/>
        </w:rPr>
        <w:t>567—102.206</w:t>
      </w:r>
      <w:r>
        <w:rPr>
          <w:rFonts w:ascii="Times New Roman" w:hAnsi="Times New Roman"/>
          <w:b/>
          <w:i w:val="false"/>
          <w:color w:val="000000"/>
          <w:sz w:val="24"/>
        </w:rPr>
        <w:t xml:space="preserve">(455B) </w:t>
      </w:r>
      <w:r>
        <w:rPr>
          <w:rFonts w:ascii="Times New Roman" w:hAnsi="Times New Roman"/>
          <w:b/>
          <w:i w:val="false"/>
          <w:color w:val="000000"/>
          <w:sz w:val="24"/>
        </w:rPr>
        <w:t xml:space="preserve">Site exploration and suitability requirements for landfarms. </w:t>
      </w:r>
      <w:r>
        <w:rPr>
          <w:rFonts w:ascii="Times New Roman" w:hAnsi="Times New Roman"/>
          <w:b w:val="false"/>
          <w:i w:val="false"/>
          <w:color w:val="000000"/>
          <w:sz w:val="24"/>
        </w:rPr>
        <w:t>All landfarms shall meet the following site exploration and suitability requirements.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102.206(1)</w:t>
      </w:r>
      <w:r>
        <w:rPr>
          <w:rFonts w:ascii="Times New Roman" w:hAnsi="Times New Roman"/>
          <w:b w:val="false"/>
          <w:i w:val="false"/>
          <w:color w:val="000000"/>
          <w:sz w:val="24"/>
        </w:rPr>
        <w:t> </w:t>
      </w:r>
      <w:r>
        <w:rPr>
          <w:rFonts w:ascii="Times New Roman" w:hAnsi="Times New Roman"/>
          <w:b w:val="false"/>
          <w:i/>
          <w:color w:val="000000"/>
          <w:sz w:val="24"/>
        </w:rPr>
        <w:t xml:space="preserve">Previous use. </w:t>
      </w:r>
      <w:r>
        <w:rPr>
          <w:rFonts w:ascii="Times New Roman" w:hAnsi="Times New Roman"/>
          <w:b w:val="false"/>
          <w:i w:val="false"/>
          <w:color w:val="000000"/>
          <w:sz w:val="24"/>
        </w:rPr>
        <w:t>The landfarm applicator shall obtain written confirmation from the site owner of one of the following requirements: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That any other landfarm created in the past three years within 15 feet of the proposed landfarm plot has been closed pursuant to </w:t>
      </w:r>
      <w:hyperlink r:id="rId99">
        <w:r>
          <w:rPr>
            <w:rStyle w:val="Hyperlink"/>
            <w:rFonts w:ascii="Times New Roman" w:hAnsi="Times New Roman"/>
            <w:b w:val="false"/>
            <w:i w:val="false"/>
            <w:color w:val="000000"/>
            <w:sz w:val="24"/>
          </w:rPr>
          <w:t>567—102.211</w:t>
        </w:r>
      </w:hyperlink>
      <w:r>
        <w:rPr>
          <w:rFonts w:ascii="Times New Roman" w:hAnsi="Times New Roman"/>
          <w:b w:val="false"/>
          <w:i w:val="false"/>
          <w:color w:val="000000"/>
          <w:sz w:val="24"/>
        </w:rPr>
        <w:t>(455B).</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That no area within 15 feet of the proposed landfarm plot has been used as a landfarm in the past three years.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102.206(2)</w:t>
      </w:r>
      <w:r>
        <w:rPr>
          <w:rFonts w:ascii="Times New Roman" w:hAnsi="Times New Roman"/>
          <w:b w:val="false"/>
          <w:i w:val="false"/>
          <w:color w:val="000000"/>
          <w:sz w:val="24"/>
        </w:rPr>
        <w:t> </w:t>
      </w:r>
      <w:r>
        <w:rPr>
          <w:rFonts w:ascii="Times New Roman" w:hAnsi="Times New Roman"/>
          <w:b w:val="false"/>
          <w:i/>
          <w:color w:val="000000"/>
          <w:sz w:val="24"/>
        </w:rPr>
        <w:t xml:space="preserve">Wells. </w:t>
      </w:r>
      <w:r>
        <w:rPr>
          <w:rFonts w:ascii="Times New Roman" w:hAnsi="Times New Roman"/>
          <w:b w:val="false"/>
          <w:i w:val="false"/>
          <w:color w:val="000000"/>
          <w:sz w:val="24"/>
        </w:rPr>
        <w:t>PCS shall not be landfarmed or stored within 500 feet of a well that is being used or could be used for human or livestock consumption. The department may also exempt from this requirement extraction wells utilized as part of a remediation system. PCS shall not be landfarmed or stored within 500 feet of an agricultural drainage well.</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102.206(3)</w:t>
      </w:r>
      <w:r>
        <w:rPr>
          <w:rFonts w:ascii="Times New Roman" w:hAnsi="Times New Roman"/>
          <w:b w:val="false"/>
          <w:i w:val="false"/>
          <w:color w:val="000000"/>
          <w:sz w:val="24"/>
        </w:rPr>
        <w:t> </w:t>
      </w:r>
      <w:r>
        <w:rPr>
          <w:rFonts w:ascii="Times New Roman" w:hAnsi="Times New Roman"/>
          <w:b w:val="false"/>
          <w:i/>
          <w:color w:val="000000"/>
          <w:sz w:val="24"/>
        </w:rPr>
        <w:t xml:space="preserve">Sinkholes. </w:t>
      </w:r>
      <w:r>
        <w:rPr>
          <w:rFonts w:ascii="Times New Roman" w:hAnsi="Times New Roman"/>
          <w:b w:val="false"/>
          <w:i w:val="false"/>
          <w:color w:val="000000"/>
          <w:sz w:val="24"/>
        </w:rPr>
        <w:t>PCS shall not be landfarmed or stored within 500 feet of a sinkhole.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102.206(4)</w:t>
      </w:r>
      <w:r>
        <w:rPr>
          <w:rFonts w:ascii="Times New Roman" w:hAnsi="Times New Roman"/>
          <w:b w:val="false"/>
          <w:i w:val="false"/>
          <w:color w:val="000000"/>
          <w:sz w:val="24"/>
        </w:rPr>
        <w:t> </w:t>
      </w:r>
      <w:r>
        <w:rPr>
          <w:rFonts w:ascii="Times New Roman" w:hAnsi="Times New Roman"/>
          <w:b w:val="false"/>
          <w:i/>
          <w:color w:val="000000"/>
          <w:sz w:val="24"/>
        </w:rPr>
        <w:t xml:space="preserve">Surface waters of the state. </w:t>
      </w:r>
      <w:r>
        <w:rPr>
          <w:rFonts w:ascii="Times New Roman" w:hAnsi="Times New Roman"/>
          <w:b w:val="false"/>
          <w:i w:val="false"/>
          <w:color w:val="000000"/>
          <w:sz w:val="24"/>
        </w:rPr>
        <w:t>PCS shall not be landfarmed or stored within 200 feet of a stream, lake, pond, wetland, or other surface water of the state. The department may waive the setback requirement for surface waters that have been constructed for pollution control purposes.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102.206(5)</w:t>
      </w:r>
      <w:r>
        <w:rPr>
          <w:rFonts w:ascii="Times New Roman" w:hAnsi="Times New Roman"/>
          <w:b w:val="false"/>
          <w:i w:val="false"/>
          <w:color w:val="000000"/>
          <w:sz w:val="24"/>
        </w:rPr>
        <w:t> </w:t>
      </w:r>
      <w:r>
        <w:rPr>
          <w:rFonts w:ascii="Times New Roman" w:hAnsi="Times New Roman"/>
          <w:b w:val="false"/>
          <w:i/>
          <w:color w:val="000000"/>
          <w:sz w:val="24"/>
        </w:rPr>
        <w:t xml:space="preserve">Tile lines. </w:t>
      </w:r>
      <w:r>
        <w:rPr>
          <w:rFonts w:ascii="Times New Roman" w:hAnsi="Times New Roman"/>
          <w:b w:val="false"/>
          <w:i w:val="false"/>
          <w:color w:val="000000"/>
          <w:sz w:val="24"/>
        </w:rPr>
        <w:t>PCS shall not be landfarmed or stored within 200 feet of a tile line surface intake.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102.206(6)</w:t>
      </w:r>
      <w:r>
        <w:rPr>
          <w:rFonts w:ascii="Times New Roman" w:hAnsi="Times New Roman"/>
          <w:b w:val="false"/>
          <w:i w:val="false"/>
          <w:color w:val="000000"/>
          <w:sz w:val="24"/>
        </w:rPr>
        <w:t> </w:t>
      </w:r>
      <w:r>
        <w:rPr>
          <w:rFonts w:ascii="Times New Roman" w:hAnsi="Times New Roman"/>
          <w:b w:val="false"/>
          <w:i/>
          <w:color w:val="000000"/>
          <w:sz w:val="24"/>
        </w:rPr>
        <w:t xml:space="preserve">Housing and sensitive populations. </w:t>
      </w:r>
      <w:r>
        <w:rPr>
          <w:rFonts w:ascii="Times New Roman" w:hAnsi="Times New Roman"/>
          <w:b w:val="false"/>
          <w:i w:val="false"/>
          <w:color w:val="000000"/>
          <w:sz w:val="24"/>
        </w:rPr>
        <w:t>PCS shall not be landfarmed or stored within 200 feet of an occupied residence, recreational area, child care facility, educational facility, or health care facility.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102.206(7)</w:t>
      </w:r>
      <w:r>
        <w:rPr>
          <w:rFonts w:ascii="Times New Roman" w:hAnsi="Times New Roman"/>
          <w:b w:val="false"/>
          <w:i w:val="false"/>
          <w:color w:val="000000"/>
          <w:sz w:val="24"/>
        </w:rPr>
        <w:t> </w:t>
      </w:r>
      <w:r>
        <w:rPr>
          <w:rFonts w:ascii="Times New Roman" w:hAnsi="Times New Roman"/>
          <w:b w:val="false"/>
          <w:i/>
          <w:color w:val="000000"/>
          <w:sz w:val="24"/>
        </w:rPr>
        <w:t xml:space="preserve">Floodplains. </w:t>
      </w:r>
      <w:r>
        <w:rPr>
          <w:rFonts w:ascii="Times New Roman" w:hAnsi="Times New Roman"/>
          <w:b w:val="false"/>
          <w:i w:val="false"/>
          <w:color w:val="000000"/>
          <w:sz w:val="24"/>
        </w:rPr>
        <w:t>PCS shall not be landfarmed or stored within a 100-year floodplain.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102.206(8)</w:t>
      </w:r>
      <w:r>
        <w:rPr>
          <w:rFonts w:ascii="Times New Roman" w:hAnsi="Times New Roman"/>
          <w:b w:val="false"/>
          <w:i w:val="false"/>
          <w:color w:val="000000"/>
          <w:sz w:val="24"/>
        </w:rPr>
        <w:t> </w:t>
      </w:r>
      <w:r>
        <w:rPr>
          <w:rFonts w:ascii="Times New Roman" w:hAnsi="Times New Roman"/>
          <w:b w:val="false"/>
          <w:i/>
          <w:color w:val="000000"/>
          <w:sz w:val="24"/>
        </w:rPr>
        <w:t xml:space="preserve">Slope. </w:t>
      </w:r>
      <w:r>
        <w:rPr>
          <w:rFonts w:ascii="Times New Roman" w:hAnsi="Times New Roman"/>
          <w:b w:val="false"/>
          <w:i w:val="false"/>
          <w:color w:val="000000"/>
          <w:sz w:val="24"/>
        </w:rPr>
        <w:t>PCS shall not be landfarmed or stored on slopes greater than 5 percent. This requirement may be satisfied by utilizing USDA soil maps.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102.206(9)</w:t>
      </w:r>
      <w:r>
        <w:rPr>
          <w:rFonts w:ascii="Times New Roman" w:hAnsi="Times New Roman"/>
          <w:b w:val="false"/>
          <w:i w:val="false"/>
          <w:color w:val="000000"/>
          <w:sz w:val="24"/>
        </w:rPr>
        <w:t> </w:t>
      </w:r>
      <w:r>
        <w:rPr>
          <w:rFonts w:ascii="Times New Roman" w:hAnsi="Times New Roman"/>
          <w:b w:val="false"/>
          <w:i/>
          <w:color w:val="000000"/>
          <w:sz w:val="24"/>
        </w:rPr>
        <w:t xml:space="preserve">Soil properties for landfarm plot. </w:t>
      </w:r>
      <w:r>
        <w:rPr>
          <w:rFonts w:ascii="Times New Roman" w:hAnsi="Times New Roman"/>
          <w:b w:val="false"/>
          <w:i w:val="false"/>
          <w:color w:val="000000"/>
          <w:sz w:val="24"/>
        </w:rPr>
        <w:t>All soils in the landfarm plot of the landfarm shall comply with the following requirements.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USDA textural soil classification. </w:t>
      </w:r>
      <w:r>
        <w:rPr>
          <w:rFonts w:ascii="Times New Roman" w:hAnsi="Times New Roman"/>
          <w:b w:val="false"/>
          <w:i w:val="false"/>
          <w:color w:val="000000"/>
          <w:sz w:val="24"/>
        </w:rPr>
        <w:t>Soils in the landfarm plot of landfarms shall be clay, sandy clay, sandy clay loam, sandy loam, silty clay, silty clay loam, clay loam, loam, or silt loam as classified by the USDA Textural Classification Chart for soils.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Stones and debris. </w:t>
      </w:r>
      <w:r>
        <w:rPr>
          <w:rFonts w:ascii="Times New Roman" w:hAnsi="Times New Roman"/>
          <w:b w:val="false"/>
          <w:i w:val="false"/>
          <w:color w:val="000000"/>
          <w:sz w:val="24"/>
        </w:rPr>
        <w:t>Soils in the landfarm plot shall be free of stones and debris larger than four inches in diameter.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Soil pH. </w:t>
      </w:r>
      <w:r>
        <w:rPr>
          <w:rFonts w:ascii="Times New Roman" w:hAnsi="Times New Roman"/>
          <w:b w:val="false"/>
          <w:i w:val="false"/>
          <w:color w:val="000000"/>
          <w:sz w:val="24"/>
        </w:rPr>
        <w:t>Soils in the landfarm plot shall have a pH greater than or equal to 6 and less than or equal to 9.</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color w:val="000000"/>
          <w:sz w:val="24"/>
        </w:rPr>
        <w:t xml:space="preserve">Bedrock separation. </w:t>
      </w:r>
      <w:r>
        <w:rPr>
          <w:rFonts w:ascii="Times New Roman" w:hAnsi="Times New Roman"/>
          <w:b w:val="false"/>
          <w:i w:val="false"/>
          <w:color w:val="000000"/>
          <w:sz w:val="24"/>
        </w:rPr>
        <w:t>The landfarm plot shall have a minimum of six feet of soil over bedrock.</w:t>
      </w:r>
    </w:p>
    <w:p>
      <w:pPr>
        <w:spacing w:before="210" w:after="0" w:line="480"/>
        <w:ind w:left="120"/>
        <w:jc w:val="both"/>
      </w:pPr>
      <w:r>
        <w:rPr>
          <w:rFonts w:ascii="Times New Roman" w:hAnsi="Times New Roman"/>
          <w:b/>
          <w:i w:val="false"/>
          <w:color w:val="000000"/>
          <w:sz w:val="24"/>
        </w:rPr>
        <w:t>567—102.207</w:t>
      </w:r>
      <w:r>
        <w:rPr>
          <w:rFonts w:ascii="Times New Roman" w:hAnsi="Times New Roman"/>
          <w:b/>
          <w:i w:val="false"/>
          <w:color w:val="000000"/>
          <w:sz w:val="24"/>
        </w:rPr>
        <w:t xml:space="preserve">(455B) </w:t>
      </w:r>
      <w:r>
        <w:rPr>
          <w:rFonts w:ascii="Times New Roman" w:hAnsi="Times New Roman"/>
          <w:b/>
          <w:i w:val="false"/>
          <w:color w:val="000000"/>
          <w:sz w:val="24"/>
        </w:rPr>
        <w:t xml:space="preserve">PCS storage areas. </w:t>
      </w:r>
      <w:r>
        <w:rPr>
          <w:rFonts w:ascii="Times New Roman" w:hAnsi="Times New Roman"/>
          <w:b w:val="false"/>
          <w:i w:val="false"/>
          <w:color w:val="000000"/>
          <w:sz w:val="24"/>
        </w:rPr>
        <w:t>PCS shall be stored on an impervious surface, under a roof of tarp to minimize the infiltration of precipitation, or in an area with minimal potential for stormwater run-on.</w:t>
      </w:r>
    </w:p>
    <w:p>
      <w:pPr>
        <w:spacing w:before="0" w:after="0" w:line="480"/>
        <w:ind w:left="120"/>
        <w:jc w:val="both"/>
      </w:pPr>
      <w:r>
        <w:rPr>
          <w:rFonts w:ascii="Times New Roman" w:hAnsi="Times New Roman"/>
          <w:b/>
          <w:i w:val="false"/>
          <w:color w:val="000000"/>
          <w:sz w:val="24"/>
        </w:rPr>
        <w:t>567—102.208</w:t>
      </w:r>
      <w:r>
        <w:rPr>
          <w:rFonts w:ascii="Times New Roman" w:hAnsi="Times New Roman"/>
          <w:b/>
          <w:i w:val="false"/>
          <w:color w:val="000000"/>
          <w:sz w:val="24"/>
        </w:rPr>
        <w:t xml:space="preserve">(455B) </w:t>
      </w:r>
      <w:r>
        <w:rPr>
          <w:rFonts w:ascii="Times New Roman" w:hAnsi="Times New Roman"/>
          <w:b/>
          <w:i w:val="false"/>
          <w:color w:val="000000"/>
          <w:sz w:val="24"/>
        </w:rPr>
        <w:t xml:space="preserve">Landfarm operating requirements. </w:t>
      </w:r>
      <w:r>
        <w:rPr>
          <w:rFonts w:ascii="Times New Roman" w:hAnsi="Times New Roman"/>
          <w:b w:val="false"/>
          <w:i w:val="false"/>
          <w:color w:val="000000"/>
          <w:sz w:val="24"/>
        </w:rPr>
        <w:t>All landfarms shall comply with the following operating requirements.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102.208(1)</w:t>
      </w:r>
      <w:r>
        <w:rPr>
          <w:rFonts w:ascii="Times New Roman" w:hAnsi="Times New Roman"/>
          <w:b w:val="false"/>
          <w:i w:val="false"/>
          <w:color w:val="000000"/>
          <w:sz w:val="24"/>
        </w:rPr>
        <w:t> </w:t>
      </w:r>
      <w:r>
        <w:rPr>
          <w:rFonts w:ascii="Times New Roman" w:hAnsi="Times New Roman"/>
          <w:b w:val="false"/>
          <w:i/>
          <w:color w:val="000000"/>
          <w:sz w:val="24"/>
        </w:rPr>
        <w:t xml:space="preserve">Standard PCS. </w:t>
      </w:r>
      <w:r>
        <w:rPr>
          <w:rFonts w:ascii="Times New Roman" w:hAnsi="Times New Roman"/>
          <w:b w:val="false"/>
          <w:i w:val="false"/>
          <w:color w:val="000000"/>
          <w:sz w:val="24"/>
        </w:rPr>
        <w:t>Only standard PCS may be land applied or stored at a landfarm without a permit amendment from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102.208(2)</w:t>
      </w:r>
      <w:r>
        <w:rPr>
          <w:rFonts w:ascii="Times New Roman" w:hAnsi="Times New Roman"/>
          <w:b w:val="false"/>
          <w:i w:val="false"/>
          <w:color w:val="000000"/>
          <w:sz w:val="24"/>
        </w:rPr>
        <w:t> </w:t>
      </w:r>
      <w:r>
        <w:rPr>
          <w:rFonts w:ascii="Times New Roman" w:hAnsi="Times New Roman"/>
          <w:b w:val="false"/>
          <w:i/>
          <w:color w:val="000000"/>
          <w:sz w:val="24"/>
        </w:rPr>
        <w:t xml:space="preserve">Nonstandard PCS. </w:t>
      </w:r>
      <w:r>
        <w:rPr>
          <w:rFonts w:ascii="Times New Roman" w:hAnsi="Times New Roman"/>
          <w:b w:val="false"/>
          <w:i w:val="false"/>
          <w:color w:val="000000"/>
          <w:sz w:val="24"/>
        </w:rPr>
        <w:t xml:space="preserve">A permit amendment from the department, pursuant to </w:t>
      </w:r>
      <w:hyperlink r:id="rId100">
        <w:r>
          <w:rPr>
            <w:rStyle w:val="Hyperlink"/>
            <w:rFonts w:ascii="Times New Roman" w:hAnsi="Times New Roman"/>
            <w:b w:val="false"/>
            <w:i w:val="false"/>
            <w:color w:val="000000"/>
            <w:sz w:val="24"/>
          </w:rPr>
          <w:t>567—subrule 100.5(4)</w:t>
        </w:r>
      </w:hyperlink>
      <w:r>
        <w:rPr>
          <w:rFonts w:ascii="Times New Roman" w:hAnsi="Times New Roman"/>
          <w:b w:val="false"/>
          <w:i w:val="false"/>
          <w:color w:val="000000"/>
          <w:sz w:val="24"/>
        </w:rPr>
        <w:t xml:space="preserve"> shall be obtained for each particular source and type of nonstandard PCS before that PCS may be land applied or stored at a landfarm. The permit amendment application shall include a justification of how the PCS can be safely and effectively remediated by landfarming.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102.208(3)</w:t>
      </w:r>
      <w:r>
        <w:rPr>
          <w:rFonts w:ascii="Times New Roman" w:hAnsi="Times New Roman"/>
          <w:b w:val="false"/>
          <w:i w:val="false"/>
          <w:color w:val="000000"/>
          <w:sz w:val="24"/>
        </w:rPr>
        <w:t> </w:t>
      </w:r>
      <w:r>
        <w:rPr>
          <w:rFonts w:ascii="Times New Roman" w:hAnsi="Times New Roman"/>
          <w:b w:val="false"/>
          <w:i/>
          <w:color w:val="000000"/>
          <w:sz w:val="24"/>
        </w:rPr>
        <w:t xml:space="preserve">Saturated or slurry PCS. </w:t>
      </w:r>
      <w:r>
        <w:rPr>
          <w:rFonts w:ascii="Times New Roman" w:hAnsi="Times New Roman"/>
          <w:b w:val="false"/>
          <w:i w:val="false"/>
          <w:color w:val="000000"/>
          <w:sz w:val="24"/>
        </w:rPr>
        <w:t>PCS in a saturated or slurry condition shall not be applied to the land or stored at a landfarm. PCS in such a condition shall be bulked with other biodegradable materials (e.g., compost, mulch) until it is no longer saturated or in a slurry before it is applied to the land or stored at a landfarm.</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102.208(4)</w:t>
      </w:r>
      <w:r>
        <w:rPr>
          <w:rFonts w:ascii="Times New Roman" w:hAnsi="Times New Roman"/>
          <w:b w:val="false"/>
          <w:i w:val="false"/>
          <w:color w:val="000000"/>
          <w:sz w:val="24"/>
        </w:rPr>
        <w:t> </w:t>
      </w:r>
      <w:r>
        <w:rPr>
          <w:rFonts w:ascii="Times New Roman" w:hAnsi="Times New Roman"/>
          <w:b w:val="false"/>
          <w:i/>
          <w:color w:val="000000"/>
          <w:sz w:val="24"/>
        </w:rPr>
        <w:t xml:space="preserve">Storage. </w:t>
      </w:r>
      <w:r>
        <w:rPr>
          <w:rFonts w:ascii="Times New Roman" w:hAnsi="Times New Roman"/>
          <w:b w:val="false"/>
          <w:i w:val="false"/>
          <w:color w:val="000000"/>
          <w:sz w:val="24"/>
        </w:rPr>
        <w:t xml:space="preserve">PCS shall be stored during the non-landfarm season, except as allowed by </w:t>
      </w:r>
      <w:hyperlink r:id="rId101">
        <w:r>
          <w:rPr>
            <w:rStyle w:val="Hyperlink"/>
            <w:rFonts w:ascii="Times New Roman" w:hAnsi="Times New Roman"/>
            <w:b w:val="false"/>
            <w:i w:val="false"/>
            <w:color w:val="000000"/>
            <w:sz w:val="24"/>
          </w:rPr>
          <w:t>102.208(4)</w:t>
        </w:r>
      </w:hyperlink>
      <w:r>
        <w:rPr>
          <w:rFonts w:ascii="Times New Roman" w:hAnsi="Times New Roman"/>
          <w:b w:val="false"/>
          <w:i w:val="false"/>
          <w:color w:val="000000"/>
          <w:sz w:val="24"/>
        </w:rPr>
        <w:t>. PCS may be stored for up to seven days during landfarm season.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102.208(5)</w:t>
      </w:r>
      <w:r>
        <w:rPr>
          <w:rFonts w:ascii="Times New Roman" w:hAnsi="Times New Roman"/>
          <w:b w:val="false"/>
          <w:i w:val="false"/>
          <w:color w:val="000000"/>
          <w:sz w:val="24"/>
        </w:rPr>
        <w:t> </w:t>
      </w:r>
      <w:r>
        <w:rPr>
          <w:rFonts w:ascii="Times New Roman" w:hAnsi="Times New Roman"/>
          <w:b w:val="false"/>
          <w:i/>
          <w:color w:val="000000"/>
          <w:sz w:val="24"/>
        </w:rPr>
        <w:t xml:space="preserve">Non-landfarm season.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PCS shall only be applied to the land during non-landfarm season if the PCS must be applied to the land as part of an emergency cleanup supervised by the department pursuant to </w:t>
      </w:r>
      <w:hyperlink r:id="rId102">
        <w:r>
          <w:rPr>
            <w:rStyle w:val="Hyperlink"/>
            <w:rFonts w:ascii="Times New Roman" w:hAnsi="Times New Roman"/>
            <w:b w:val="false"/>
            <w:i w:val="false"/>
            <w:color w:val="000000"/>
            <w:sz w:val="24"/>
          </w:rPr>
          <w:t>102.205(4)</w:t>
        </w:r>
      </w:hyperlink>
      <w:r>
        <w:rPr>
          <w:rFonts w:ascii="Times New Roman" w:hAnsi="Times New Roman"/>
          <w:b w:val="false"/>
          <w:i w:val="false"/>
          <w:color w:val="000000"/>
          <w:sz w:val="24"/>
        </w:rPr>
        <w:t xml:space="preserve"> or all of the following conditions exist: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landfarm plot is free of snow.</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slope of the landfarm plot is less than 3 percent.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PCS is incorporated into the soil as soon as site conditions allow.</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There is no precipitation.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102.208(6)</w:t>
      </w:r>
      <w:r>
        <w:rPr>
          <w:rFonts w:ascii="Times New Roman" w:hAnsi="Times New Roman"/>
          <w:b w:val="false"/>
          <w:i w:val="false"/>
          <w:color w:val="000000"/>
          <w:sz w:val="24"/>
        </w:rPr>
        <w:t> </w:t>
      </w:r>
      <w:r>
        <w:rPr>
          <w:rFonts w:ascii="Times New Roman" w:hAnsi="Times New Roman"/>
          <w:b w:val="false"/>
          <w:i/>
          <w:color w:val="000000"/>
          <w:sz w:val="24"/>
        </w:rPr>
        <w:t xml:space="preserve">PCS plot requirements. </w:t>
      </w:r>
      <w:r>
        <w:rPr>
          <w:rFonts w:ascii="Times New Roman" w:hAnsi="Times New Roman"/>
          <w:b w:val="false"/>
          <w:i w:val="false"/>
          <w:color w:val="000000"/>
          <w:sz w:val="24"/>
        </w:rPr>
        <w:t>One application of a particular source and type of PCS may be applied to a landfarm plot. A landfarm may only apply a subsequent application of PCS to a previously utilized landfarm plot if such application is in compliance with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The plot has been tested pursuant to </w:t>
      </w:r>
      <w:hyperlink r:id="rId103">
        <w:r>
          <w:rPr>
            <w:rStyle w:val="Hyperlink"/>
            <w:rFonts w:ascii="Times New Roman" w:hAnsi="Times New Roman"/>
            <w:b w:val="false"/>
            <w:i w:val="false"/>
            <w:color w:val="000000"/>
            <w:sz w:val="24"/>
          </w:rPr>
          <w:t>102.205(2)</w:t>
        </w:r>
      </w:hyperlink>
      <w:r>
        <w:rPr>
          <w:rFonts w:ascii="Times New Roman" w:hAnsi="Times New Roman"/>
          <w:b w:val="false"/>
          <w:i/>
          <w:color w:val="000000"/>
          <w:sz w:val="24"/>
        </w:rPr>
        <w:t>“c”</w:t>
      </w:r>
      <w:r>
        <w:rPr>
          <w:rFonts w:ascii="Times New Roman" w:hAnsi="Times New Roman"/>
          <w:b w:val="false"/>
          <w:i w:val="false"/>
          <w:color w:val="000000"/>
          <w:sz w:val="24"/>
        </w:rPr>
        <w:t xml:space="preserve">(1), </w:t>
      </w:r>
      <w:r>
        <w:rPr>
          <w:rFonts w:ascii="Times New Roman" w:hAnsi="Times New Roman"/>
          <w:b w:val="false"/>
          <w:i/>
          <w:color w:val="000000"/>
          <w:sz w:val="24"/>
        </w:rPr>
        <w:t>“c”</w:t>
      </w:r>
      <w:r>
        <w:rPr>
          <w:rFonts w:ascii="Times New Roman" w:hAnsi="Times New Roman"/>
          <w:b w:val="false"/>
          <w:i w:val="false"/>
          <w:color w:val="000000"/>
          <w:sz w:val="24"/>
        </w:rPr>
        <w:t xml:space="preserve">(2), and </w:t>
      </w:r>
      <w:r>
        <w:rPr>
          <w:rFonts w:ascii="Times New Roman" w:hAnsi="Times New Roman"/>
          <w:b w:val="false"/>
          <w:i/>
          <w:color w:val="000000"/>
          <w:sz w:val="24"/>
        </w:rPr>
        <w:t>“c”</w:t>
      </w:r>
      <w:r>
        <w:rPr>
          <w:rFonts w:ascii="Times New Roman" w:hAnsi="Times New Roman"/>
          <w:b w:val="false"/>
          <w:i w:val="false"/>
          <w:color w:val="000000"/>
          <w:sz w:val="24"/>
        </w:rPr>
        <w:t>(3), and the results demonstrate that petroleum constituent concentrations are less than 0.54 mg/kg for benzene, 42 mg/kg for toluene, 15 mg/kg for ethylbenzene, 3800 mg/kg for TEH-diesel, and 0.02 mg/kg for MTBE.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A subsequent application of a particular source and type of PCS may not be applied within 15 feet of an area used as a single-use landfarm until the single-use landfarm is closed pursuant to </w:t>
      </w:r>
      <w:hyperlink r:id="rId104">
        <w:r>
          <w:rPr>
            <w:rStyle w:val="Hyperlink"/>
            <w:rFonts w:ascii="Times New Roman" w:hAnsi="Times New Roman"/>
            <w:b w:val="false"/>
            <w:i w:val="false"/>
            <w:color w:val="000000"/>
            <w:sz w:val="24"/>
          </w:rPr>
          <w:t>102.211(2)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102.208(7)</w:t>
      </w:r>
      <w:r>
        <w:rPr>
          <w:rFonts w:ascii="Times New Roman" w:hAnsi="Times New Roman"/>
          <w:b w:val="false"/>
          <w:i w:val="false"/>
          <w:color w:val="000000"/>
          <w:sz w:val="24"/>
        </w:rPr>
        <w:t> </w:t>
      </w:r>
      <w:r>
        <w:rPr>
          <w:rFonts w:ascii="Times New Roman" w:hAnsi="Times New Roman"/>
          <w:b w:val="false"/>
          <w:i/>
          <w:color w:val="000000"/>
          <w:sz w:val="24"/>
        </w:rPr>
        <w:t xml:space="preserve">PCS application rates. </w:t>
      </w:r>
      <w:r>
        <w:rPr>
          <w:rFonts w:ascii="Times New Roman" w:hAnsi="Times New Roman"/>
          <w:b w:val="false"/>
          <w:i w:val="false"/>
          <w:color w:val="000000"/>
          <w:sz w:val="24"/>
        </w:rPr>
        <w:t xml:space="preserve">PCS shall be land applied at a rate that is as uniform as practical over an area sufficient to satisfy the greater of the following area requirements. However, PCS from an emergency cleanup supervised by the department pursuant to </w:t>
      </w:r>
      <w:hyperlink r:id="rId105">
        <w:r>
          <w:rPr>
            <w:rStyle w:val="Hyperlink"/>
            <w:rFonts w:ascii="Times New Roman" w:hAnsi="Times New Roman"/>
            <w:b w:val="false"/>
            <w:i w:val="false"/>
            <w:color w:val="000000"/>
            <w:sz w:val="24"/>
          </w:rPr>
          <w:t>102.205(4)</w:t>
        </w:r>
      </w:hyperlink>
      <w:r>
        <w:rPr>
          <w:rFonts w:ascii="Times New Roman" w:hAnsi="Times New Roman"/>
          <w:b w:val="false"/>
          <w:i w:val="false"/>
          <w:color w:val="000000"/>
          <w:sz w:val="24"/>
        </w:rPr>
        <w:t xml:space="preserve"> may instead be land applied at a rate of 162 ft</w:t>
      </w:r>
      <w:r>
        <w:rPr>
          <w:rFonts w:ascii="Times New Roman" w:hAnsi="Times New Roman"/>
          <w:b w:val="false"/>
          <w:i w:val="false"/>
          <w:color w:val="000000"/>
          <w:sz w:val="24"/>
          <w:vertAlign w:val="superscript"/>
        </w:rPr>
        <w:t>2</w:t>
      </w:r>
      <w:r>
        <w:rPr>
          <w:rFonts w:ascii="Times New Roman" w:hAnsi="Times New Roman"/>
          <w:b w:val="false"/>
          <w:i w:val="false"/>
          <w:color w:val="000000"/>
          <w:sz w:val="24"/>
        </w:rPr>
        <w:t xml:space="preserve"> of landfarm area per cubic yard (yd</w:t>
      </w:r>
      <w:r>
        <w:rPr>
          <w:rFonts w:ascii="Times New Roman" w:hAnsi="Times New Roman"/>
          <w:b w:val="false"/>
          <w:i w:val="false"/>
          <w:color w:val="000000"/>
          <w:sz w:val="24"/>
          <w:vertAlign w:val="superscript"/>
        </w:rPr>
        <w:t>3</w:t>
      </w:r>
      <w:r>
        <w:rPr>
          <w:rFonts w:ascii="Times New Roman" w:hAnsi="Times New Roman"/>
          <w:b w:val="false"/>
          <w:i w:val="false"/>
          <w:color w:val="000000"/>
          <w:sz w:val="24"/>
        </w:rPr>
        <w:t>) of PCS, that is as uniform as practical, and in which no layer of unincorporated PCS is thicker than two inches.</w:t>
      </w:r>
    </w:p>
    <w:p>
      <w:pPr>
        <w:spacing w:before="0" w:after="0" w:line="480"/>
        <w:ind w:left="120"/>
        <w:jc w:val="both"/>
      </w:pP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Petroleum constituents. </w:t>
      </w:r>
      <w:r>
        <w:rPr>
          <w:rFonts w:ascii="Times New Roman" w:hAnsi="Times New Roman"/>
          <w:b w:val="false"/>
          <w:i w:val="false"/>
          <w:color w:val="000000"/>
          <w:sz w:val="24"/>
        </w:rPr>
        <w:t>PCS shall be land applied over the largest area required by the following:</w:t>
      </w:r>
    </w:p>
    <w:p>
      <w:pPr>
        <w:spacing w:before="0" w:after="0" w:line="480"/>
        <w:ind w:left="120"/>
        <w:jc w:val="both"/>
      </w:pP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PCS contaminated with benzene shall be land applied in accordance with Table 1. The average concentration of benzene in the PCS shall be used to determine the landfarm area (ft</w:t>
      </w:r>
      <w:r>
        <w:rPr>
          <w:rFonts w:ascii="Times New Roman" w:hAnsi="Times New Roman"/>
          <w:b w:val="false"/>
          <w:i w:val="false"/>
          <w:color w:val="000000"/>
          <w:sz w:val="24"/>
          <w:vertAlign w:val="superscript"/>
        </w:rPr>
        <w:t>2</w:t>
      </w:r>
      <w:r>
        <w:rPr>
          <w:rFonts w:ascii="Times New Roman" w:hAnsi="Times New Roman"/>
          <w:b w:val="false"/>
          <w:i w:val="false"/>
          <w:color w:val="000000"/>
          <w:sz w:val="24"/>
        </w:rPr>
        <w:t>) required per cubic yard (yd</w:t>
      </w:r>
      <w:r>
        <w:rPr>
          <w:rFonts w:ascii="Times New Roman" w:hAnsi="Times New Roman"/>
          <w:b w:val="false"/>
          <w:i w:val="false"/>
          <w:color w:val="000000"/>
          <w:sz w:val="24"/>
          <w:vertAlign w:val="superscript"/>
        </w:rPr>
        <w:t>3</w:t>
      </w:r>
      <w:r>
        <w:rPr>
          <w:rFonts w:ascii="Times New Roman" w:hAnsi="Times New Roman"/>
          <w:b w:val="false"/>
          <w:i w:val="false"/>
          <w:color w:val="000000"/>
          <w:sz w:val="24"/>
        </w:rPr>
        <w:t>) of PCS to be land applied. The average concentration of benzene shall be calculated from all soil boring test results that are within the PCS excavation area. The application shall be as uniform as practical over the area required.</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2814"/>
        <w:gridCol w:w="2046"/>
        <w:gridCol w:w="2046"/>
        <w:gridCol w:w="2046"/>
      </w:tblGrid>
      <w:tr>
        <w:trPr>
          <w:trHeight w:val="255" w:hRule="atLeast"/>
        </w:trPr>
        <w:tc>
          <w:tcPr>
            <w:tcW w:w="0" w:type="auto"/>
            <w:gridSpan w:val="4"/>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Table 1</w:t>
            </w:r>
          </w:p>
        </w:tc>
      </w:tr>
      <w:tr>
        <w:trPr>
          <w:trHeight w:val="270" w:hRule="atLeast"/>
        </w:trPr>
        <w:tc>
          <w:tcPr>
            <w:tcW w:w="281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0&lt; mg/kg ≤10</w:t>
            </w:r>
          </w:p>
        </w:tc>
        <w:tc>
          <w:tcPr>
            <w:tcW w:w="204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81 ft</w:t>
            </w:r>
            <w:r>
              <w:rPr>
                <w:rFonts w:ascii="Times New Roman" w:hAnsi="Times New Roman"/>
                <w:b w:val="false"/>
                <w:i w:val="false"/>
                <w:color w:val="000000"/>
                <w:sz w:val="14"/>
                <w:vertAlign w:val="superscript"/>
              </w:rPr>
              <w:t>2</w:t>
            </w:r>
          </w:p>
        </w:tc>
        <w:tc>
          <w:tcPr>
            <w:tcW w:w="204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4 inches</w:t>
            </w:r>
          </w:p>
        </w:tc>
        <w:tc>
          <w:tcPr>
            <w:tcW w:w="204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537 yd</w:t>
            </w:r>
            <w:r>
              <w:rPr>
                <w:rFonts w:ascii="Times New Roman" w:hAnsi="Times New Roman"/>
                <w:b w:val="false"/>
                <w:i w:val="false"/>
                <w:color w:val="000000"/>
                <w:sz w:val="14"/>
                <w:vertAlign w:val="superscript"/>
              </w:rPr>
              <w:t>3</w:t>
            </w:r>
          </w:p>
        </w:tc>
      </w:tr>
      <w:tr>
        <w:trPr>
          <w:trHeight w:val="270" w:hRule="atLeast"/>
        </w:trPr>
        <w:tc>
          <w:tcPr>
            <w:tcW w:w="281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10&lt; mg/kg ≤20</w:t>
            </w:r>
          </w:p>
        </w:tc>
        <w:tc>
          <w:tcPr>
            <w:tcW w:w="204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162 ft</w:t>
            </w:r>
            <w:r>
              <w:rPr>
                <w:rFonts w:ascii="Times New Roman" w:hAnsi="Times New Roman"/>
                <w:b w:val="false"/>
                <w:i w:val="false"/>
                <w:color w:val="000000"/>
                <w:sz w:val="14"/>
                <w:vertAlign w:val="superscript"/>
              </w:rPr>
              <w:t>2</w:t>
            </w:r>
          </w:p>
        </w:tc>
        <w:tc>
          <w:tcPr>
            <w:tcW w:w="204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2 inches</w:t>
            </w:r>
          </w:p>
        </w:tc>
        <w:tc>
          <w:tcPr>
            <w:tcW w:w="204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268 yd</w:t>
            </w:r>
            <w:r>
              <w:rPr>
                <w:rFonts w:ascii="Times New Roman" w:hAnsi="Times New Roman"/>
                <w:b w:val="false"/>
                <w:i w:val="false"/>
                <w:color w:val="000000"/>
                <w:sz w:val="14"/>
                <w:vertAlign w:val="superscript"/>
              </w:rPr>
              <w:t>3</w:t>
            </w:r>
          </w:p>
        </w:tc>
      </w:tr>
      <w:tr>
        <w:trPr>
          <w:trHeight w:val="270" w:hRule="atLeast"/>
        </w:trPr>
        <w:tc>
          <w:tcPr>
            <w:tcW w:w="281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20&lt; mg/kg</w:t>
            </w:r>
          </w:p>
        </w:tc>
        <w:tc>
          <w:tcPr>
            <w:tcW w:w="204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324 ft</w:t>
            </w:r>
            <w:r>
              <w:rPr>
                <w:rFonts w:ascii="Times New Roman" w:hAnsi="Times New Roman"/>
                <w:b w:val="false"/>
                <w:i w:val="false"/>
                <w:color w:val="000000"/>
                <w:sz w:val="14"/>
                <w:vertAlign w:val="superscript"/>
              </w:rPr>
              <w:t>2</w:t>
            </w:r>
          </w:p>
        </w:tc>
        <w:tc>
          <w:tcPr>
            <w:tcW w:w="204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 inch</w:t>
            </w:r>
          </w:p>
        </w:tc>
        <w:tc>
          <w:tcPr>
            <w:tcW w:w="204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134 yd</w:t>
            </w:r>
            <w:r>
              <w:rPr>
                <w:rFonts w:ascii="Times New Roman" w:hAnsi="Times New Roman"/>
                <w:b w:val="false"/>
                <w:i w:val="false"/>
                <w:color w:val="000000"/>
                <w:sz w:val="14"/>
                <w:vertAlign w:val="superscript"/>
              </w:rPr>
              <w:t>3</w:t>
            </w:r>
          </w:p>
        </w:tc>
      </w:tr>
    </w:tbl>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PCS that is not contaminated with benzene or MTBE, but is contaminated with toluene, ethylbenzene, xylene, TEH-diesel, or some combination thereof, shall be land applied at a rate of 81 ft</w:t>
      </w:r>
      <w:r>
        <w:rPr>
          <w:rFonts w:ascii="Times New Roman" w:hAnsi="Times New Roman"/>
          <w:b w:val="false"/>
          <w:i w:val="false"/>
          <w:color w:val="000000"/>
          <w:sz w:val="24"/>
          <w:vertAlign w:val="superscript"/>
        </w:rPr>
        <w:t>2</w:t>
      </w:r>
      <w:r>
        <w:rPr>
          <w:rFonts w:ascii="Times New Roman" w:hAnsi="Times New Roman"/>
          <w:b w:val="false"/>
          <w:i w:val="false"/>
          <w:color w:val="000000"/>
          <w:sz w:val="24"/>
        </w:rPr>
        <w:t xml:space="preserve"> of landfarm area per cubic yard (yd</w:t>
      </w:r>
      <w:r>
        <w:rPr>
          <w:rFonts w:ascii="Times New Roman" w:hAnsi="Times New Roman"/>
          <w:b w:val="false"/>
          <w:i w:val="false"/>
          <w:color w:val="000000"/>
          <w:sz w:val="24"/>
          <w:vertAlign w:val="superscript"/>
        </w:rPr>
        <w:t>3</w:t>
      </w:r>
      <w:r>
        <w:rPr>
          <w:rFonts w:ascii="Times New Roman" w:hAnsi="Times New Roman"/>
          <w:b w:val="false"/>
          <w:i w:val="false"/>
          <w:color w:val="000000"/>
          <w:sz w:val="24"/>
        </w:rPr>
        <w:t>) of PCS. The application shall be as uniform as practical, and no layer of unincorporated PCS shall be thicker than four inches.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Total RCRA metals. </w:t>
      </w:r>
      <w:r>
        <w:rPr>
          <w:rFonts w:ascii="Times New Roman" w:hAnsi="Times New Roman"/>
          <w:b w:val="false"/>
          <w:i w:val="false"/>
          <w:color w:val="000000"/>
          <w:sz w:val="24"/>
        </w:rPr>
        <w:t xml:space="preserve">PCS that has been tested for heavy metals pursuant to </w:t>
      </w:r>
      <w:hyperlink r:id="rId106">
        <w:r>
          <w:rPr>
            <w:rStyle w:val="Hyperlink"/>
            <w:rFonts w:ascii="Times New Roman" w:hAnsi="Times New Roman"/>
            <w:b w:val="false"/>
            <w:i w:val="false"/>
            <w:color w:val="000000"/>
            <w:sz w:val="24"/>
          </w:rPr>
          <w:t>102.205(1)</w:t>
        </w:r>
      </w:hyperlink>
      <w:r>
        <w:rPr>
          <w:rFonts w:ascii="Times New Roman" w:hAnsi="Times New Roman"/>
          <w:b w:val="false"/>
          <w:i/>
          <w:color w:val="000000"/>
          <w:sz w:val="24"/>
        </w:rPr>
        <w:t>“c”</w:t>
      </w:r>
      <w:r>
        <w:rPr>
          <w:rFonts w:ascii="Times New Roman" w:hAnsi="Times New Roman"/>
          <w:b w:val="false"/>
          <w:i w:val="false"/>
          <w:color w:val="000000"/>
          <w:sz w:val="24"/>
        </w:rPr>
        <w:t>(3) shall be applied at a rate that is as uniform as practical, that results in no layer of PCS thicker than four inches, and that upon incorporation produces a landfarm soil that satisfies the following requirements. This analysis requires prior testing of background levels of RCRA metals at the proposed landfarm site.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Total RCRA metals are less than 2,500 milligrams per kilogram (mg/kg).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Any particular concentration of a RCRA metal is less than the appropriate statewide standard for soil developed pursuant to </w:t>
      </w:r>
      <w:hyperlink r:id="rId107">
        <w:r>
          <w:rPr>
            <w:rStyle w:val="Hyperlink"/>
            <w:rFonts w:ascii="Times New Roman" w:hAnsi="Times New Roman"/>
            <w:b w:val="false"/>
            <w:i w:val="false"/>
            <w:color w:val="000000"/>
            <w:sz w:val="24"/>
          </w:rPr>
          <w:t>567—Chapter 105</w:t>
        </w:r>
      </w:hyperlink>
      <w:r>
        <w:rPr>
          <w:rFonts w:ascii="Times New Roman" w:hAnsi="Times New Roman"/>
          <w:b w:val="false"/>
          <w:i w:val="false"/>
          <w:color w:val="000000"/>
          <w:sz w:val="24"/>
        </w:rPr>
        <w:t>, Division III.</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102.208(8)</w:t>
      </w:r>
      <w:r>
        <w:rPr>
          <w:rFonts w:ascii="Times New Roman" w:hAnsi="Times New Roman"/>
          <w:b w:val="false"/>
          <w:i w:val="false"/>
          <w:color w:val="000000"/>
          <w:sz w:val="24"/>
        </w:rPr>
        <w:t> </w:t>
      </w:r>
      <w:r>
        <w:rPr>
          <w:rFonts w:ascii="Times New Roman" w:hAnsi="Times New Roman"/>
          <w:b w:val="false"/>
          <w:i/>
          <w:color w:val="000000"/>
          <w:sz w:val="24"/>
        </w:rPr>
        <w:t xml:space="preserve">Flagging. </w:t>
      </w:r>
      <w:r>
        <w:rPr>
          <w:rFonts w:ascii="Times New Roman" w:hAnsi="Times New Roman"/>
          <w:b w:val="false"/>
          <w:i w:val="false"/>
          <w:color w:val="000000"/>
          <w:sz w:val="24"/>
        </w:rPr>
        <w:t xml:space="preserve">The landfarm plot(s) upon which PCS is land applied shall be delineated with flags for one year after land application or until the landfarm is closed pursuant to </w:t>
      </w:r>
      <w:hyperlink r:id="rId108">
        <w:r>
          <w:rPr>
            <w:rStyle w:val="Hyperlink"/>
            <w:rFonts w:ascii="Times New Roman" w:hAnsi="Times New Roman"/>
            <w:b w:val="false"/>
            <w:i w:val="false"/>
            <w:color w:val="000000"/>
            <w:sz w:val="24"/>
          </w:rPr>
          <w:t>567—102.211</w:t>
        </w:r>
      </w:hyperlink>
      <w:r>
        <w:rPr>
          <w:rFonts w:ascii="Times New Roman" w:hAnsi="Times New Roman"/>
          <w:b w:val="false"/>
          <w:i w:val="false"/>
          <w:color w:val="000000"/>
          <w:sz w:val="24"/>
        </w:rPr>
        <w:t>(455B), whichever is shorter.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102.208(9)</w:t>
      </w:r>
      <w:r>
        <w:rPr>
          <w:rFonts w:ascii="Times New Roman" w:hAnsi="Times New Roman"/>
          <w:b w:val="false"/>
          <w:i w:val="false"/>
          <w:color w:val="000000"/>
          <w:sz w:val="24"/>
        </w:rPr>
        <w:t> </w:t>
      </w:r>
      <w:r>
        <w:rPr>
          <w:rFonts w:ascii="Times New Roman" w:hAnsi="Times New Roman"/>
          <w:b w:val="false"/>
          <w:i/>
          <w:color w:val="000000"/>
          <w:sz w:val="24"/>
        </w:rPr>
        <w:t xml:space="preserve">Removal of solid waste and rubble. </w:t>
      </w:r>
      <w:r>
        <w:rPr>
          <w:rFonts w:ascii="Times New Roman" w:hAnsi="Times New Roman"/>
          <w:b w:val="false"/>
          <w:i w:val="false"/>
          <w:color w:val="000000"/>
          <w:sz w:val="24"/>
        </w:rPr>
        <w:t>All solid waste that is not PCS shall be removed and properly disposed of prior to the landfarming of PCS. All rubble, stones, and debris larger than four inches in diameter, or that interfere with incorporating and turning the PCS, shall also be removed and properly disposed of.</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102.208(10)</w:t>
      </w:r>
      <w:r>
        <w:rPr>
          <w:rFonts w:ascii="Times New Roman" w:hAnsi="Times New Roman"/>
          <w:b w:val="false"/>
          <w:i w:val="false"/>
          <w:color w:val="000000"/>
          <w:sz w:val="24"/>
        </w:rPr>
        <w:t> </w:t>
      </w:r>
      <w:r>
        <w:rPr>
          <w:rFonts w:ascii="Times New Roman" w:hAnsi="Times New Roman"/>
          <w:b w:val="false"/>
          <w:i/>
          <w:color w:val="000000"/>
          <w:sz w:val="24"/>
        </w:rPr>
        <w:t xml:space="preserve">PCS incorporation. </w:t>
      </w:r>
      <w:r>
        <w:rPr>
          <w:rFonts w:ascii="Times New Roman" w:hAnsi="Times New Roman"/>
          <w:b w:val="false"/>
          <w:i w:val="false"/>
          <w:color w:val="000000"/>
          <w:sz w:val="24"/>
        </w:rPr>
        <w:t>PCS shall be incorporated into the soil by tilling, disking, or other suitable means within 48 hours of being land applied or before the next precipitation event, whichever is sooner. PCS shall not be incorporated deeper than 12 inches.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102.208(11)</w:t>
      </w:r>
      <w:r>
        <w:rPr>
          <w:rFonts w:ascii="Times New Roman" w:hAnsi="Times New Roman"/>
          <w:b w:val="false"/>
          <w:i w:val="false"/>
          <w:color w:val="000000"/>
          <w:sz w:val="24"/>
        </w:rPr>
        <w:t> </w:t>
      </w:r>
      <w:r>
        <w:rPr>
          <w:rFonts w:ascii="Times New Roman" w:hAnsi="Times New Roman"/>
          <w:b w:val="false"/>
          <w:i/>
          <w:color w:val="000000"/>
          <w:sz w:val="24"/>
        </w:rPr>
        <w:t xml:space="preserve">Turning the PCS. </w:t>
      </w:r>
      <w:r>
        <w:rPr>
          <w:rFonts w:ascii="Times New Roman" w:hAnsi="Times New Roman"/>
          <w:b w:val="false"/>
          <w:i w:val="false"/>
          <w:color w:val="000000"/>
          <w:sz w:val="24"/>
        </w:rPr>
        <w:t>After incorporation, the PCS shall be turned by tilling, disking, or other suitable means at least once per month for the first three months during landfarm season.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102.208(12)</w:t>
      </w:r>
      <w:r>
        <w:rPr>
          <w:rFonts w:ascii="Times New Roman" w:hAnsi="Times New Roman"/>
          <w:b w:val="false"/>
          <w:i w:val="false"/>
          <w:color w:val="000000"/>
          <w:sz w:val="24"/>
        </w:rPr>
        <w:t> </w:t>
      </w:r>
      <w:r>
        <w:rPr>
          <w:rFonts w:ascii="Times New Roman" w:hAnsi="Times New Roman"/>
          <w:b w:val="false"/>
          <w:i/>
          <w:color w:val="000000"/>
          <w:sz w:val="24"/>
        </w:rPr>
        <w:t xml:space="preserve">No crops for consumption. </w:t>
      </w:r>
      <w:r>
        <w:rPr>
          <w:rFonts w:ascii="Times New Roman" w:hAnsi="Times New Roman"/>
          <w:b w:val="false"/>
          <w:i w:val="false"/>
          <w:color w:val="000000"/>
          <w:sz w:val="24"/>
        </w:rPr>
        <w:t xml:space="preserve">Landfarms shall not grow crops within 15 feet of a landfarm plot that is flagged pursuant to </w:t>
      </w:r>
      <w:hyperlink r:id="rId109">
        <w:r>
          <w:rPr>
            <w:rStyle w:val="Hyperlink"/>
            <w:rFonts w:ascii="Times New Roman" w:hAnsi="Times New Roman"/>
            <w:b w:val="false"/>
            <w:i w:val="false"/>
            <w:color w:val="000000"/>
            <w:sz w:val="24"/>
          </w:rPr>
          <w:t>102.208(7)</w:t>
        </w:r>
      </w:hyperlink>
      <w:r>
        <w:rPr>
          <w:rFonts w:ascii="Times New Roman" w:hAnsi="Times New Roman"/>
          <w:b w:val="false"/>
          <w:i w:val="false"/>
          <w:color w:val="000000"/>
          <w:sz w:val="24"/>
        </w:rPr>
        <w:t xml:space="preserve">. Crops for human and livestock consumption may be grown at a single-use landfarm after the landfarm plot is no longer required to be flagged pursuant to </w:t>
      </w:r>
      <w:hyperlink r:id="rId110">
        <w:r>
          <w:rPr>
            <w:rStyle w:val="Hyperlink"/>
            <w:rFonts w:ascii="Times New Roman" w:hAnsi="Times New Roman"/>
            <w:b w:val="false"/>
            <w:i w:val="false"/>
            <w:color w:val="000000"/>
            <w:sz w:val="24"/>
          </w:rPr>
          <w:t>102.208(7)</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102.208(13)</w:t>
      </w:r>
      <w:r>
        <w:rPr>
          <w:rFonts w:ascii="Times New Roman" w:hAnsi="Times New Roman"/>
          <w:b w:val="false"/>
          <w:i w:val="false"/>
          <w:color w:val="000000"/>
          <w:sz w:val="24"/>
        </w:rPr>
        <w:t> </w:t>
      </w:r>
      <w:r>
        <w:rPr>
          <w:rFonts w:ascii="Times New Roman" w:hAnsi="Times New Roman"/>
          <w:b w:val="false"/>
          <w:i/>
          <w:color w:val="000000"/>
          <w:sz w:val="24"/>
        </w:rPr>
        <w:t xml:space="preserve">Removal of PCS from a landfarm. </w:t>
      </w:r>
      <w:r>
        <w:rPr>
          <w:rFonts w:ascii="Times New Roman" w:hAnsi="Times New Roman"/>
          <w:b w:val="false"/>
          <w:i w:val="false"/>
          <w:color w:val="000000"/>
          <w:sz w:val="24"/>
        </w:rPr>
        <w:t xml:space="preserve">PCS shall not be removed from a landfarm until the landfarm is closed pursuant to </w:t>
      </w:r>
      <w:hyperlink r:id="rId111">
        <w:r>
          <w:rPr>
            <w:rStyle w:val="Hyperlink"/>
            <w:rFonts w:ascii="Times New Roman" w:hAnsi="Times New Roman"/>
            <w:b w:val="false"/>
            <w:i w:val="false"/>
            <w:color w:val="000000"/>
            <w:sz w:val="24"/>
          </w:rPr>
          <w:t>567—102.211</w:t>
        </w:r>
      </w:hyperlink>
      <w:r>
        <w:rPr>
          <w:rFonts w:ascii="Times New Roman" w:hAnsi="Times New Roman"/>
          <w:b w:val="false"/>
          <w:i w:val="false"/>
          <w:color w:val="000000"/>
          <w:sz w:val="24"/>
        </w:rPr>
        <w:t>(455B) or the following conditions are met: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One sample from each 2,500 ft</w:t>
      </w:r>
      <w:r>
        <w:rPr>
          <w:rFonts w:ascii="Times New Roman" w:hAnsi="Times New Roman"/>
          <w:b w:val="false"/>
          <w:i w:val="false"/>
          <w:color w:val="000000"/>
          <w:sz w:val="24"/>
          <w:vertAlign w:val="superscript"/>
        </w:rPr>
        <w:t>2</w:t>
      </w:r>
      <w:r>
        <w:rPr>
          <w:rFonts w:ascii="Times New Roman" w:hAnsi="Times New Roman"/>
          <w:b w:val="false"/>
          <w:i w:val="false"/>
          <w:color w:val="000000"/>
          <w:sz w:val="24"/>
        </w:rPr>
        <w:t xml:space="preserve"> (e.g., 50-foot × 50-foot area) of landfarm plot is analyzed pursuant to </w:t>
      </w:r>
      <w:hyperlink r:id="rId112">
        <w:r>
          <w:rPr>
            <w:rStyle w:val="Hyperlink"/>
            <w:rFonts w:ascii="Times New Roman" w:hAnsi="Times New Roman"/>
            <w:b w:val="false"/>
            <w:i w:val="false"/>
            <w:color w:val="000000"/>
            <w:sz w:val="24"/>
          </w:rPr>
          <w:t>102.205(2)</w:t>
        </w:r>
      </w:hyperlink>
      <w:r>
        <w:rPr>
          <w:rFonts w:ascii="Times New Roman" w:hAnsi="Times New Roman"/>
          <w:b w:val="false"/>
          <w:i/>
          <w:color w:val="000000"/>
          <w:sz w:val="24"/>
        </w:rPr>
        <w:t>“c”</w:t>
      </w:r>
      <w:r>
        <w:rPr>
          <w:rFonts w:ascii="Times New Roman" w:hAnsi="Times New Roman"/>
          <w:b w:val="false"/>
          <w:i w:val="false"/>
          <w:color w:val="000000"/>
          <w:sz w:val="24"/>
        </w:rPr>
        <w:t xml:space="preserve">(1), </w:t>
      </w:r>
      <w:r>
        <w:rPr>
          <w:rFonts w:ascii="Times New Roman" w:hAnsi="Times New Roman"/>
          <w:b w:val="false"/>
          <w:i/>
          <w:color w:val="000000"/>
          <w:sz w:val="24"/>
        </w:rPr>
        <w:t>“c”</w:t>
      </w:r>
      <w:r>
        <w:rPr>
          <w:rFonts w:ascii="Times New Roman" w:hAnsi="Times New Roman"/>
          <w:b w:val="false"/>
          <w:i w:val="false"/>
          <w:color w:val="000000"/>
          <w:sz w:val="24"/>
        </w:rPr>
        <w:t xml:space="preserve">(2), and </w:t>
      </w:r>
      <w:r>
        <w:rPr>
          <w:rFonts w:ascii="Times New Roman" w:hAnsi="Times New Roman"/>
          <w:b w:val="false"/>
          <w:i/>
          <w:color w:val="000000"/>
          <w:sz w:val="24"/>
        </w:rPr>
        <w:t>“c”</w:t>
      </w:r>
      <w:r>
        <w:rPr>
          <w:rFonts w:ascii="Times New Roman" w:hAnsi="Times New Roman"/>
          <w:b w:val="false"/>
          <w:i w:val="false"/>
          <w:color w:val="000000"/>
          <w:sz w:val="24"/>
        </w:rPr>
        <w:t>(3). A minimum of one sample per landfarm plot shall be obtained. All samples shall be obtained from between the top two to six inches of soil.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The results of the tests in </w:t>
      </w:r>
      <w:hyperlink r:id="rId113">
        <w:r>
          <w:rPr>
            <w:rStyle w:val="Hyperlink"/>
            <w:rFonts w:ascii="Times New Roman" w:hAnsi="Times New Roman"/>
            <w:b w:val="false"/>
            <w:i w:val="false"/>
            <w:color w:val="000000"/>
            <w:sz w:val="24"/>
          </w:rPr>
          <w:t>102.211(2)</w:t>
        </w:r>
      </w:hyperlink>
      <w:r>
        <w:rPr>
          <w:rFonts w:ascii="Times New Roman" w:hAnsi="Times New Roman"/>
          <w:b w:val="false"/>
          <w:i/>
          <w:color w:val="000000"/>
          <w:sz w:val="24"/>
        </w:rPr>
        <w:t>“a”</w:t>
      </w:r>
      <w:r>
        <w:rPr>
          <w:rFonts w:ascii="Times New Roman" w:hAnsi="Times New Roman"/>
          <w:b w:val="false"/>
          <w:i w:val="false"/>
          <w:color w:val="000000"/>
          <w:sz w:val="24"/>
        </w:rPr>
        <w:t xml:space="preserve"> demonstrate that petroleum constituent concentrations for benzene, toluene, ethylbenzene, TEH-diesel, and MTBE are below the detection limits required by </w:t>
      </w:r>
      <w:hyperlink r:id="rId114">
        <w:r>
          <w:rPr>
            <w:rStyle w:val="Hyperlink"/>
            <w:rFonts w:ascii="Times New Roman" w:hAnsi="Times New Roman"/>
            <w:b w:val="false"/>
            <w:i w:val="false"/>
            <w:color w:val="000000"/>
            <w:sz w:val="24"/>
          </w:rPr>
          <w:t>567—Chapter 135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Records of the lab results, amount of PCS removed, and the exact final location of the PCS shall be maintained by the landfarm.</w:t>
      </w:r>
    </w:p>
    <w:p>
      <w:pPr>
        <w:spacing w:before="0" w:after="0" w:line="480"/>
        <w:ind w:left="120"/>
        <w:jc w:val="both"/>
      </w:pPr>
      <w:r>
        <w:rPr>
          <w:rFonts w:ascii="Times New Roman" w:hAnsi="Times New Roman"/>
          <w:b/>
          <w:i w:val="false"/>
          <w:color w:val="000000"/>
          <w:sz w:val="24"/>
        </w:rPr>
        <w:t>567—102.209</w:t>
      </w:r>
      <w:r>
        <w:rPr>
          <w:rFonts w:ascii="Times New Roman" w:hAnsi="Times New Roman"/>
          <w:b/>
          <w:i w:val="false"/>
          <w:color w:val="000000"/>
          <w:sz w:val="24"/>
        </w:rPr>
        <w:t xml:space="preserve">(455B) </w:t>
      </w:r>
      <w:r>
        <w:rPr>
          <w:rFonts w:ascii="Times New Roman" w:hAnsi="Times New Roman"/>
          <w:b/>
          <w:i w:val="false"/>
          <w:color w:val="000000"/>
          <w:sz w:val="24"/>
        </w:rPr>
        <w:t xml:space="preserve">Emergency response and remedial action plans.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102.209(1)</w:t>
      </w:r>
      <w:r>
        <w:rPr>
          <w:rFonts w:ascii="Times New Roman" w:hAnsi="Times New Roman"/>
          <w:b w:val="false"/>
          <w:i w:val="false"/>
          <w:color w:val="000000"/>
          <w:sz w:val="24"/>
        </w:rPr>
        <w:t> </w:t>
      </w:r>
      <w:r>
        <w:rPr>
          <w:rFonts w:ascii="Times New Roman" w:hAnsi="Times New Roman"/>
          <w:b w:val="false"/>
          <w:i/>
          <w:color w:val="000000"/>
          <w:sz w:val="24"/>
        </w:rPr>
        <w:t xml:space="preserve">ERRAP. </w:t>
      </w:r>
      <w:r>
        <w:rPr>
          <w:rFonts w:ascii="Times New Roman" w:hAnsi="Times New Roman"/>
          <w:b w:val="false"/>
          <w:i w:val="false"/>
          <w:color w:val="000000"/>
          <w:sz w:val="24"/>
        </w:rPr>
        <w:t xml:space="preserve">An ERRAP as described in </w:t>
      </w:r>
      <w:hyperlink r:id="rId115">
        <w:r>
          <w:rPr>
            <w:rStyle w:val="Hyperlink"/>
            <w:rFonts w:ascii="Times New Roman" w:hAnsi="Times New Roman"/>
            <w:b w:val="false"/>
            <w:i w:val="false"/>
            <w:color w:val="000000"/>
            <w:sz w:val="24"/>
          </w:rPr>
          <w:t>567—100.14</w:t>
        </w:r>
      </w:hyperlink>
      <w:r>
        <w:rPr>
          <w:rFonts w:ascii="Times New Roman" w:hAnsi="Times New Roman"/>
          <w:b w:val="false"/>
          <w:i w:val="false"/>
          <w:color w:val="000000"/>
          <w:sz w:val="24"/>
        </w:rPr>
        <w:t>(455B) shall be maintained as part of the landfarming application permit.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102.209(2)</w:t>
      </w:r>
      <w:r>
        <w:rPr>
          <w:rFonts w:ascii="Times New Roman" w:hAnsi="Times New Roman"/>
          <w:b w:val="false"/>
          <w:i w:val="false"/>
          <w:color w:val="000000"/>
          <w:sz w:val="24"/>
        </w:rPr>
        <w:t> </w:t>
      </w:r>
      <w:r>
        <w:rPr>
          <w:rFonts w:ascii="Times New Roman" w:hAnsi="Times New Roman"/>
          <w:b w:val="false"/>
          <w:i/>
          <w:color w:val="000000"/>
          <w:sz w:val="24"/>
        </w:rPr>
        <w:t xml:space="preserve">Access. </w:t>
      </w:r>
      <w:r>
        <w:rPr>
          <w:rFonts w:ascii="Times New Roman" w:hAnsi="Times New Roman"/>
          <w:b w:val="false"/>
          <w:i w:val="false"/>
          <w:color w:val="000000"/>
          <w:sz w:val="24"/>
        </w:rPr>
        <w:t>ERRAP documents shall be readily available. Landfarm applicators shall ensure that employees have either physical or digital access to the ERRAP document when conducting landfarm operations.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102.209(3)</w:t>
      </w:r>
      <w:r>
        <w:rPr>
          <w:rFonts w:ascii="Times New Roman" w:hAnsi="Times New Roman"/>
          <w:b w:val="false"/>
          <w:i w:val="false"/>
          <w:color w:val="000000"/>
          <w:sz w:val="24"/>
        </w:rPr>
        <w:t> </w:t>
      </w:r>
      <w:r>
        <w:rPr>
          <w:rFonts w:ascii="Times New Roman" w:hAnsi="Times New Roman"/>
          <w:b w:val="false"/>
          <w:i/>
          <w:color w:val="000000"/>
          <w:sz w:val="24"/>
        </w:rPr>
        <w:t xml:space="preserve">Employee training. </w:t>
      </w:r>
      <w:r>
        <w:rPr>
          <w:rFonts w:ascii="Times New Roman" w:hAnsi="Times New Roman"/>
          <w:b w:val="false"/>
          <w:i w:val="false"/>
          <w:color w:val="000000"/>
          <w:sz w:val="24"/>
        </w:rPr>
        <w:t>At a minimum, all employees shall receive annual training sufficient to understand and utilize ERRAP documents.</w:t>
      </w:r>
    </w:p>
    <w:p>
      <w:pPr>
        <w:spacing w:before="0" w:after="0" w:line="480"/>
        <w:ind w:left="120"/>
        <w:jc w:val="both"/>
      </w:pPr>
      <w:r>
        <w:rPr>
          <w:rFonts w:ascii="Times New Roman" w:hAnsi="Times New Roman"/>
          <w:b/>
          <w:i w:val="false"/>
          <w:color w:val="000000"/>
          <w:sz w:val="24"/>
        </w:rPr>
        <w:t>567—102.210</w:t>
      </w:r>
      <w:r>
        <w:rPr>
          <w:rFonts w:ascii="Times New Roman" w:hAnsi="Times New Roman"/>
          <w:b/>
          <w:i w:val="false"/>
          <w:color w:val="000000"/>
          <w:sz w:val="24"/>
        </w:rPr>
        <w:t xml:space="preserve">(455B) </w:t>
      </w:r>
      <w:r>
        <w:rPr>
          <w:rFonts w:ascii="Times New Roman" w:hAnsi="Times New Roman"/>
          <w:b/>
          <w:i w:val="false"/>
          <w:color w:val="000000"/>
          <w:sz w:val="24"/>
        </w:rPr>
        <w:t xml:space="preserve">Reporting and recordkeeping requirements.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102.210(1)</w:t>
      </w:r>
      <w:r>
        <w:rPr>
          <w:rFonts w:ascii="Times New Roman" w:hAnsi="Times New Roman"/>
          <w:b w:val="false"/>
          <w:i w:val="false"/>
          <w:color w:val="000000"/>
          <w:sz w:val="24"/>
        </w:rPr>
        <w:t> </w:t>
      </w:r>
      <w:r>
        <w:rPr>
          <w:rFonts w:ascii="Times New Roman" w:hAnsi="Times New Roman"/>
          <w:b w:val="false"/>
          <w:i/>
          <w:color w:val="000000"/>
          <w:sz w:val="24"/>
        </w:rPr>
        <w:t xml:space="preserve">Reporting. </w:t>
      </w:r>
      <w:r>
        <w:rPr>
          <w:rFonts w:ascii="Times New Roman" w:hAnsi="Times New Roman"/>
          <w:b w:val="false"/>
          <w:i w:val="false"/>
          <w:color w:val="000000"/>
          <w:sz w:val="24"/>
        </w:rPr>
        <w:t>The following information shall be submitted to the department on a form provided by the department. All reporting submissions shall include the name, address, and telephone number of the landfarm and permit holder, as well as the permit number.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Storage notification. </w:t>
      </w:r>
      <w:r>
        <w:rPr>
          <w:rFonts w:ascii="Times New Roman" w:hAnsi="Times New Roman"/>
          <w:b w:val="false"/>
          <w:i w:val="false"/>
          <w:color w:val="000000"/>
          <w:sz w:val="24"/>
        </w:rPr>
        <w:t xml:space="preserve">Landfarms shall submit the following information to the department and department field office with jurisdiction over the landfarm before receipt of the PCS for storage; however, at least 30 days’ notification is encouraged. PCS storage information from an emergency cleanup supervised by the department pursuant to </w:t>
      </w:r>
      <w:hyperlink r:id="rId116">
        <w:r>
          <w:rPr>
            <w:rStyle w:val="Hyperlink"/>
            <w:rFonts w:ascii="Times New Roman" w:hAnsi="Times New Roman"/>
            <w:b w:val="false"/>
            <w:i w:val="false"/>
            <w:color w:val="000000"/>
            <w:sz w:val="24"/>
          </w:rPr>
          <w:t>102.205(4)</w:t>
        </w:r>
      </w:hyperlink>
      <w:r>
        <w:rPr>
          <w:rFonts w:ascii="Times New Roman" w:hAnsi="Times New Roman"/>
          <w:b w:val="false"/>
          <w:i w:val="false"/>
          <w:color w:val="000000"/>
          <w:sz w:val="24"/>
        </w:rPr>
        <w:t>, however, shall be reported within seven days of the emergency cleanup.</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date the PCS is expected to be delivered for storage at the landfarm.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Where the PCS will be stored at the landfarm.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spill number, UST registration number, and leaking UST (LUST) number, as applicable.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Land application notification. </w:t>
      </w:r>
      <w:r>
        <w:rPr>
          <w:rFonts w:ascii="Times New Roman" w:hAnsi="Times New Roman"/>
          <w:b w:val="false"/>
          <w:i w:val="false"/>
          <w:color w:val="000000"/>
          <w:sz w:val="24"/>
        </w:rPr>
        <w:t xml:space="preserve">Landfarms shall submit the following information to the department and department field office with jurisdiction over the landfarm before land application; however, at least 30 days’ notification is encouraged. PCS information from an emergency cleanup supervised by the department pursuant to </w:t>
      </w:r>
      <w:hyperlink r:id="rId117">
        <w:r>
          <w:rPr>
            <w:rStyle w:val="Hyperlink"/>
            <w:rFonts w:ascii="Times New Roman" w:hAnsi="Times New Roman"/>
            <w:b w:val="false"/>
            <w:i w:val="false"/>
            <w:color w:val="000000"/>
            <w:sz w:val="24"/>
          </w:rPr>
          <w:t>102.205(4)</w:t>
        </w:r>
      </w:hyperlink>
      <w:r>
        <w:rPr>
          <w:rFonts w:ascii="Times New Roman" w:hAnsi="Times New Roman"/>
          <w:b w:val="false"/>
          <w:i w:val="false"/>
          <w:color w:val="000000"/>
          <w:sz w:val="24"/>
        </w:rPr>
        <w:t>, however, shall be reported within seven days of the emergency cleanup.</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date the PCS is expected to be applied to the land. If the PCS is not applied on this date, the department shall be informed of the actual application date.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 physical address or parcel identification number for the landfarm location, a legible topographic map or aerial photo, a USDA soil map with key, and a map of the 100-year floodplain illustrating and labeling where the PCS is to be applied.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 xml:space="preserve">Application rate calculations pursuant to </w:t>
      </w:r>
      <w:hyperlink r:id="rId118">
        <w:r>
          <w:rPr>
            <w:rStyle w:val="Hyperlink"/>
            <w:rFonts w:ascii="Times New Roman" w:hAnsi="Times New Roman"/>
            <w:b w:val="false"/>
            <w:i w:val="false"/>
            <w:color w:val="000000"/>
            <w:sz w:val="24"/>
          </w:rPr>
          <w:t>102.208(6)</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The spill number, UST registration number, and LUST number, as applicable.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PCS analysis and characterization. </w:t>
      </w:r>
      <w:r>
        <w:rPr>
          <w:rFonts w:ascii="Times New Roman" w:hAnsi="Times New Roman"/>
          <w:b w:val="false"/>
          <w:i w:val="false"/>
          <w:color w:val="000000"/>
          <w:sz w:val="24"/>
        </w:rPr>
        <w:t xml:space="preserve">Information on the analysis and characterization of the PCS pursuant to </w:t>
      </w:r>
      <w:hyperlink r:id="rId119">
        <w:r>
          <w:rPr>
            <w:rStyle w:val="Hyperlink"/>
            <w:rFonts w:ascii="Times New Roman" w:hAnsi="Times New Roman"/>
            <w:b w:val="false"/>
            <w:i w:val="false"/>
            <w:color w:val="000000"/>
            <w:sz w:val="24"/>
          </w:rPr>
          <w:t>567—102.205</w:t>
        </w:r>
      </w:hyperlink>
      <w:r>
        <w:rPr>
          <w:rFonts w:ascii="Times New Roman" w:hAnsi="Times New Roman"/>
          <w:b w:val="false"/>
          <w:i w:val="false"/>
          <w:color w:val="000000"/>
          <w:sz w:val="24"/>
        </w:rPr>
        <w:t xml:space="preserve">(455B) shall be submitted to the department before receipt of the PCS for storage or land application; however, at least 30 days’ notification is encouraged. PCS analysis and characterization information from an emergency cleanup supervised by the department pursuant to </w:t>
      </w:r>
      <w:hyperlink r:id="rId120">
        <w:r>
          <w:rPr>
            <w:rStyle w:val="Hyperlink"/>
            <w:rFonts w:ascii="Times New Roman" w:hAnsi="Times New Roman"/>
            <w:b w:val="false"/>
            <w:i w:val="false"/>
            <w:color w:val="000000"/>
            <w:sz w:val="24"/>
          </w:rPr>
          <w:t>102.205(4)</w:t>
        </w:r>
      </w:hyperlink>
      <w:r>
        <w:rPr>
          <w:rFonts w:ascii="Times New Roman" w:hAnsi="Times New Roman"/>
          <w:b w:val="false"/>
          <w:i w:val="false"/>
          <w:color w:val="000000"/>
          <w:sz w:val="24"/>
        </w:rPr>
        <w:t>, however, shall be reported within 60 days of the emergency cleanup.</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102.210(2)</w:t>
      </w:r>
      <w:r>
        <w:rPr>
          <w:rFonts w:ascii="Times New Roman" w:hAnsi="Times New Roman"/>
          <w:b w:val="false"/>
          <w:i w:val="false"/>
          <w:color w:val="000000"/>
          <w:sz w:val="24"/>
        </w:rPr>
        <w:t> </w:t>
      </w:r>
      <w:r>
        <w:rPr>
          <w:rFonts w:ascii="Times New Roman" w:hAnsi="Times New Roman"/>
          <w:b w:val="false"/>
          <w:i/>
          <w:color w:val="000000"/>
          <w:sz w:val="24"/>
        </w:rPr>
        <w:t xml:space="preserve">Recordkeeping. </w:t>
      </w:r>
      <w:r>
        <w:rPr>
          <w:rFonts w:ascii="Times New Roman" w:hAnsi="Times New Roman"/>
          <w:b w:val="false"/>
          <w:i w:val="false"/>
          <w:color w:val="000000"/>
          <w:sz w:val="24"/>
        </w:rPr>
        <w:t xml:space="preserve">All landfarm applicators shall maintain records of all information related to compliance with this division and the permit throughout the life of the landfarm and for three years after landfarm closure pursuant to </w:t>
      </w:r>
      <w:hyperlink r:id="rId121">
        <w:r>
          <w:rPr>
            <w:rStyle w:val="Hyperlink"/>
            <w:rFonts w:ascii="Times New Roman" w:hAnsi="Times New Roman"/>
            <w:b w:val="false"/>
            <w:i w:val="false"/>
            <w:color w:val="000000"/>
            <w:sz w:val="24"/>
          </w:rPr>
          <w:t>567—102.211</w:t>
        </w:r>
      </w:hyperlink>
      <w:r>
        <w:rPr>
          <w:rFonts w:ascii="Times New Roman" w:hAnsi="Times New Roman"/>
          <w:b w:val="false"/>
          <w:i w:val="false"/>
          <w:color w:val="000000"/>
          <w:sz w:val="24"/>
        </w:rPr>
        <w:t>(455B). This information shall be available to the department upon request. Applicable information includes but is not limited to the following material.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Permit application information pursuant to </w:t>
      </w:r>
      <w:hyperlink r:id="rId122">
        <w:r>
          <w:rPr>
            <w:rStyle w:val="Hyperlink"/>
            <w:rFonts w:ascii="Times New Roman" w:hAnsi="Times New Roman"/>
            <w:b w:val="false"/>
            <w:i w:val="false"/>
            <w:color w:val="000000"/>
            <w:sz w:val="24"/>
          </w:rPr>
          <w:t>567—102.204</w:t>
        </w:r>
      </w:hyperlink>
      <w:r>
        <w:rPr>
          <w:rFonts w:ascii="Times New Roman" w:hAnsi="Times New Roman"/>
          <w:b w:val="false"/>
          <w:i w:val="false"/>
          <w:color w:val="000000"/>
          <w:sz w:val="24"/>
        </w:rPr>
        <w:t>(455B).</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PCS analysis and characterization pursuant to </w:t>
      </w:r>
      <w:hyperlink r:id="rId123">
        <w:r>
          <w:rPr>
            <w:rStyle w:val="Hyperlink"/>
            <w:rFonts w:ascii="Times New Roman" w:hAnsi="Times New Roman"/>
            <w:b w:val="false"/>
            <w:i w:val="false"/>
            <w:color w:val="000000"/>
            <w:sz w:val="24"/>
          </w:rPr>
          <w:t>567—102.205</w:t>
        </w:r>
      </w:hyperlink>
      <w:r>
        <w:rPr>
          <w:rFonts w:ascii="Times New Roman" w:hAnsi="Times New Roman"/>
          <w:b w:val="false"/>
          <w:i w:val="false"/>
          <w:color w:val="000000"/>
          <w:sz w:val="24"/>
        </w:rPr>
        <w:t>(455B).</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Site suitability information pursuant to </w:t>
      </w:r>
      <w:hyperlink r:id="rId124">
        <w:r>
          <w:rPr>
            <w:rStyle w:val="Hyperlink"/>
            <w:rFonts w:ascii="Times New Roman" w:hAnsi="Times New Roman"/>
            <w:b w:val="false"/>
            <w:i w:val="false"/>
            <w:color w:val="000000"/>
            <w:sz w:val="24"/>
          </w:rPr>
          <w:t>567—102.206</w:t>
        </w:r>
      </w:hyperlink>
      <w:r>
        <w:rPr>
          <w:rFonts w:ascii="Times New Roman" w:hAnsi="Times New Roman"/>
          <w:b w:val="false"/>
          <w:i w:val="false"/>
          <w:color w:val="000000"/>
          <w:sz w:val="24"/>
        </w:rPr>
        <w:t>(455B).</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 xml:space="preserve">Specific design requirements pursuant to </w:t>
      </w:r>
      <w:hyperlink r:id="rId125">
        <w:r>
          <w:rPr>
            <w:rStyle w:val="Hyperlink"/>
            <w:rFonts w:ascii="Times New Roman" w:hAnsi="Times New Roman"/>
            <w:b w:val="false"/>
            <w:i w:val="false"/>
            <w:color w:val="000000"/>
            <w:sz w:val="24"/>
          </w:rPr>
          <w:t>567—102.207</w:t>
        </w:r>
      </w:hyperlink>
      <w:r>
        <w:rPr>
          <w:rFonts w:ascii="Times New Roman" w:hAnsi="Times New Roman"/>
          <w:b w:val="false"/>
          <w:i w:val="false"/>
          <w:color w:val="000000"/>
          <w:sz w:val="24"/>
        </w:rPr>
        <w:t>(455B).</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 xml:space="preserve">Operations information pursuant to </w:t>
      </w:r>
      <w:hyperlink r:id="rId126">
        <w:r>
          <w:rPr>
            <w:rStyle w:val="Hyperlink"/>
            <w:rFonts w:ascii="Times New Roman" w:hAnsi="Times New Roman"/>
            <w:b w:val="false"/>
            <w:i w:val="false"/>
            <w:color w:val="000000"/>
            <w:sz w:val="24"/>
          </w:rPr>
          <w:t>567—102.208</w:t>
        </w:r>
      </w:hyperlink>
      <w:r>
        <w:rPr>
          <w:rFonts w:ascii="Times New Roman" w:hAnsi="Times New Roman"/>
          <w:b w:val="false"/>
          <w:i w:val="false"/>
          <w:color w:val="000000"/>
          <w:sz w:val="24"/>
        </w:rPr>
        <w:t xml:space="preserve">(455B), in particular, application rate calculations pursuant to </w:t>
      </w:r>
      <w:hyperlink r:id="rId127">
        <w:r>
          <w:rPr>
            <w:rStyle w:val="Hyperlink"/>
            <w:rFonts w:ascii="Times New Roman" w:hAnsi="Times New Roman"/>
            <w:b w:val="false"/>
            <w:i w:val="false"/>
            <w:color w:val="000000"/>
            <w:sz w:val="24"/>
          </w:rPr>
          <w:t>102.208(6)</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 xml:space="preserve">ERRAP documents pursuant to </w:t>
      </w:r>
      <w:hyperlink r:id="rId128">
        <w:r>
          <w:rPr>
            <w:rStyle w:val="Hyperlink"/>
            <w:rFonts w:ascii="Times New Roman" w:hAnsi="Times New Roman"/>
            <w:b w:val="false"/>
            <w:i w:val="false"/>
            <w:color w:val="000000"/>
            <w:sz w:val="24"/>
          </w:rPr>
          <w:t>567—102.209</w:t>
        </w:r>
      </w:hyperlink>
      <w:r>
        <w:rPr>
          <w:rFonts w:ascii="Times New Roman" w:hAnsi="Times New Roman"/>
          <w:b w:val="false"/>
          <w:i w:val="false"/>
          <w:color w:val="000000"/>
          <w:sz w:val="24"/>
        </w:rPr>
        <w:t>(455B).</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 xml:space="preserve">Reports submitted pursuant to </w:t>
      </w:r>
      <w:hyperlink r:id="rId129">
        <w:r>
          <w:rPr>
            <w:rStyle w:val="Hyperlink"/>
            <w:rFonts w:ascii="Times New Roman" w:hAnsi="Times New Roman"/>
            <w:b w:val="false"/>
            <w:i w:val="false"/>
            <w:color w:val="000000"/>
            <w:sz w:val="24"/>
          </w:rPr>
          <w:t>102.210(1)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 xml:space="preserve">Closure information pursuant to </w:t>
      </w:r>
      <w:hyperlink r:id="rId130">
        <w:r>
          <w:rPr>
            <w:rStyle w:val="Hyperlink"/>
            <w:rFonts w:ascii="Times New Roman" w:hAnsi="Times New Roman"/>
            <w:b w:val="false"/>
            <w:i w:val="false"/>
            <w:color w:val="000000"/>
            <w:sz w:val="24"/>
          </w:rPr>
          <w:t>567—102.211</w:t>
        </w:r>
      </w:hyperlink>
      <w:r>
        <w:rPr>
          <w:rFonts w:ascii="Times New Roman" w:hAnsi="Times New Roman"/>
          <w:b w:val="false"/>
          <w:i w:val="false"/>
          <w:color w:val="000000"/>
          <w:sz w:val="24"/>
        </w:rPr>
        <w:t>(455B).</w:t>
      </w:r>
    </w:p>
    <w:p>
      <w:pPr>
        <w:spacing w:before="0" w:after="0" w:line="480"/>
        <w:ind w:left="120"/>
        <w:jc w:val="both"/>
      </w:pPr>
      <w:r>
        <w:rPr>
          <w:rFonts w:ascii="Times New Roman" w:hAnsi="Times New Roman"/>
          <w:b/>
          <w:i w:val="false"/>
          <w:color w:val="000000"/>
          <w:sz w:val="24"/>
        </w:rPr>
        <w:t>567—102.211</w:t>
      </w:r>
      <w:r>
        <w:rPr>
          <w:rFonts w:ascii="Times New Roman" w:hAnsi="Times New Roman"/>
          <w:b/>
          <w:i w:val="false"/>
          <w:color w:val="000000"/>
          <w:sz w:val="24"/>
        </w:rPr>
        <w:t xml:space="preserve">(455B) </w:t>
      </w:r>
      <w:r>
        <w:rPr>
          <w:rFonts w:ascii="Times New Roman" w:hAnsi="Times New Roman"/>
          <w:b/>
          <w:i w:val="false"/>
          <w:color w:val="000000"/>
          <w:sz w:val="24"/>
        </w:rPr>
        <w:t xml:space="preserve">Landfarm closure.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102.211(1)</w:t>
      </w:r>
      <w:r>
        <w:rPr>
          <w:rFonts w:ascii="Times New Roman" w:hAnsi="Times New Roman"/>
          <w:b w:val="false"/>
          <w:i w:val="false"/>
          <w:color w:val="000000"/>
          <w:sz w:val="24"/>
        </w:rPr>
        <w:t> </w:t>
      </w:r>
      <w:r>
        <w:rPr>
          <w:rFonts w:ascii="Times New Roman" w:hAnsi="Times New Roman"/>
          <w:b w:val="false"/>
          <w:i w:val="false"/>
          <w:color w:val="000000"/>
          <w:sz w:val="24"/>
        </w:rPr>
        <w:t>A landfarm shall be closed three years after the application of PCS unless otherwise authorized or required by this rule.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102.211(2)</w:t>
      </w:r>
      <w:r>
        <w:rPr>
          <w:rFonts w:ascii="Times New Roman" w:hAnsi="Times New Roman"/>
          <w:b w:val="false"/>
          <w:i w:val="false"/>
          <w:color w:val="000000"/>
          <w:sz w:val="24"/>
        </w:rPr>
        <w:t> </w:t>
      </w:r>
      <w:r>
        <w:rPr>
          <w:rFonts w:ascii="Times New Roman" w:hAnsi="Times New Roman"/>
          <w:b w:val="false"/>
          <w:i w:val="false"/>
          <w:color w:val="000000"/>
          <w:sz w:val="24"/>
        </w:rPr>
        <w:t>A landfarm may be closed if, at least six months after the application of PCS, documentation has been submitted and acknowledged in writing by the department that each landfarm plot has been tested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One sample from each 10,000 ft</w:t>
      </w:r>
      <w:r>
        <w:rPr>
          <w:rFonts w:ascii="Times New Roman" w:hAnsi="Times New Roman"/>
          <w:b w:val="false"/>
          <w:i w:val="false"/>
          <w:color w:val="000000"/>
          <w:sz w:val="24"/>
          <w:vertAlign w:val="superscript"/>
        </w:rPr>
        <w:t>2</w:t>
      </w:r>
      <w:r>
        <w:rPr>
          <w:rFonts w:ascii="Times New Roman" w:hAnsi="Times New Roman"/>
          <w:b w:val="false"/>
          <w:i w:val="false"/>
          <w:color w:val="000000"/>
          <w:sz w:val="24"/>
        </w:rPr>
        <w:t xml:space="preserve"> (e.g., 100-foot × 100-foot area) of landfarm plot is analyzed pursuant to </w:t>
      </w:r>
      <w:hyperlink r:id="rId131">
        <w:r>
          <w:rPr>
            <w:rStyle w:val="Hyperlink"/>
            <w:rFonts w:ascii="Times New Roman" w:hAnsi="Times New Roman"/>
            <w:b w:val="false"/>
            <w:i w:val="false"/>
            <w:color w:val="000000"/>
            <w:sz w:val="24"/>
          </w:rPr>
          <w:t>102.205(2)</w:t>
        </w:r>
      </w:hyperlink>
      <w:r>
        <w:rPr>
          <w:rFonts w:ascii="Times New Roman" w:hAnsi="Times New Roman"/>
          <w:b w:val="false"/>
          <w:i/>
          <w:color w:val="000000"/>
          <w:sz w:val="24"/>
        </w:rPr>
        <w:t>“c”</w:t>
      </w:r>
      <w:r>
        <w:rPr>
          <w:rFonts w:ascii="Times New Roman" w:hAnsi="Times New Roman"/>
          <w:b w:val="false"/>
          <w:i w:val="false"/>
          <w:color w:val="000000"/>
          <w:sz w:val="24"/>
        </w:rPr>
        <w:t xml:space="preserve">(1), </w:t>
      </w:r>
      <w:r>
        <w:rPr>
          <w:rFonts w:ascii="Times New Roman" w:hAnsi="Times New Roman"/>
          <w:b w:val="false"/>
          <w:i/>
          <w:color w:val="000000"/>
          <w:sz w:val="24"/>
        </w:rPr>
        <w:t>“c”</w:t>
      </w:r>
      <w:r>
        <w:rPr>
          <w:rFonts w:ascii="Times New Roman" w:hAnsi="Times New Roman"/>
          <w:b w:val="false"/>
          <w:i w:val="false"/>
          <w:color w:val="000000"/>
          <w:sz w:val="24"/>
        </w:rPr>
        <w:t xml:space="preserve">(2), and </w:t>
      </w:r>
      <w:r>
        <w:rPr>
          <w:rFonts w:ascii="Times New Roman" w:hAnsi="Times New Roman"/>
          <w:b w:val="false"/>
          <w:i/>
          <w:color w:val="000000"/>
          <w:sz w:val="24"/>
        </w:rPr>
        <w:t>“c”</w:t>
      </w:r>
      <w:r>
        <w:rPr>
          <w:rFonts w:ascii="Times New Roman" w:hAnsi="Times New Roman"/>
          <w:b w:val="false"/>
          <w:i w:val="false"/>
          <w:color w:val="000000"/>
          <w:sz w:val="24"/>
        </w:rPr>
        <w:t>(3). A minimum of one sample per landfarm plot shall be obtained. All samples shall be obtained from between the top two to six inches of soil.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The results of the tests in </w:t>
      </w:r>
      <w:hyperlink r:id="rId132">
        <w:r>
          <w:rPr>
            <w:rStyle w:val="Hyperlink"/>
            <w:rFonts w:ascii="Times New Roman" w:hAnsi="Times New Roman"/>
            <w:b w:val="false"/>
            <w:i w:val="false"/>
            <w:color w:val="000000"/>
            <w:sz w:val="24"/>
          </w:rPr>
          <w:t>102.211(2)</w:t>
        </w:r>
      </w:hyperlink>
      <w:r>
        <w:rPr>
          <w:rFonts w:ascii="Times New Roman" w:hAnsi="Times New Roman"/>
          <w:b w:val="false"/>
          <w:i/>
          <w:color w:val="000000"/>
          <w:sz w:val="24"/>
        </w:rPr>
        <w:t>“a”</w:t>
      </w:r>
      <w:r>
        <w:rPr>
          <w:rFonts w:ascii="Times New Roman" w:hAnsi="Times New Roman"/>
          <w:b w:val="false"/>
          <w:i w:val="false"/>
          <w:color w:val="000000"/>
          <w:sz w:val="24"/>
        </w:rPr>
        <w:t xml:space="preserve"> demonstrate that petroleum constituent concentrations are less than 0.54 mg/kg for benzene, 42 mg/kg for toluene, 15 mg/kg for ethylbenzene, 3800 mg/kg for TEH-diesel and 0.02 mg/kg for MTBE.</w:t>
      </w:r>
    </w:p>
    <w:p>
      <w:pPr>
        <w:spacing w:before="0" w:after="0" w:line="480"/>
        <w:ind w:left="120"/>
        <w:jc w:val="both"/>
      </w:pPr>
      <w:r>
        <w:rPr>
          <w:rFonts w:ascii="Times New Roman" w:hAnsi="Times New Roman"/>
          <w:b/>
          <w:i w:val="false"/>
          <w:color w:val="000000"/>
          <w:sz w:val="24"/>
        </w:rPr>
        <w:t>567—102.212</w:t>
      </w:r>
      <w:r>
        <w:rPr>
          <w:rFonts w:ascii="Times New Roman" w:hAnsi="Times New Roman"/>
          <w:b/>
          <w:i w:val="false"/>
          <w:color w:val="000000"/>
          <w:sz w:val="24"/>
        </w:rPr>
        <w:t xml:space="preserve">(455B) </w:t>
      </w:r>
      <w:r>
        <w:rPr>
          <w:rFonts w:ascii="Times New Roman" w:hAnsi="Times New Roman"/>
          <w:b/>
          <w:i w:val="false"/>
          <w:color w:val="000000"/>
          <w:sz w:val="24"/>
        </w:rPr>
        <w:t xml:space="preserve">Financial assurance requirements for landfarms. </w:t>
      </w:r>
      <w:r>
        <w:rPr>
          <w:rFonts w:ascii="Times New Roman" w:hAnsi="Times New Roman"/>
          <w:b w:val="false"/>
          <w:i w:val="false"/>
          <w:color w:val="000000"/>
          <w:sz w:val="24"/>
        </w:rPr>
        <w:t xml:space="preserve">The holder of a sanitary disposal project permit for a landfarm must obtain and submit a financial assurance instrument to the department in accordance with this rule. The financial assurance instrument shall provide monetary funds for the purpose of conducting closure activities at the landfarm plot(s) due to the permit holder’s failure to properly close the site as required in accordance with </w:t>
      </w:r>
      <w:hyperlink r:id="rId133">
        <w:r>
          <w:rPr>
            <w:rStyle w:val="Hyperlink"/>
            <w:rFonts w:ascii="Times New Roman" w:hAnsi="Times New Roman"/>
            <w:b w:val="false"/>
            <w:i w:val="false"/>
            <w:color w:val="000000"/>
            <w:sz w:val="24"/>
          </w:rPr>
          <w:t>567—102.211</w:t>
        </w:r>
      </w:hyperlink>
      <w:r>
        <w:rPr>
          <w:rFonts w:ascii="Times New Roman" w:hAnsi="Times New Roman"/>
          <w:b w:val="false"/>
          <w:i w:val="false"/>
          <w:color w:val="000000"/>
          <w:sz w:val="24"/>
        </w:rPr>
        <w:t>(455B) within 30 days of permit suspension, termination, revocation, or expiration.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102.212(1)</w:t>
      </w:r>
      <w:r>
        <w:rPr>
          <w:rFonts w:ascii="Times New Roman" w:hAnsi="Times New Roman"/>
          <w:b w:val="false"/>
          <w:i w:val="false"/>
          <w:color w:val="000000"/>
          <w:sz w:val="24"/>
        </w:rPr>
        <w:t> </w:t>
      </w:r>
      <w:r>
        <w:rPr>
          <w:rFonts w:ascii="Times New Roman" w:hAnsi="Times New Roman"/>
          <w:b w:val="false"/>
          <w:i/>
          <w:color w:val="000000"/>
          <w:sz w:val="24"/>
        </w:rPr>
        <w:t xml:space="preserve">No permit without financial assurance. </w:t>
      </w:r>
      <w:r>
        <w:rPr>
          <w:rFonts w:ascii="Times New Roman" w:hAnsi="Times New Roman"/>
          <w:b w:val="false"/>
          <w:i w:val="false"/>
          <w:color w:val="000000"/>
          <w:sz w:val="24"/>
        </w:rPr>
        <w:t>The department shall not issue or renew a permit to an owner or operator of a landfarm until a financial assurance instrument has been submitted to and approved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102.212(2)</w:t>
      </w:r>
      <w:r>
        <w:rPr>
          <w:rFonts w:ascii="Times New Roman" w:hAnsi="Times New Roman"/>
          <w:b w:val="false"/>
          <w:i w:val="false"/>
          <w:color w:val="000000"/>
          <w:sz w:val="24"/>
        </w:rPr>
        <w:t> </w:t>
      </w:r>
      <w:r>
        <w:rPr>
          <w:rFonts w:ascii="Times New Roman" w:hAnsi="Times New Roman"/>
          <w:b w:val="false"/>
          <w:i/>
          <w:color w:val="000000"/>
          <w:sz w:val="24"/>
        </w:rPr>
        <w:t xml:space="preserve">Proof of compliance. </w:t>
      </w:r>
      <w:r>
        <w:rPr>
          <w:rFonts w:ascii="Times New Roman" w:hAnsi="Times New Roman"/>
          <w:b w:val="false"/>
          <w:i w:val="false"/>
          <w:color w:val="000000"/>
          <w:sz w:val="24"/>
        </w:rPr>
        <w:t>Proof of the establishment of the financial assurance instrument and compliance with this rule, including a current closure cost estimate, shall be submitted at the time of application for a permit for a landfarm application permit. The owner or operator must provide continuous coverage for closure and submit proof of compliance, including an updated closure cost estimate, with each permit renewal thereafter until released from this requirement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102.212(3)</w:t>
      </w:r>
      <w:r>
        <w:rPr>
          <w:rFonts w:ascii="Times New Roman" w:hAnsi="Times New Roman"/>
          <w:b w:val="false"/>
          <w:i w:val="false"/>
          <w:color w:val="000000"/>
          <w:sz w:val="24"/>
        </w:rPr>
        <w:t> </w:t>
      </w:r>
      <w:r>
        <w:rPr>
          <w:rFonts w:ascii="Times New Roman" w:hAnsi="Times New Roman"/>
          <w:b w:val="false"/>
          <w:i/>
          <w:color w:val="000000"/>
          <w:sz w:val="24"/>
        </w:rPr>
        <w:t xml:space="preserve">Financial assurance amounts required. </w:t>
      </w:r>
      <w:r>
        <w:rPr>
          <w:rFonts w:ascii="Times New Roman" w:hAnsi="Times New Roman"/>
          <w:b w:val="false"/>
          <w:i w:val="false"/>
          <w:color w:val="000000"/>
          <w:sz w:val="24"/>
        </w:rPr>
        <w:t xml:space="preserve">The estimate submitted to the department must be certified by a professional engineer and account for at least the following factors determined by the department to be minimal necessary costs for closure pursuant to </w:t>
      </w:r>
      <w:hyperlink r:id="rId134">
        <w:r>
          <w:rPr>
            <w:rStyle w:val="Hyperlink"/>
            <w:rFonts w:ascii="Times New Roman" w:hAnsi="Times New Roman"/>
            <w:b w:val="false"/>
            <w:i w:val="false"/>
            <w:color w:val="000000"/>
            <w:sz w:val="24"/>
          </w:rPr>
          <w:t>567—102.211</w:t>
        </w:r>
      </w:hyperlink>
      <w:r>
        <w:rPr>
          <w:rFonts w:ascii="Times New Roman" w:hAnsi="Times New Roman"/>
          <w:b w:val="false"/>
          <w:i w:val="false"/>
          <w:color w:val="000000"/>
          <w:sz w:val="24"/>
        </w:rPr>
        <w:t>(455B):</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Third-party costs to conduct soil sampling and properly clean all equipment and storage areas at the landfarm plot(s).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If PCS is temporarily stored on site prior to incorporation, then this estimate shall include third-party labor and transportation costs and total tip fees to properly dispose of all PCS equal to the maximum storage capacity on site.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102.212(4)</w:t>
      </w:r>
      <w:r>
        <w:rPr>
          <w:rFonts w:ascii="Times New Roman" w:hAnsi="Times New Roman"/>
          <w:b w:val="false"/>
          <w:i w:val="false"/>
          <w:color w:val="000000"/>
          <w:sz w:val="24"/>
        </w:rPr>
        <w:t> </w:t>
      </w:r>
      <w:r>
        <w:rPr>
          <w:rFonts w:ascii="Times New Roman" w:hAnsi="Times New Roman"/>
          <w:b w:val="false"/>
          <w:i/>
          <w:color w:val="000000"/>
          <w:sz w:val="24"/>
        </w:rPr>
        <w:t xml:space="preserve">Acceptable financial assurance instruments. </w:t>
      </w:r>
      <w:r>
        <w:rPr>
          <w:rFonts w:ascii="Times New Roman" w:hAnsi="Times New Roman"/>
          <w:b w:val="false"/>
          <w:i w:val="false"/>
          <w:color w:val="000000"/>
          <w:sz w:val="24"/>
        </w:rPr>
        <w:t xml:space="preserve">The financial assurance instrument shall be established in an amount equal to the cost estimate prepared in accordance with </w:t>
      </w:r>
      <w:hyperlink r:id="rId135">
        <w:r>
          <w:rPr>
            <w:rStyle w:val="Hyperlink"/>
            <w:rFonts w:ascii="Times New Roman" w:hAnsi="Times New Roman"/>
            <w:b w:val="false"/>
            <w:i w:val="false"/>
            <w:color w:val="000000"/>
            <w:sz w:val="24"/>
          </w:rPr>
          <w:t>102.212(3)</w:t>
        </w:r>
      </w:hyperlink>
      <w:r>
        <w:rPr>
          <w:rFonts w:ascii="Times New Roman" w:hAnsi="Times New Roman"/>
          <w:b w:val="false"/>
          <w:i w:val="false"/>
          <w:color w:val="000000"/>
          <w:sz w:val="24"/>
        </w:rPr>
        <w:t xml:space="preserve"> and shall not be canceled, revoked, disbursed, released, or allowed to terminate without the approval of the department. Financial assurance may be provided by one of the following options: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Trust fund pursuant to </w:t>
      </w:r>
      <w:hyperlink r:id="rId136">
        <w:r>
          <w:rPr>
            <w:rStyle w:val="Hyperlink"/>
            <w:rFonts w:ascii="Times New Roman" w:hAnsi="Times New Roman"/>
            <w:b w:val="false"/>
            <w:i w:val="false"/>
            <w:color w:val="000000"/>
            <w:sz w:val="24"/>
          </w:rPr>
          <w:t>567—subrule 101.707(1)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Surety bond pursuant to </w:t>
      </w:r>
      <w:hyperlink r:id="rId137">
        <w:r>
          <w:rPr>
            <w:rStyle w:val="Hyperlink"/>
            <w:rFonts w:ascii="Times New Roman" w:hAnsi="Times New Roman"/>
            <w:b w:val="false"/>
            <w:i w:val="false"/>
            <w:color w:val="000000"/>
            <w:sz w:val="24"/>
          </w:rPr>
          <w:t>567—subrule 101.707(2)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Letter of credit pursuant to </w:t>
      </w:r>
      <w:hyperlink r:id="rId138">
        <w:r>
          <w:rPr>
            <w:rStyle w:val="Hyperlink"/>
            <w:rFonts w:ascii="Times New Roman" w:hAnsi="Times New Roman"/>
            <w:b w:val="false"/>
            <w:i w:val="false"/>
            <w:color w:val="000000"/>
            <w:sz w:val="24"/>
          </w:rPr>
          <w:t>567—subrule 101.707(3)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 xml:space="preserve">Corporate guarantee pursuant to </w:t>
      </w:r>
      <w:hyperlink r:id="rId139">
        <w:r>
          <w:rPr>
            <w:rStyle w:val="Hyperlink"/>
            <w:rFonts w:ascii="Times New Roman" w:hAnsi="Times New Roman"/>
            <w:b w:val="false"/>
            <w:i w:val="false"/>
            <w:color w:val="000000"/>
            <w:sz w:val="24"/>
          </w:rPr>
          <w:t>567—subrule 101.707(7)</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 xml:space="preserve">Local government guarantee pursuant to </w:t>
      </w:r>
      <w:hyperlink r:id="rId140">
        <w:r>
          <w:rPr>
            <w:rStyle w:val="Hyperlink"/>
            <w:rFonts w:ascii="Times New Roman" w:hAnsi="Times New Roman"/>
            <w:b w:val="false"/>
            <w:i w:val="false"/>
            <w:color w:val="000000"/>
            <w:sz w:val="24"/>
          </w:rPr>
          <w:t>567—subrule 101.707(8)</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 xml:space="preserve">Local government dedicated fund pursuant to </w:t>
      </w:r>
      <w:hyperlink r:id="rId141">
        <w:r>
          <w:rPr>
            <w:rStyle w:val="Hyperlink"/>
            <w:rFonts w:ascii="Times New Roman" w:hAnsi="Times New Roman"/>
            <w:b w:val="false"/>
            <w:i w:val="false"/>
            <w:color w:val="000000"/>
            <w:sz w:val="24"/>
          </w:rPr>
          <w:t>567—subrule 101.707(9)</w:t>
        </w:r>
      </w:hyperlink>
      <w:r>
        <w:rPr>
          <w:rFonts w:ascii="Times New Roman" w:hAnsi="Times New Roman"/>
          <w:b w:val="false"/>
          <w:i w:val="false"/>
          <w:color w:val="000000"/>
          <w:sz w:val="24"/>
        </w:rPr>
        <w:t>.</w:t>
      </w:r>
    </w:p>
    <w:p>
      <w:pPr>
        <w:spacing w:before="210" w:after="0" w:line="480"/>
        <w:ind w:left="120"/>
        <w:jc w:val="both"/>
      </w:pPr>
      <w:r>
        <w:rPr>
          <w:rFonts w:ascii="Times New Roman" w:hAnsi="Times New Roman"/>
          <w:b/>
          <w:i w:val="false"/>
          <w:color w:val="000000"/>
          <w:sz w:val="24"/>
        </w:rPr>
        <w:t>567—102.213</w:t>
      </w:r>
      <w:r>
        <w:rPr>
          <w:rFonts w:ascii="Times New Roman" w:hAnsi="Times New Roman"/>
          <w:b w:val="false"/>
          <w:i w:val="false"/>
          <w:color w:val="000000"/>
          <w:sz w:val="24"/>
        </w:rPr>
        <w:t xml:space="preserve"> to </w:t>
      </w:r>
      <w:r>
        <w:rPr>
          <w:rFonts w:ascii="Times New Roman" w:hAnsi="Times New Roman"/>
          <w:b/>
          <w:i w:val="false"/>
          <w:color w:val="000000"/>
          <w:sz w:val="24"/>
        </w:rPr>
        <w:t>102.299</w:t>
      </w:r>
      <w:r>
        <w:rPr>
          <w:rFonts w:ascii="Times New Roman" w:hAnsi="Times New Roman"/>
          <w:b w:val="false"/>
          <w:i w:val="false"/>
          <w:color w:val="000000"/>
          <w:sz w:val="24"/>
        </w:rPr>
        <w:t>Reserved.</w:t>
      </w:r>
    </w:p>
    <w:p>
      <w:pPr>
        <w:spacing w:before="0" w:after="0" w:line="480"/>
        <w:ind w:left="120"/>
        <w:jc w:val="both"/>
      </w:pPr>
      <w:r>
        <w:rPr>
          <w:rFonts w:ascii="Times New Roman" w:hAnsi="Times New Roman"/>
          <w:b w:val="false"/>
          <w:i w:val="false"/>
          <w:color w:val="000000"/>
          <w:sz w:val="24"/>
        </w:rPr>
        <w:t xml:space="preserve">These rules are intended to implement Iowa Code sections </w:t>
      </w:r>
      <w:hyperlink r:id="rId142">
        <w:r>
          <w:rPr>
            <w:rStyle w:val="Hyperlink"/>
            <w:rFonts w:ascii="Times New Roman" w:hAnsi="Times New Roman"/>
            <w:b w:val="false"/>
            <w:i w:val="false"/>
            <w:color w:val="000000"/>
            <w:sz w:val="24"/>
          </w:rPr>
          <w:t>455B.301A</w:t>
        </w:r>
      </w:hyperlink>
      <w:r>
        <w:rPr>
          <w:rFonts w:ascii="Times New Roman" w:hAnsi="Times New Roman"/>
          <w:b w:val="false"/>
          <w:i w:val="false"/>
          <w:color w:val="000000"/>
          <w:sz w:val="24"/>
        </w:rPr>
        <w:t xml:space="preserve">, </w:t>
      </w:r>
      <w:hyperlink r:id="rId143">
        <w:r>
          <w:rPr>
            <w:rStyle w:val="Hyperlink"/>
            <w:rFonts w:ascii="Times New Roman" w:hAnsi="Times New Roman"/>
            <w:b w:val="false"/>
            <w:i w:val="false"/>
            <w:color w:val="000000"/>
            <w:sz w:val="24"/>
          </w:rPr>
          <w:t>455B.304</w:t>
        </w:r>
      </w:hyperlink>
      <w:r>
        <w:rPr>
          <w:rFonts w:ascii="Times New Roman" w:hAnsi="Times New Roman"/>
          <w:b w:val="false"/>
          <w:i w:val="false"/>
          <w:color w:val="000000"/>
          <w:sz w:val="24"/>
        </w:rPr>
        <w:t xml:space="preserve">, and </w:t>
      </w:r>
      <w:hyperlink r:id="rId144">
        <w:r>
          <w:rPr>
            <w:rStyle w:val="Hyperlink"/>
            <w:rFonts w:ascii="Times New Roman" w:hAnsi="Times New Roman"/>
            <w:b w:val="false"/>
            <w:i w:val="false"/>
            <w:color w:val="000000"/>
            <w:sz w:val="24"/>
          </w:rPr>
          <w:t>455B.383</w:t>
        </w:r>
      </w:hyperlink>
      <w:r>
        <w:rPr>
          <w:rFonts w:ascii="Times New Roman" w:hAnsi="Times New Roman"/>
          <w:b w:val="false"/>
          <w:i w:val="false"/>
          <w:color w:val="000000"/>
          <w:sz w:val="24"/>
        </w:rPr>
        <w:t>.</w:t>
      </w:r>
    </w:p>
    <w:p>
      <w:pPr>
        <w:pBdr>
          <w:top w:space="10"/>
        </w:pBdr>
        <w:spacing w:before="0" w:after="0" w:line="480"/>
        <w:ind w:left="120"/>
        <w:jc w:val="center"/>
      </w:pPr>
      <w:r>
        <w:rPr>
          <w:rFonts w:ascii="Times New Roman" w:hAnsi="Times New Roman"/>
          <w:b w:val="false"/>
          <w:i w:val="false"/>
          <w:color w:val="000000"/>
          <w:sz w:val="16"/>
        </w:rPr>
        <w:t>DIVISION IV</w:t>
      </w:r>
    </w:p>
    <w:p>
      <w:pPr>
        <w:pBdr>
          <w:bottom w:space="10"/>
        </w:pBdr>
        <w:spacing w:before="0" w:after="0" w:line="480"/>
        <w:ind w:left="120"/>
        <w:jc w:val="center"/>
      </w:pPr>
      <w:r>
        <w:rPr>
          <w:rFonts w:ascii="Times New Roman" w:hAnsi="Times New Roman"/>
          <w:b w:val="false"/>
          <w:i w:val="false"/>
          <w:color w:val="000000"/>
          <w:sz w:val="16"/>
        </w:rPr>
        <w:t>BENEFICIAL USE</w:t>
      </w:r>
    </w:p>
    <w:p>
      <w:pPr>
        <w:spacing w:before="210" w:after="0" w:line="480"/>
        <w:ind w:left="120"/>
        <w:jc w:val="both"/>
      </w:pPr>
      <w:r>
        <w:rPr>
          <w:rFonts w:ascii="Times New Roman" w:hAnsi="Times New Roman"/>
          <w:b/>
          <w:i w:val="false"/>
          <w:color w:val="000000"/>
          <w:sz w:val="24"/>
        </w:rPr>
        <w:t>567—102.300</w:t>
      </w:r>
      <w:r>
        <w:rPr>
          <w:rFonts w:ascii="Times New Roman" w:hAnsi="Times New Roman"/>
          <w:b/>
          <w:i w:val="false"/>
          <w:color w:val="000000"/>
          <w:sz w:val="24"/>
        </w:rPr>
        <w:t xml:space="preserve">(455B) </w:t>
      </w:r>
      <w:r>
        <w:rPr>
          <w:rFonts w:ascii="Times New Roman" w:hAnsi="Times New Roman"/>
          <w:b/>
          <w:i w:val="false"/>
          <w:color w:val="000000"/>
          <w:sz w:val="24"/>
        </w:rPr>
        <w:t xml:space="preserve">Purpose. </w:t>
      </w:r>
      <w:r>
        <w:rPr>
          <w:rFonts w:ascii="Times New Roman" w:hAnsi="Times New Roman"/>
          <w:b w:val="false"/>
          <w:i w:val="false"/>
          <w:color w:val="000000"/>
          <w:sz w:val="24"/>
        </w:rPr>
        <w:t>The purpose of this division is to establish rules for determining when the utilization of a solid by-product constitutes beneficial use rather than the disposal of solid waste. Solid by-products determined by the department not to be a solid waste through a beneficial use determination will not be subject to regulation as disposal of solid waste. This division encourages the utilization of solid by-products, consistent with accepted engineering practices, when such utilization improves, or at a minimum does not adversely affect, human health and the environment.</w:t>
      </w:r>
    </w:p>
    <w:p>
      <w:pPr>
        <w:spacing w:before="0" w:after="0" w:line="480"/>
        <w:ind w:left="120"/>
        <w:jc w:val="both"/>
      </w:pPr>
      <w:r>
        <w:rPr>
          <w:rFonts w:ascii="Times New Roman" w:hAnsi="Times New Roman"/>
          <w:b/>
          <w:i w:val="false"/>
          <w:color w:val="000000"/>
          <w:sz w:val="24"/>
        </w:rPr>
        <w:t>567—102.301</w:t>
      </w:r>
      <w:r>
        <w:rPr>
          <w:rFonts w:ascii="Times New Roman" w:hAnsi="Times New Roman"/>
          <w:b/>
          <w:i w:val="false"/>
          <w:color w:val="000000"/>
          <w:sz w:val="24"/>
        </w:rPr>
        <w:t xml:space="preserve">(455B) </w:t>
      </w:r>
      <w:r>
        <w:rPr>
          <w:rFonts w:ascii="Times New Roman" w:hAnsi="Times New Roman"/>
          <w:b/>
          <w:i w:val="false"/>
          <w:color w:val="000000"/>
          <w:sz w:val="24"/>
        </w:rPr>
        <w:t xml:space="preserve">Applicability and compliance.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102.301(1)</w:t>
      </w:r>
      <w:r>
        <w:rPr>
          <w:rFonts w:ascii="Times New Roman" w:hAnsi="Times New Roman"/>
          <w:b w:val="false"/>
          <w:i w:val="false"/>
          <w:color w:val="000000"/>
          <w:sz w:val="24"/>
        </w:rPr>
        <w:t> </w:t>
      </w:r>
      <w:r>
        <w:rPr>
          <w:rFonts w:ascii="Times New Roman" w:hAnsi="Times New Roman"/>
          <w:b w:val="false"/>
          <w:i w:val="false"/>
          <w:color w:val="000000"/>
          <w:sz w:val="24"/>
        </w:rPr>
        <w:t>These rules establish a method for predetermination by the department that a proposed utilization of a solid by-product will not be regulated as solid waste disposal when utilized in the manner approved by the department. These rules apply to industrial, commercial, and institutional generators and users or proposed users of solid by-products that before receiving a beneficial use determination by the department were disposing of solid by-products as solid waste. These rules encourage environmentally sound materials management practices to maximize the use of recoverable materials and to foster resource recovery. The department reserves the authority to modify or revoke any beneficial use determination authorized under these regulations.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102.301(2)</w:t>
      </w:r>
      <w:r>
        <w:rPr>
          <w:rFonts w:ascii="Times New Roman" w:hAnsi="Times New Roman"/>
          <w:b w:val="false"/>
          <w:i w:val="false"/>
          <w:color w:val="000000"/>
          <w:sz w:val="24"/>
        </w:rPr>
        <w:t> </w:t>
      </w:r>
      <w:r>
        <w:rPr>
          <w:rFonts w:ascii="Times New Roman" w:hAnsi="Times New Roman"/>
          <w:b w:val="false"/>
          <w:i w:val="false"/>
          <w:color w:val="000000"/>
          <w:sz w:val="24"/>
        </w:rPr>
        <w:t>These rules do not pertain to organic materials composting. Division I of this chapter contains rules pertaining to organic materials composting.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102.301(3)</w:t>
      </w:r>
      <w:r>
        <w:rPr>
          <w:rFonts w:ascii="Times New Roman" w:hAnsi="Times New Roman"/>
          <w:b w:val="false"/>
          <w:i w:val="false"/>
          <w:color w:val="000000"/>
          <w:sz w:val="24"/>
        </w:rPr>
        <w:t> </w:t>
      </w:r>
      <w:r>
        <w:rPr>
          <w:rFonts w:ascii="Times New Roman" w:hAnsi="Times New Roman"/>
          <w:b w:val="false"/>
          <w:i w:val="false"/>
          <w:color w:val="000000"/>
          <w:sz w:val="24"/>
        </w:rPr>
        <w:t>These rules do not pertain to the land application of solid waste. Division II of this chapter contains rules pertaining to the land application of solid waste.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102.301(4)</w:t>
      </w:r>
      <w:r>
        <w:rPr>
          <w:rFonts w:ascii="Times New Roman" w:hAnsi="Times New Roman"/>
          <w:b w:val="false"/>
          <w:i w:val="false"/>
          <w:color w:val="000000"/>
          <w:sz w:val="24"/>
        </w:rPr>
        <w:t> </w:t>
      </w:r>
      <w:r>
        <w:rPr>
          <w:rFonts w:ascii="Times New Roman" w:hAnsi="Times New Roman"/>
          <w:b w:val="false"/>
          <w:i w:val="false"/>
          <w:color w:val="000000"/>
          <w:sz w:val="24"/>
        </w:rPr>
        <w:t>These rules do not pertain to the beneficial use of waste tires. Division V of this chapter contains rules pertaining to the beneficial use of waste tires.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102.301(5)</w:t>
      </w:r>
      <w:r>
        <w:rPr>
          <w:rFonts w:ascii="Times New Roman" w:hAnsi="Times New Roman"/>
          <w:b w:val="false"/>
          <w:i w:val="false"/>
          <w:color w:val="000000"/>
          <w:sz w:val="24"/>
        </w:rPr>
        <w:t> </w:t>
      </w:r>
      <w:r>
        <w:rPr>
          <w:rFonts w:ascii="Times New Roman" w:hAnsi="Times New Roman"/>
          <w:b w:val="false"/>
          <w:i w:val="false"/>
          <w:color w:val="000000"/>
          <w:sz w:val="24"/>
        </w:rPr>
        <w:t xml:space="preserve">These rules do not pertain to alternative cover material. </w:t>
      </w:r>
      <w:hyperlink r:id="rId145">
        <w:r>
          <w:rPr>
            <w:rStyle w:val="Hyperlink"/>
            <w:rFonts w:ascii="Times New Roman" w:hAnsi="Times New Roman"/>
            <w:b w:val="false"/>
            <w:i w:val="false"/>
            <w:color w:val="000000"/>
            <w:sz w:val="24"/>
          </w:rPr>
          <w:t>567—Chapter 101</w:t>
        </w:r>
      </w:hyperlink>
      <w:r>
        <w:rPr>
          <w:rFonts w:ascii="Times New Roman" w:hAnsi="Times New Roman"/>
          <w:b w:val="false"/>
          <w:i w:val="false"/>
          <w:color w:val="000000"/>
          <w:sz w:val="24"/>
        </w:rPr>
        <w:t>, Division II, contains rules pertaining to sanitary landfills utilizing or desiring to utilize solid by-products as alternative cover material.</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102.301(6)</w:t>
      </w:r>
      <w:r>
        <w:rPr>
          <w:rFonts w:ascii="Times New Roman" w:hAnsi="Times New Roman"/>
          <w:b w:val="false"/>
          <w:i w:val="false"/>
          <w:color w:val="000000"/>
          <w:sz w:val="24"/>
        </w:rPr>
        <w:t> </w:t>
      </w:r>
      <w:r>
        <w:rPr>
          <w:rFonts w:ascii="Times New Roman" w:hAnsi="Times New Roman"/>
          <w:b w:val="false"/>
          <w:i w:val="false"/>
          <w:color w:val="000000"/>
          <w:sz w:val="24"/>
        </w:rPr>
        <w:t>These rules do not apply to solid by-products that are directly incorporated into a manufacturing process to make a commercial product unless the use of a solid by-product as an ingredient in an industrial process or as a substitute for a commercial product may present a threat of harm to human health and the environment that is similar to the harm that would occur from the improper disposal of the solid by-product.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102.301(7)</w:t>
      </w:r>
      <w:r>
        <w:rPr>
          <w:rFonts w:ascii="Times New Roman" w:hAnsi="Times New Roman"/>
          <w:b w:val="false"/>
          <w:i w:val="false"/>
          <w:color w:val="000000"/>
          <w:sz w:val="24"/>
        </w:rPr>
        <w:t> </w:t>
      </w:r>
      <w:r>
        <w:rPr>
          <w:rFonts w:ascii="Times New Roman" w:hAnsi="Times New Roman"/>
          <w:b w:val="false"/>
          <w:i w:val="false"/>
          <w:color w:val="000000"/>
          <w:sz w:val="24"/>
        </w:rPr>
        <w:t xml:space="preserve">Beneficial use determinations granted by the department before September 23, 2026, shall remain in effect unless specifically addressed by these rules or by written notification pursuant to </w:t>
      </w:r>
      <w:hyperlink r:id="rId146">
        <w:r>
          <w:rPr>
            <w:rStyle w:val="Hyperlink"/>
            <w:rFonts w:ascii="Times New Roman" w:hAnsi="Times New Roman"/>
            <w:b w:val="false"/>
            <w:i w:val="false"/>
            <w:color w:val="000000"/>
            <w:sz w:val="24"/>
          </w:rPr>
          <w:t>567—102.307</w:t>
        </w:r>
      </w:hyperlink>
      <w:r>
        <w:rPr>
          <w:rFonts w:ascii="Times New Roman" w:hAnsi="Times New Roman"/>
          <w:b w:val="false"/>
          <w:i w:val="false"/>
          <w:color w:val="000000"/>
          <w:sz w:val="24"/>
        </w:rPr>
        <w:t>(455B).</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102.301(8)</w:t>
      </w:r>
      <w:r>
        <w:rPr>
          <w:rFonts w:ascii="Times New Roman" w:hAnsi="Times New Roman"/>
          <w:b w:val="false"/>
          <w:i w:val="false"/>
          <w:color w:val="000000"/>
          <w:sz w:val="24"/>
        </w:rPr>
        <w:t> </w:t>
      </w:r>
      <w:r>
        <w:rPr>
          <w:rFonts w:ascii="Times New Roman" w:hAnsi="Times New Roman"/>
          <w:b w:val="false"/>
          <w:i w:val="false"/>
          <w:color w:val="000000"/>
          <w:sz w:val="24"/>
        </w:rPr>
        <w:t>The issuance of a beneficial use determination by the department affirms that the proposed use is not subject to regulation as solid waste disposal to the extent the use and solid by-product conforms to the beneficial use application and determination. The issuance of a beneficial use determination by the department in no way relieves the generator or user of the responsibility of complying with all other local, state, and federal statutes, ordinances, and rules or other applicable requirements.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102.301(9)</w:t>
      </w:r>
      <w:r>
        <w:rPr>
          <w:rFonts w:ascii="Times New Roman" w:hAnsi="Times New Roman"/>
          <w:b w:val="false"/>
          <w:i w:val="false"/>
          <w:color w:val="000000"/>
          <w:sz w:val="24"/>
        </w:rPr>
        <w:t> </w:t>
      </w:r>
      <w:r>
        <w:rPr>
          <w:rFonts w:ascii="Times New Roman" w:hAnsi="Times New Roman"/>
          <w:b w:val="false"/>
          <w:i w:val="false"/>
          <w:color w:val="000000"/>
          <w:sz w:val="24"/>
        </w:rPr>
        <w:t>Respondents in actions to enforce these regulations who raise a claim that a certain solid by-product is not a solid waste or is conditionally exempt from regulation shall demonstrate that there is a known market or disposition for the solid by-product and that they meet the terms of the exemption. Documentation (such as contracts showing that a second person or entity utilizes the solid by-product as an ingredient in a production process) is needed to demonstrate that the solid by-product is not a solid waste or is exempt from regulation.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102.301(10)</w:t>
      </w:r>
      <w:r>
        <w:rPr>
          <w:rFonts w:ascii="Times New Roman" w:hAnsi="Times New Roman"/>
          <w:b w:val="false"/>
          <w:i w:val="false"/>
          <w:color w:val="000000"/>
          <w:sz w:val="24"/>
        </w:rPr>
        <w:t> </w:t>
      </w:r>
      <w:r>
        <w:rPr>
          <w:rFonts w:ascii="Times New Roman" w:hAnsi="Times New Roman"/>
          <w:b w:val="false"/>
          <w:i w:val="false"/>
          <w:color w:val="000000"/>
          <w:sz w:val="24"/>
        </w:rPr>
        <w:t xml:space="preserve">To ensure that all solid by-product applications do not pose a threat to human health and the environment, the department has the authority to determine if a proposed use is beneficial and to approve or deny applications if such a benefit is not evident. Proposed beneficial uses in which the primary purpose is as a land disposal mechanism, and any beneficial use would be incidental in nature, will be denied in accordance with </w:t>
      </w:r>
      <w:hyperlink r:id="rId147">
        <w:r>
          <w:rPr>
            <w:rStyle w:val="Hyperlink"/>
            <w:rFonts w:ascii="Times New Roman" w:hAnsi="Times New Roman"/>
            <w:b w:val="false"/>
            <w:i w:val="false"/>
            <w:color w:val="000000"/>
            <w:sz w:val="24"/>
          </w:rPr>
          <w:t>567—102.308</w:t>
        </w:r>
      </w:hyperlink>
      <w:r>
        <w:rPr>
          <w:rFonts w:ascii="Times New Roman" w:hAnsi="Times New Roman"/>
          <w:b w:val="false"/>
          <w:i w:val="false"/>
          <w:color w:val="000000"/>
          <w:sz w:val="24"/>
        </w:rPr>
        <w:t>(455B).</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102.301(11)</w:t>
      </w:r>
      <w:r>
        <w:rPr>
          <w:rFonts w:ascii="Times New Roman" w:hAnsi="Times New Roman"/>
          <w:b w:val="false"/>
          <w:i w:val="false"/>
          <w:color w:val="000000"/>
          <w:sz w:val="24"/>
        </w:rPr>
        <w:t> </w:t>
      </w:r>
      <w:r>
        <w:rPr>
          <w:rFonts w:ascii="Times New Roman" w:hAnsi="Times New Roman"/>
          <w:b w:val="false"/>
          <w:i w:val="false"/>
          <w:color w:val="000000"/>
          <w:sz w:val="24"/>
        </w:rPr>
        <w:t>All rules, standards, technical guidance, and other similar legal or technical documents referenced in this division shall be the version of those documents in effect on August 1, 2025, unless otherwise noted in these rules, and except for references to the Iowa Code and Iowa Administrative Code, which shall always be the most recent version unless otherwise noted in these rules.</w:t>
      </w:r>
    </w:p>
    <w:p>
      <w:pPr>
        <w:spacing w:before="210" w:after="0" w:line="480"/>
        <w:ind w:left="120"/>
        <w:jc w:val="both"/>
      </w:pPr>
      <w:r>
        <w:rPr>
          <w:rFonts w:ascii="Times New Roman" w:hAnsi="Times New Roman"/>
          <w:b/>
          <w:i w:val="false"/>
          <w:color w:val="000000"/>
          <w:sz w:val="24"/>
        </w:rPr>
        <w:t>567—102.302</w:t>
      </w:r>
      <w:r>
        <w:rPr>
          <w:rFonts w:ascii="Times New Roman" w:hAnsi="Times New Roman"/>
          <w:b/>
          <w:i w:val="false"/>
          <w:color w:val="000000"/>
          <w:sz w:val="24"/>
        </w:rPr>
        <w:t xml:space="preserve">(455B) </w:t>
      </w:r>
      <w:r>
        <w:rPr>
          <w:rFonts w:ascii="Times New Roman" w:hAnsi="Times New Roman"/>
          <w:b/>
          <w:i w:val="false"/>
          <w:color w:val="000000"/>
          <w:sz w:val="24"/>
        </w:rPr>
        <w:t xml:space="preserve">Definitions. </w:t>
      </w:r>
      <w:r>
        <w:rPr>
          <w:rFonts w:ascii="Times New Roman" w:hAnsi="Times New Roman"/>
          <w:b w:val="false"/>
          <w:i w:val="false"/>
          <w:color w:val="000000"/>
          <w:sz w:val="24"/>
        </w:rPr>
        <w:t xml:space="preserve">For the purposes of this division, the definitions in </w:t>
      </w:r>
      <w:hyperlink r:id="rId148">
        <w:r>
          <w:rPr>
            <w:rStyle w:val="Hyperlink"/>
            <w:rFonts w:ascii="Times New Roman" w:hAnsi="Times New Roman"/>
            <w:b w:val="false"/>
            <w:i w:val="false"/>
            <w:color w:val="000000"/>
            <w:sz w:val="24"/>
          </w:rPr>
          <w:t>567—Chapter 100</w:t>
        </w:r>
      </w:hyperlink>
      <w:r>
        <w:rPr>
          <w:rFonts w:ascii="Times New Roman" w:hAnsi="Times New Roman"/>
          <w:b w:val="false"/>
          <w:i w:val="false"/>
          <w:color w:val="000000"/>
          <w:sz w:val="24"/>
        </w:rPr>
        <w:t xml:space="preserve"> and Iowa Code section </w:t>
      </w:r>
      <w:hyperlink r:id="rId149">
        <w:r>
          <w:rPr>
            <w:rStyle w:val="Hyperlink"/>
            <w:rFonts w:ascii="Times New Roman" w:hAnsi="Times New Roman"/>
            <w:b w:val="false"/>
            <w:i w:val="false"/>
            <w:color w:val="000000"/>
            <w:sz w:val="24"/>
          </w:rPr>
          <w:t>455B.301</w:t>
        </w:r>
      </w:hyperlink>
      <w:r>
        <w:rPr>
          <w:rFonts w:ascii="Times New Roman" w:hAnsi="Times New Roman"/>
          <w:b w:val="false"/>
          <w:i w:val="false"/>
          <w:color w:val="000000"/>
          <w:sz w:val="24"/>
        </w:rPr>
        <w:t xml:space="preserve"> shall apply.</w:t>
      </w:r>
    </w:p>
    <w:p>
      <w:pPr>
        <w:spacing w:before="0" w:after="0" w:line="480"/>
        <w:ind w:left="120"/>
        <w:jc w:val="both"/>
      </w:pPr>
      <w:r>
        <w:rPr>
          <w:rFonts w:ascii="Times New Roman" w:hAnsi="Times New Roman"/>
          <w:b/>
          <w:i w:val="false"/>
          <w:color w:val="000000"/>
          <w:sz w:val="24"/>
        </w:rPr>
        <w:t>567—102.303</w:t>
      </w:r>
      <w:r>
        <w:rPr>
          <w:rFonts w:ascii="Times New Roman" w:hAnsi="Times New Roman"/>
          <w:b/>
          <w:i w:val="false"/>
          <w:color w:val="000000"/>
          <w:sz w:val="24"/>
        </w:rPr>
        <w:t xml:space="preserve">(455B) </w:t>
      </w:r>
      <w:r>
        <w:rPr>
          <w:rFonts w:ascii="Times New Roman" w:hAnsi="Times New Roman"/>
          <w:b/>
          <w:i w:val="false"/>
          <w:color w:val="000000"/>
          <w:sz w:val="24"/>
        </w:rPr>
        <w:t xml:space="preserve">Universally approved beneficial use determinations. </w:t>
      </w:r>
      <w:r>
        <w:rPr>
          <w:rFonts w:ascii="Times New Roman" w:hAnsi="Times New Roman"/>
          <w:b w:val="false"/>
          <w:i w:val="false"/>
          <w:color w:val="000000"/>
          <w:sz w:val="24"/>
        </w:rPr>
        <w:t xml:space="preserve">The following solid by-products are hereby approved as the beneficial use of a solid by-product when utilized in the specific manners listed provided that such utilization is in compliance with </w:t>
      </w:r>
      <w:hyperlink r:id="rId150">
        <w:r>
          <w:rPr>
            <w:rStyle w:val="Hyperlink"/>
            <w:rFonts w:ascii="Times New Roman" w:hAnsi="Times New Roman"/>
            <w:b w:val="false"/>
            <w:i w:val="false"/>
            <w:color w:val="000000"/>
            <w:sz w:val="24"/>
          </w:rPr>
          <w:t>567—102.305</w:t>
        </w:r>
      </w:hyperlink>
      <w:r>
        <w:rPr>
          <w:rFonts w:ascii="Times New Roman" w:hAnsi="Times New Roman"/>
          <w:b w:val="false"/>
          <w:i w:val="false"/>
          <w:color w:val="000000"/>
          <w:sz w:val="24"/>
        </w:rPr>
        <w:t xml:space="preserve">(455B) and </w:t>
      </w:r>
      <w:hyperlink r:id="rId151">
        <w:r>
          <w:rPr>
            <w:rStyle w:val="Hyperlink"/>
            <w:rFonts w:ascii="Times New Roman" w:hAnsi="Times New Roman"/>
            <w:b w:val="false"/>
            <w:i w:val="false"/>
            <w:color w:val="000000"/>
            <w:sz w:val="24"/>
          </w:rPr>
          <w:t>567—102.306</w:t>
        </w:r>
      </w:hyperlink>
      <w:r>
        <w:rPr>
          <w:rFonts w:ascii="Times New Roman" w:hAnsi="Times New Roman"/>
          <w:b w:val="false"/>
          <w:i w:val="false"/>
          <w:color w:val="000000"/>
          <w:sz w:val="24"/>
        </w:rPr>
        <w:t xml:space="preserve">(455B). Unless an entity is otherwise notified by the department pursuant to </w:t>
      </w:r>
      <w:hyperlink r:id="rId152">
        <w:r>
          <w:rPr>
            <w:rStyle w:val="Hyperlink"/>
            <w:rFonts w:ascii="Times New Roman" w:hAnsi="Times New Roman"/>
            <w:b w:val="false"/>
            <w:i w:val="false"/>
            <w:color w:val="000000"/>
            <w:sz w:val="24"/>
          </w:rPr>
          <w:t>567—102.307</w:t>
        </w:r>
      </w:hyperlink>
      <w:r>
        <w:rPr>
          <w:rFonts w:ascii="Times New Roman" w:hAnsi="Times New Roman"/>
          <w:b w:val="false"/>
          <w:i w:val="false"/>
          <w:color w:val="000000"/>
          <w:sz w:val="24"/>
        </w:rPr>
        <w:t>(455B), such utilization does not require further approval from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102.303(1)</w:t>
      </w:r>
      <w:r>
        <w:rPr>
          <w:rFonts w:ascii="Times New Roman" w:hAnsi="Times New Roman"/>
          <w:b w:val="false"/>
          <w:i w:val="false"/>
          <w:color w:val="000000"/>
          <w:sz w:val="24"/>
        </w:rPr>
        <w:t> </w:t>
      </w:r>
      <w:r>
        <w:rPr>
          <w:rFonts w:ascii="Times New Roman" w:hAnsi="Times New Roman"/>
          <w:b w:val="false"/>
          <w:i/>
          <w:color w:val="000000"/>
          <w:sz w:val="24"/>
        </w:rPr>
        <w:t xml:space="preserve">Asphalt shingles. </w:t>
      </w:r>
      <w:r>
        <w:rPr>
          <w:rFonts w:ascii="Times New Roman" w:hAnsi="Times New Roman"/>
          <w:b w:val="false"/>
          <w:i w:val="false"/>
          <w:color w:val="000000"/>
          <w:sz w:val="24"/>
        </w:rPr>
        <w:t xml:space="preserve">Asphalt shingles that are certified, consistent with federal regulations (Reference: Appendix E, Subpart E, </w:t>
      </w:r>
      <w:r>
        <w:rPr>
          <w:rFonts w:ascii="Times New Roman" w:hAnsi="Times New Roman"/>
          <w:b w:val="false"/>
          <w:i w:val="false"/>
          <w:color w:val="000000"/>
          <w:sz w:val="24"/>
        </w:rPr>
        <w:t>40 CFR Part 763</w:t>
      </w:r>
      <w:r>
        <w:rPr>
          <w:rFonts w:ascii="Times New Roman" w:hAnsi="Times New Roman"/>
          <w:b w:val="false"/>
          <w:i w:val="false"/>
          <w:color w:val="000000"/>
          <w:sz w:val="24"/>
        </w:rPr>
        <w:t>, Section 1, Polarized Light Microscopy), as not containing more than 1 percent asbestos may be used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Subbase for hard-surface pavement construction.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Road surfacing granular material.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Asphalt pavement material.</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102.303(2)</w:t>
      </w:r>
      <w:r>
        <w:rPr>
          <w:rFonts w:ascii="Times New Roman" w:hAnsi="Times New Roman"/>
          <w:b w:val="false"/>
          <w:i w:val="false"/>
          <w:color w:val="000000"/>
          <w:sz w:val="24"/>
        </w:rPr>
        <w:t> </w:t>
      </w:r>
      <w:r>
        <w:rPr>
          <w:rFonts w:ascii="Times New Roman" w:hAnsi="Times New Roman"/>
          <w:b w:val="false"/>
          <w:i/>
          <w:color w:val="000000"/>
          <w:sz w:val="24"/>
        </w:rPr>
        <w:t xml:space="preserve">Cement kiln dust. </w:t>
      </w:r>
      <w:r>
        <w:rPr>
          <w:rFonts w:ascii="Times New Roman" w:hAnsi="Times New Roman"/>
          <w:b w:val="false"/>
          <w:i w:val="false"/>
          <w:color w:val="000000"/>
          <w:sz w:val="24"/>
        </w:rPr>
        <w:t>Cement kiln dust may be used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Subbase for hard-surface pavement construction.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A soil amendment pursuant to </w:t>
      </w:r>
      <w:hyperlink r:id="rId153">
        <w:r>
          <w:rPr>
            <w:rStyle w:val="Hyperlink"/>
            <w:rFonts w:ascii="Times New Roman" w:hAnsi="Times New Roman"/>
            <w:b w:val="false"/>
            <w:i w:val="false"/>
            <w:color w:val="000000"/>
            <w:sz w:val="24"/>
          </w:rPr>
          <w:t>21—Chapter 44</w:t>
        </w:r>
      </w:hyperlink>
      <w:r>
        <w:rPr>
          <w:rFonts w:ascii="Times New Roman" w:hAnsi="Times New Roman"/>
          <w:b w:val="false"/>
          <w:i w:val="false"/>
          <w:color w:val="000000"/>
          <w:sz w:val="24"/>
        </w:rPr>
        <w:t xml:space="preserve"> and other IDALS rules.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 stabilizer for manure and waste sludge.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For soil stabilization purposes.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Structural fill or fill material.</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102.303(3)</w:t>
      </w:r>
      <w:r>
        <w:rPr>
          <w:rFonts w:ascii="Times New Roman" w:hAnsi="Times New Roman"/>
          <w:b w:val="false"/>
          <w:i w:val="false"/>
          <w:color w:val="000000"/>
          <w:sz w:val="24"/>
        </w:rPr>
        <w:t> </w:t>
      </w:r>
      <w:r>
        <w:rPr>
          <w:rFonts w:ascii="Times New Roman" w:hAnsi="Times New Roman"/>
          <w:b w:val="false"/>
          <w:i/>
          <w:color w:val="000000"/>
          <w:sz w:val="24"/>
        </w:rPr>
        <w:t xml:space="preserve">Coal combustion residual.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Coal combustion fly ash, bottom ash, or boiler slag may be used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Subbase for hard-surface pavement construction.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For soil stabilization purposes.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Structural fill or fill material.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Coal combustion bottom ash or boiler slag may also be used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Sandblasting or other abrasive.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Granules for roofing shingles.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Coal combustion flue gas desulfurization, flue gas pollution control by-products, including but not limited to lime, activated carbon and synthetic gypsum, may be used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For soil stabilization purposes.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Soil amendment pursuant to </w:t>
      </w:r>
      <w:hyperlink r:id="rId154">
        <w:r>
          <w:rPr>
            <w:rStyle w:val="Hyperlink"/>
            <w:rFonts w:ascii="Times New Roman" w:hAnsi="Times New Roman"/>
            <w:b w:val="false"/>
            <w:i w:val="false"/>
            <w:color w:val="000000"/>
            <w:sz w:val="24"/>
          </w:rPr>
          <w:t>21—Chapter 44</w:t>
        </w:r>
      </w:hyperlink>
      <w:r>
        <w:rPr>
          <w:rFonts w:ascii="Times New Roman" w:hAnsi="Times New Roman"/>
          <w:b w:val="false"/>
          <w:i w:val="false"/>
          <w:color w:val="000000"/>
          <w:sz w:val="24"/>
        </w:rPr>
        <w:t xml:space="preserve"> or an agricultural liming material pursuant to </w:t>
      </w:r>
      <w:hyperlink r:id="rId155">
        <w:r>
          <w:rPr>
            <w:rStyle w:val="Hyperlink"/>
            <w:rFonts w:ascii="Times New Roman" w:hAnsi="Times New Roman"/>
            <w:b w:val="false"/>
            <w:i w:val="false"/>
            <w:color w:val="000000"/>
            <w:sz w:val="24"/>
          </w:rPr>
          <w:t>21—Chapter 43</w:t>
        </w:r>
      </w:hyperlink>
      <w:r>
        <w:rPr>
          <w:rFonts w:ascii="Times New Roman" w:hAnsi="Times New Roman"/>
          <w:b w:val="false"/>
          <w:i w:val="false"/>
          <w:color w:val="000000"/>
          <w:sz w:val="24"/>
        </w:rPr>
        <w:t xml:space="preserve"> and other IDALS rules.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102.303(4)</w:t>
      </w:r>
      <w:r>
        <w:rPr>
          <w:rFonts w:ascii="Times New Roman" w:hAnsi="Times New Roman"/>
          <w:b w:val="false"/>
          <w:i w:val="false"/>
          <w:color w:val="000000"/>
          <w:sz w:val="24"/>
        </w:rPr>
        <w:t> </w:t>
      </w:r>
      <w:r>
        <w:rPr>
          <w:rFonts w:ascii="Times New Roman" w:hAnsi="Times New Roman"/>
          <w:b w:val="false"/>
          <w:i/>
          <w:color w:val="000000"/>
          <w:sz w:val="24"/>
        </w:rPr>
        <w:t xml:space="preserve">Foundry sand. </w:t>
      </w:r>
      <w:r>
        <w:rPr>
          <w:rFonts w:ascii="Times New Roman" w:hAnsi="Times New Roman"/>
          <w:b w:val="false"/>
          <w:i w:val="false"/>
          <w:color w:val="000000"/>
          <w:sz w:val="24"/>
        </w:rPr>
        <w:t>Foundry sand from steel and ferrous casting may be used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Leachate control drainage material at a sanitary landfill.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Subbase for hard-surface pavement construction.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Structural fill or fill material.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Emergency flood control use for sandbags.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Sandblasting or other abrasive.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102.303(5)</w:t>
      </w:r>
      <w:r>
        <w:rPr>
          <w:rFonts w:ascii="Times New Roman" w:hAnsi="Times New Roman"/>
          <w:b w:val="false"/>
          <w:i w:val="false"/>
          <w:color w:val="000000"/>
          <w:sz w:val="24"/>
        </w:rPr>
        <w:t> </w:t>
      </w:r>
      <w:r>
        <w:rPr>
          <w:rFonts w:ascii="Times New Roman" w:hAnsi="Times New Roman"/>
          <w:b w:val="false"/>
          <w:i/>
          <w:color w:val="000000"/>
          <w:sz w:val="24"/>
        </w:rPr>
        <w:t xml:space="preserve">Glass. </w:t>
      </w:r>
      <w:r>
        <w:rPr>
          <w:rFonts w:ascii="Times New Roman" w:hAnsi="Times New Roman"/>
          <w:b w:val="false"/>
          <w:i w:val="false"/>
          <w:color w:val="000000"/>
          <w:sz w:val="24"/>
        </w:rPr>
        <w:t>Uncontaminated, unleaded glass may be used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Leachate control drainage material at a sanitary landfill.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Subbase for hard-surface pavement construction.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Structural fill or fill material.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Sandblasting or other abrasive.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Filter media.</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102.303(6)</w:t>
      </w:r>
      <w:r>
        <w:rPr>
          <w:rFonts w:ascii="Times New Roman" w:hAnsi="Times New Roman"/>
          <w:b w:val="false"/>
          <w:i w:val="false"/>
          <w:color w:val="000000"/>
          <w:sz w:val="24"/>
        </w:rPr>
        <w:t> </w:t>
      </w:r>
      <w:r>
        <w:rPr>
          <w:rFonts w:ascii="Times New Roman" w:hAnsi="Times New Roman"/>
          <w:b w:val="false"/>
          <w:i/>
          <w:color w:val="000000"/>
          <w:sz w:val="24"/>
        </w:rPr>
        <w:t xml:space="preserve">Gypsum and gypsum wallboard. </w:t>
      </w:r>
      <w:r>
        <w:rPr>
          <w:rFonts w:ascii="Times New Roman" w:hAnsi="Times New Roman"/>
          <w:b w:val="false"/>
          <w:i w:val="false"/>
          <w:color w:val="000000"/>
          <w:sz w:val="24"/>
        </w:rPr>
        <w:t xml:space="preserve">Gypsum and gypsum wallboard that have not been treated to be water-resistant or flame-retardant may be used as a soil amendment pursuant to </w:t>
      </w:r>
      <w:hyperlink r:id="rId156">
        <w:r>
          <w:rPr>
            <w:rStyle w:val="Hyperlink"/>
            <w:rFonts w:ascii="Times New Roman" w:hAnsi="Times New Roman"/>
            <w:b w:val="false"/>
            <w:i w:val="false"/>
            <w:color w:val="000000"/>
            <w:sz w:val="24"/>
          </w:rPr>
          <w:t>21—Chapter 44</w:t>
        </w:r>
      </w:hyperlink>
      <w:r>
        <w:rPr>
          <w:rFonts w:ascii="Times New Roman" w:hAnsi="Times New Roman"/>
          <w:b w:val="false"/>
          <w:i w:val="false"/>
          <w:color w:val="000000"/>
          <w:sz w:val="24"/>
        </w:rPr>
        <w:t xml:space="preserve"> and other IDALS rules.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102.303(7)</w:t>
      </w:r>
      <w:r>
        <w:rPr>
          <w:rFonts w:ascii="Times New Roman" w:hAnsi="Times New Roman"/>
          <w:b w:val="false"/>
          <w:i w:val="false"/>
          <w:color w:val="000000"/>
          <w:sz w:val="24"/>
        </w:rPr>
        <w:t> </w:t>
      </w:r>
      <w:r>
        <w:rPr>
          <w:rFonts w:ascii="Times New Roman" w:hAnsi="Times New Roman"/>
          <w:b w:val="false"/>
          <w:i/>
          <w:color w:val="000000"/>
          <w:sz w:val="24"/>
        </w:rPr>
        <w:t xml:space="preserve">Lime. </w:t>
      </w:r>
      <w:r>
        <w:rPr>
          <w:rFonts w:ascii="Times New Roman" w:hAnsi="Times New Roman"/>
          <w:b w:val="false"/>
          <w:i w:val="false"/>
          <w:color w:val="000000"/>
          <w:sz w:val="24"/>
        </w:rPr>
        <w:t xml:space="preserve">Lime produced as a by-product of public water supplies may be used as a soil amendment pursuant to </w:t>
      </w:r>
      <w:hyperlink r:id="rId157">
        <w:r>
          <w:rPr>
            <w:rStyle w:val="Hyperlink"/>
            <w:rFonts w:ascii="Times New Roman" w:hAnsi="Times New Roman"/>
            <w:b w:val="false"/>
            <w:i w:val="false"/>
            <w:color w:val="000000"/>
            <w:sz w:val="24"/>
          </w:rPr>
          <w:t>21—Chapter 44</w:t>
        </w:r>
      </w:hyperlink>
      <w:r>
        <w:rPr>
          <w:rFonts w:ascii="Times New Roman" w:hAnsi="Times New Roman"/>
          <w:b w:val="false"/>
          <w:i w:val="false"/>
          <w:color w:val="000000"/>
          <w:sz w:val="24"/>
        </w:rPr>
        <w:t xml:space="preserve"> or an agricultural liming material pursuant to </w:t>
      </w:r>
      <w:hyperlink r:id="rId158">
        <w:r>
          <w:rPr>
            <w:rStyle w:val="Hyperlink"/>
            <w:rFonts w:ascii="Times New Roman" w:hAnsi="Times New Roman"/>
            <w:b w:val="false"/>
            <w:i w:val="false"/>
            <w:color w:val="000000"/>
            <w:sz w:val="24"/>
          </w:rPr>
          <w:t>21—Chapter 43</w:t>
        </w:r>
      </w:hyperlink>
      <w:r>
        <w:rPr>
          <w:rFonts w:ascii="Times New Roman" w:hAnsi="Times New Roman"/>
          <w:b w:val="false"/>
          <w:i w:val="false"/>
          <w:color w:val="000000"/>
          <w:sz w:val="24"/>
        </w:rPr>
        <w:t xml:space="preserve"> and other IDALS rules.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102.303(8)</w:t>
      </w:r>
      <w:r>
        <w:rPr>
          <w:rFonts w:ascii="Times New Roman" w:hAnsi="Times New Roman"/>
          <w:b w:val="false"/>
          <w:i w:val="false"/>
          <w:color w:val="000000"/>
          <w:sz w:val="24"/>
        </w:rPr>
        <w:t> </w:t>
      </w:r>
      <w:r>
        <w:rPr>
          <w:rFonts w:ascii="Times New Roman" w:hAnsi="Times New Roman"/>
          <w:b w:val="false"/>
          <w:i/>
          <w:color w:val="000000"/>
          <w:sz w:val="24"/>
        </w:rPr>
        <w:t xml:space="preserve">Lime kiln dust. </w:t>
      </w:r>
      <w:r>
        <w:rPr>
          <w:rFonts w:ascii="Times New Roman" w:hAnsi="Times New Roman"/>
          <w:b w:val="false"/>
          <w:i w:val="false"/>
          <w:color w:val="000000"/>
          <w:sz w:val="24"/>
        </w:rPr>
        <w:t>Lime kiln dust may be used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Subbase for hard-surface pavement construction.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A soil amendment pursuant to </w:t>
      </w:r>
      <w:hyperlink r:id="rId159">
        <w:r>
          <w:rPr>
            <w:rStyle w:val="Hyperlink"/>
            <w:rFonts w:ascii="Times New Roman" w:hAnsi="Times New Roman"/>
            <w:b w:val="false"/>
            <w:i w:val="false"/>
            <w:color w:val="000000"/>
            <w:sz w:val="24"/>
          </w:rPr>
          <w:t>21—Chapter 44</w:t>
        </w:r>
      </w:hyperlink>
      <w:r>
        <w:rPr>
          <w:rFonts w:ascii="Times New Roman" w:hAnsi="Times New Roman"/>
          <w:b w:val="false"/>
          <w:i w:val="false"/>
          <w:color w:val="000000"/>
          <w:sz w:val="24"/>
        </w:rPr>
        <w:t xml:space="preserve"> or an agricultural liming material pursuant to </w:t>
      </w:r>
      <w:hyperlink r:id="rId160">
        <w:r>
          <w:rPr>
            <w:rStyle w:val="Hyperlink"/>
            <w:rFonts w:ascii="Times New Roman" w:hAnsi="Times New Roman"/>
            <w:b w:val="false"/>
            <w:i w:val="false"/>
            <w:color w:val="000000"/>
            <w:sz w:val="24"/>
          </w:rPr>
          <w:t>21—Chapter 43</w:t>
        </w:r>
      </w:hyperlink>
      <w:r>
        <w:rPr>
          <w:rFonts w:ascii="Times New Roman" w:hAnsi="Times New Roman"/>
          <w:b w:val="false"/>
          <w:i w:val="false"/>
          <w:color w:val="000000"/>
          <w:sz w:val="24"/>
        </w:rPr>
        <w:t xml:space="preserve"> and other IDALS rules.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 stabilizer for manure and waste sludge.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For soil stabilization purposes.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Structural fill or fill material.</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102.303(9)</w:t>
      </w:r>
      <w:r>
        <w:rPr>
          <w:rFonts w:ascii="Times New Roman" w:hAnsi="Times New Roman"/>
          <w:b w:val="false"/>
          <w:i w:val="false"/>
          <w:color w:val="000000"/>
          <w:sz w:val="24"/>
        </w:rPr>
        <w:t> </w:t>
      </w:r>
      <w:r>
        <w:rPr>
          <w:rFonts w:ascii="Times New Roman" w:hAnsi="Times New Roman"/>
          <w:b w:val="false"/>
          <w:i/>
          <w:color w:val="000000"/>
          <w:sz w:val="24"/>
        </w:rPr>
        <w:t xml:space="preserve">Paper mill sludge. </w:t>
      </w:r>
      <w:r>
        <w:rPr>
          <w:rFonts w:ascii="Times New Roman" w:hAnsi="Times New Roman"/>
          <w:b w:val="false"/>
          <w:i w:val="false"/>
          <w:color w:val="000000"/>
          <w:sz w:val="24"/>
        </w:rPr>
        <w:t>Uncontaminated, dewatered paper mill sludge may be used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 fuel or energy source.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Bulking agent or carbon source for composting.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Animal bedding.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102.303(10)</w:t>
      </w:r>
      <w:r>
        <w:rPr>
          <w:rFonts w:ascii="Times New Roman" w:hAnsi="Times New Roman"/>
          <w:b w:val="false"/>
          <w:i w:val="false"/>
          <w:color w:val="000000"/>
          <w:sz w:val="24"/>
        </w:rPr>
        <w:t> </w:t>
      </w:r>
      <w:r>
        <w:rPr>
          <w:rFonts w:ascii="Times New Roman" w:hAnsi="Times New Roman"/>
          <w:b w:val="false"/>
          <w:i/>
          <w:color w:val="000000"/>
          <w:sz w:val="24"/>
        </w:rPr>
        <w:t xml:space="preserve">Rubble. </w:t>
      </w:r>
      <w:r>
        <w:rPr>
          <w:rFonts w:ascii="Times New Roman" w:hAnsi="Times New Roman"/>
          <w:b w:val="false"/>
          <w:i w:val="false"/>
          <w:color w:val="000000"/>
          <w:sz w:val="24"/>
        </w:rPr>
        <w:t>Uncontaminated rubble such as dirt, stone, brick, or similar inorganic materials may be used for beneficial fill, landscaping, excavation, or grading or as a substitute for conventional aggregate at places other than a sanitary disposal project. Asphalt, however, shall not be approved for any of these uses if such use will cause the asphalt to be placed in a waterway or wetland, in any waters of the state, or within a floodplain.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102.303(11)</w:t>
      </w:r>
      <w:r>
        <w:rPr>
          <w:rFonts w:ascii="Times New Roman" w:hAnsi="Times New Roman"/>
          <w:b w:val="false"/>
          <w:i w:val="false"/>
          <w:color w:val="000000"/>
          <w:sz w:val="24"/>
        </w:rPr>
        <w:t> </w:t>
      </w:r>
      <w:r>
        <w:rPr>
          <w:rFonts w:ascii="Times New Roman" w:hAnsi="Times New Roman"/>
          <w:b w:val="false"/>
          <w:i/>
          <w:color w:val="000000"/>
          <w:sz w:val="24"/>
        </w:rPr>
        <w:t xml:space="preserve">Sandblasting abrasives. </w:t>
      </w:r>
      <w:r>
        <w:rPr>
          <w:rFonts w:ascii="Times New Roman" w:hAnsi="Times New Roman"/>
          <w:b w:val="false"/>
          <w:i w:val="false"/>
          <w:color w:val="000000"/>
          <w:sz w:val="24"/>
        </w:rPr>
        <w:t>Sandblasting abrasives that do not contain heavy metal-based paint may be used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Subbase for hard-surface pavement construction.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Structural fill or fill material.</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102.303(12)</w:t>
      </w:r>
      <w:r>
        <w:rPr>
          <w:rFonts w:ascii="Times New Roman" w:hAnsi="Times New Roman"/>
          <w:b w:val="false"/>
          <w:i w:val="false"/>
          <w:color w:val="000000"/>
          <w:sz w:val="24"/>
        </w:rPr>
        <w:t> </w:t>
      </w:r>
      <w:r>
        <w:rPr>
          <w:rFonts w:ascii="Times New Roman" w:hAnsi="Times New Roman"/>
          <w:b w:val="false"/>
          <w:i/>
          <w:color w:val="000000"/>
          <w:sz w:val="24"/>
        </w:rPr>
        <w:t xml:space="preserve">Wastewater filter sand. </w:t>
      </w:r>
      <w:r>
        <w:rPr>
          <w:rFonts w:ascii="Times New Roman" w:hAnsi="Times New Roman"/>
          <w:b w:val="false"/>
          <w:i w:val="false"/>
          <w:color w:val="000000"/>
          <w:sz w:val="24"/>
        </w:rPr>
        <w:t>Wastewater filter sand free of pathogens may be used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Subbase for hard-surface pavement construction.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Leachate control drainage material at a sanitary landfill.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Structural fill or fill material.</w:t>
      </w:r>
    </w:p>
    <w:p>
      <w:pPr>
        <w:spacing w:before="0" w:after="0" w:line="480"/>
        <w:ind w:left="120"/>
        <w:jc w:val="both"/>
      </w:pPr>
      <w:r>
        <w:rPr>
          <w:rFonts w:ascii="Times New Roman" w:hAnsi="Times New Roman"/>
          <w:b/>
          <w:i w:val="false"/>
          <w:color w:val="000000"/>
          <w:sz w:val="24"/>
        </w:rPr>
        <w:t>567—102.304</w:t>
      </w:r>
      <w:r>
        <w:rPr>
          <w:rFonts w:ascii="Times New Roman" w:hAnsi="Times New Roman"/>
          <w:b/>
          <w:i w:val="false"/>
          <w:color w:val="000000"/>
          <w:sz w:val="24"/>
        </w:rPr>
        <w:t xml:space="preserve">(455B) </w:t>
      </w:r>
      <w:r>
        <w:rPr>
          <w:rFonts w:ascii="Times New Roman" w:hAnsi="Times New Roman"/>
          <w:b/>
          <w:i w:val="false"/>
          <w:color w:val="000000"/>
          <w:sz w:val="24"/>
        </w:rPr>
        <w:t xml:space="preserve">Application requirements for beneficial use determinations. </w:t>
      </w:r>
      <w:r>
        <w:rPr>
          <w:rFonts w:ascii="Times New Roman" w:hAnsi="Times New Roman"/>
          <w:b w:val="false"/>
          <w:i w:val="false"/>
          <w:color w:val="000000"/>
          <w:sz w:val="24"/>
        </w:rPr>
        <w:t xml:space="preserve">Unless the beneficial use is approved pursuant to </w:t>
      </w:r>
      <w:hyperlink r:id="rId161">
        <w:r>
          <w:rPr>
            <w:rStyle w:val="Hyperlink"/>
            <w:rFonts w:ascii="Times New Roman" w:hAnsi="Times New Roman"/>
            <w:b w:val="false"/>
            <w:i w:val="false"/>
            <w:color w:val="000000"/>
            <w:sz w:val="24"/>
          </w:rPr>
          <w:t>567—102.303</w:t>
        </w:r>
      </w:hyperlink>
      <w:r>
        <w:rPr>
          <w:rFonts w:ascii="Times New Roman" w:hAnsi="Times New Roman"/>
          <w:b w:val="false"/>
          <w:i w:val="false"/>
          <w:color w:val="000000"/>
          <w:sz w:val="24"/>
        </w:rPr>
        <w:t>(455B), applicants will need to submit the following information on a form prescribed by the department. The department may request that additional information be submitted in order to make a beneficial use determination. The department may also require specific conditions on a beneficial use determination and issue a temporary determination on a trial basis.</w:t>
      </w:r>
    </w:p>
    <w:p>
      <w:pPr>
        <w:spacing w:before="0" w:after="0" w:line="480"/>
        <w:ind w:left="120"/>
        <w:jc w:val="both"/>
      </w:pPr>
      <w:r>
        <w:rPr>
          <w:rFonts w:ascii="Times New Roman" w:hAnsi="Times New Roman"/>
          <w:b w:val="false"/>
          <w:i w:val="false"/>
          <w:color w:val="000000"/>
          <w:sz w:val="24"/>
        </w:rPr>
        <w:t>A generator, user, or proposed user of a solid by-product may apply to the department in writing for a beneficial use determination. If the department finds the application information to be incomplete, then it shall notify the applicant in writing of that fact and of the specific deficiencies and return the application materials to the applicant within 30 days of such notification. The applicant may reapply without prejudice.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102.304(1)</w:t>
      </w:r>
      <w:r>
        <w:rPr>
          <w:rFonts w:ascii="Times New Roman" w:hAnsi="Times New Roman"/>
          <w:b w:val="false"/>
          <w:i w:val="false"/>
          <w:color w:val="000000"/>
          <w:sz w:val="24"/>
        </w:rPr>
        <w:t> </w:t>
      </w:r>
      <w:r>
        <w:rPr>
          <w:rFonts w:ascii="Times New Roman" w:hAnsi="Times New Roman"/>
          <w:b w:val="false"/>
          <w:i w:val="false"/>
          <w:color w:val="000000"/>
          <w:sz w:val="24"/>
        </w:rPr>
        <w:t>The name, address, email, and telephone number of:</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Owner of the site where the project will be located.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Applicant for the beneficial use determination.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Official responsible for the operation of the project.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Professional engineer (P.E.) licensed by the state of Iowa and retained for the project, if any. The department may, at its sole discretion, require the applicant to retain a professional engineer for the project or specific parts thereof in order to obtain a beneficial use determination.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Agency to be served by the project, if any.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Responsible official of agency to be served, if any.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102.304(2)</w:t>
      </w:r>
      <w:r>
        <w:rPr>
          <w:rFonts w:ascii="Times New Roman" w:hAnsi="Times New Roman"/>
          <w:b w:val="false"/>
          <w:i w:val="false"/>
          <w:color w:val="000000"/>
          <w:sz w:val="24"/>
        </w:rPr>
        <w:t> </w:t>
      </w:r>
      <w:r>
        <w:rPr>
          <w:rFonts w:ascii="Times New Roman" w:hAnsi="Times New Roman"/>
          <w:b w:val="false"/>
          <w:i w:val="false"/>
          <w:color w:val="000000"/>
          <w:sz w:val="24"/>
        </w:rPr>
        <w:t>Scaled map or aerial photograph locating the boundaries of the proposed beneficial use site, if applicable, and identifying: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North and other principal compass points.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Section lines and other legal boundaries.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Zoning and land use within 750 feet.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Homes and buildings within 750 feet.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Haul routes to and from the site, including load limits or other restrictions on those routes.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102.304(3)</w:t>
      </w:r>
      <w:r>
        <w:rPr>
          <w:rFonts w:ascii="Times New Roman" w:hAnsi="Times New Roman"/>
          <w:b w:val="false"/>
          <w:i w:val="false"/>
          <w:color w:val="000000"/>
          <w:sz w:val="24"/>
        </w:rPr>
        <w:t> </w:t>
      </w:r>
      <w:r>
        <w:rPr>
          <w:rFonts w:ascii="Times New Roman" w:hAnsi="Times New Roman"/>
          <w:b w:val="false"/>
          <w:i w:val="false"/>
          <w:color w:val="000000"/>
          <w:sz w:val="24"/>
        </w:rPr>
        <w:t>A description of the solid by-product under review and its proposed use, including the process that will be used to transport and handle the solid by-product, including any equipment.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102.304(4)</w:t>
      </w:r>
      <w:r>
        <w:rPr>
          <w:rFonts w:ascii="Times New Roman" w:hAnsi="Times New Roman"/>
          <w:b w:val="false"/>
          <w:i w:val="false"/>
          <w:color w:val="000000"/>
          <w:sz w:val="24"/>
        </w:rPr>
        <w:t> </w:t>
      </w:r>
      <w:r>
        <w:rPr>
          <w:rFonts w:ascii="Times New Roman" w:hAnsi="Times New Roman"/>
          <w:b w:val="false"/>
          <w:i w:val="false"/>
          <w:color w:val="000000"/>
          <w:sz w:val="24"/>
        </w:rPr>
        <w:t>The chemical and physical characteristics of the solid by-product under review.</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102.304(5)</w:t>
      </w:r>
      <w:r>
        <w:rPr>
          <w:rFonts w:ascii="Times New Roman" w:hAnsi="Times New Roman"/>
          <w:b w:val="false"/>
          <w:i w:val="false"/>
          <w:color w:val="000000"/>
          <w:sz w:val="24"/>
        </w:rPr>
        <w:t> </w:t>
      </w:r>
      <w:r>
        <w:rPr>
          <w:rFonts w:ascii="Times New Roman" w:hAnsi="Times New Roman"/>
          <w:b w:val="false"/>
          <w:i w:val="false"/>
          <w:color w:val="000000"/>
          <w:sz w:val="24"/>
        </w:rPr>
        <w:t>A demonstration that there is a known or reasonably probable market for the intended use of the solid by-product under review by providing one or more of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 contract to purchase or utilize the solid by-product for the use proposed.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 description of how the solid by-product will be used.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 demonstration that the solid by-product complies with industry standards and specifications for that product.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Applications submitted by persons other than the generator must be accompanied by written consent for the proposed use from the generator.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Other documentation that a market for the solid by-product exists.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102.304(6)</w:t>
      </w:r>
      <w:r>
        <w:rPr>
          <w:rFonts w:ascii="Times New Roman" w:hAnsi="Times New Roman"/>
          <w:b w:val="false"/>
          <w:i w:val="false"/>
          <w:color w:val="000000"/>
          <w:sz w:val="24"/>
        </w:rPr>
        <w:t> </w:t>
      </w:r>
      <w:r>
        <w:rPr>
          <w:rFonts w:ascii="Times New Roman" w:hAnsi="Times New Roman"/>
          <w:b w:val="false"/>
          <w:i w:val="false"/>
          <w:color w:val="000000"/>
          <w:sz w:val="24"/>
        </w:rPr>
        <w:t>A demonstration that the proposed use of the solid by-product will not adversely affect human health and the environment. On a form prescribed by the department, the demonstration may include but is not limited to a toxicity characteristics leaching procedure analysis and total metals testing of a representative sample of the solid by-product.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102.304(7)</w:t>
      </w:r>
      <w:r>
        <w:rPr>
          <w:rFonts w:ascii="Times New Roman" w:hAnsi="Times New Roman"/>
          <w:b w:val="false"/>
          <w:i w:val="false"/>
          <w:color w:val="000000"/>
          <w:sz w:val="24"/>
        </w:rPr>
        <w:t> </w:t>
      </w:r>
      <w:r>
        <w:rPr>
          <w:rFonts w:ascii="Times New Roman" w:hAnsi="Times New Roman"/>
          <w:b w:val="false"/>
          <w:i w:val="false"/>
          <w:color w:val="000000"/>
          <w:sz w:val="24"/>
        </w:rPr>
        <w:t xml:space="preserve">A solid by-product management plan pursuant to </w:t>
      </w:r>
      <w:hyperlink r:id="rId162">
        <w:r>
          <w:rPr>
            <w:rStyle w:val="Hyperlink"/>
            <w:rFonts w:ascii="Times New Roman" w:hAnsi="Times New Roman"/>
            <w:b w:val="false"/>
            <w:i w:val="false"/>
            <w:color w:val="000000"/>
            <w:sz w:val="24"/>
          </w:rPr>
          <w:t>102.305(3)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567—102.305</w:t>
      </w:r>
      <w:r>
        <w:rPr>
          <w:rFonts w:ascii="Times New Roman" w:hAnsi="Times New Roman"/>
          <w:b/>
          <w:i w:val="false"/>
          <w:color w:val="000000"/>
          <w:sz w:val="24"/>
        </w:rPr>
        <w:t xml:space="preserve">(455B) </w:t>
      </w:r>
      <w:r>
        <w:rPr>
          <w:rFonts w:ascii="Times New Roman" w:hAnsi="Times New Roman"/>
          <w:b/>
          <w:i w:val="false"/>
          <w:color w:val="000000"/>
          <w:sz w:val="24"/>
        </w:rPr>
        <w:t xml:space="preserve">Requirements for beneficial use determinations.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102.305(1)</w:t>
      </w:r>
      <w:r>
        <w:rPr>
          <w:rFonts w:ascii="Times New Roman" w:hAnsi="Times New Roman"/>
          <w:b w:val="false"/>
          <w:i w:val="false"/>
          <w:color w:val="000000"/>
          <w:sz w:val="24"/>
        </w:rPr>
        <w:t> </w:t>
      </w:r>
      <w:r>
        <w:rPr>
          <w:rFonts w:ascii="Times New Roman" w:hAnsi="Times New Roman"/>
          <w:b w:val="false"/>
          <w:i/>
          <w:color w:val="000000"/>
          <w:sz w:val="24"/>
        </w:rPr>
        <w:t xml:space="preserve">Solid by-products applied to land. </w:t>
      </w:r>
      <w:r>
        <w:rPr>
          <w:rFonts w:ascii="Times New Roman" w:hAnsi="Times New Roman"/>
          <w:b w:val="false"/>
          <w:i w:val="false"/>
          <w:color w:val="000000"/>
          <w:sz w:val="24"/>
        </w:rPr>
        <w:t xml:space="preserve">Unless otherwise approved by the department, all beneficial uses, including those listed in </w:t>
      </w:r>
      <w:hyperlink r:id="rId163">
        <w:r>
          <w:rPr>
            <w:rStyle w:val="Hyperlink"/>
            <w:rFonts w:ascii="Times New Roman" w:hAnsi="Times New Roman"/>
            <w:b w:val="false"/>
            <w:i w:val="false"/>
            <w:color w:val="000000"/>
            <w:sz w:val="24"/>
          </w:rPr>
          <w:t>567—102.303</w:t>
        </w:r>
      </w:hyperlink>
      <w:r>
        <w:rPr>
          <w:rFonts w:ascii="Times New Roman" w:hAnsi="Times New Roman"/>
          <w:b w:val="false"/>
          <w:i w:val="false"/>
          <w:color w:val="000000"/>
          <w:sz w:val="24"/>
        </w:rPr>
        <w:t>(455B) other than uncontaminated rubble and soil, shall meet the following requirements if the beneficial use entails the solid by-product being used as a fill material, structural fill, or subbase for hard-surface pavement construction or for soil stabilization purposes: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Leachate characteristics of the solid by-product to be measured by the toxicity characteristics leaching procedure (TCLP, Environmental Protection Agency (EPA) Method 1311) and be consistent with federal regulations (Reference: Table 1, Subpart C, 40 CFR 261, Maximum Concentration of Contaminants for the Toxicity Characteristic).</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Leachate characteristics of the solid by-product to be measured by the synthetic precipitation leaching procedure (SPLP, EPA Method 1312) and shall be less than or equal to ten times the maximum contaminant levels (MCL) for drinking water (Reference: Subpart G, 40 CFR 141, National Primary Drinking Water Regulations). Applicants may limit the SPLP analytes to total metals for drinking water.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Total metals testing of the solid by-product (Total Metals, EPA Method 6010) shall comply with the department’s current statewide standards for soil (reported on dry weight basis) pursuant to </w:t>
      </w:r>
      <w:hyperlink r:id="rId164">
        <w:r>
          <w:rPr>
            <w:rStyle w:val="Hyperlink"/>
            <w:rFonts w:ascii="Times New Roman" w:hAnsi="Times New Roman"/>
            <w:b w:val="false"/>
            <w:i w:val="false"/>
            <w:color w:val="000000"/>
            <w:sz w:val="24"/>
          </w:rPr>
          <w:t>567—Chapter 105</w:t>
        </w:r>
      </w:hyperlink>
      <w:r>
        <w:rPr>
          <w:rFonts w:ascii="Times New Roman" w:hAnsi="Times New Roman"/>
          <w:b w:val="false"/>
          <w:i w:val="false"/>
          <w:color w:val="000000"/>
          <w:sz w:val="24"/>
        </w:rPr>
        <w:t>, Division III. Levels shall be consistent with the statewide standards for soil or the naturally occurring (i.e., background) levels of the soil, whichever are greater.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The department may establish additional constituent standards from those outlined in this rule for a solid by-product. The department will review regulatory limits on a quarterly basis and post updates to the department website. It is the responsibility of each generator, applicant and end user to ensure solid by-products comply with the most current regulatory limits.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The solid by-product shall produce a material that has a pH:</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Greater than or equal to 5 and less than or equal to 8 if the solid by-product may be used as growing media either now or in the future.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Greater than or equal to 5 and less than 12 if the solid by-product is specifically intended not to be used as growing media either now or in the future. In this category, solid by-products with a pH equal to or greater than 10 but less than 12 shall be used only in areas where direct physical contact by humans for long periods of time is not expected to occur.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For applications where only the surface may serve as growing media either now or in the future, then at a minimum the top three feet shall have a pH greater than or equal to 5 and less than or equal to 8. Solid by-products below the top three feet shall have a pH greater than or equal to 5 and less than or equal to 12.</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The solid by-product shall not be placed in a waterway or wetland or any waters of the state or extend below or within five feet of the high water table.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 xml:space="preserve">The solid by-product shall not be placed within a 100-year floodplain unless in accordance with all local and department regulations, including </w:t>
      </w:r>
      <w:hyperlink r:id="rId165">
        <w:r>
          <w:rPr>
            <w:rStyle w:val="Hyperlink"/>
            <w:rFonts w:ascii="Times New Roman" w:hAnsi="Times New Roman"/>
            <w:b w:val="false"/>
            <w:i w:val="false"/>
            <w:color w:val="000000"/>
            <w:sz w:val="24"/>
          </w:rPr>
          <w:t>567—Chapter 71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The solid by-product shall not be placed closer than 200 feet to a sinkhole or to a well that is being used or could be used for human or livestock water consumption.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w:t>
      </w:r>
      <w:r>
        <w:rPr>
          <w:rFonts w:ascii="Times New Roman" w:hAnsi="Times New Roman"/>
          <w:b w:val="false"/>
          <w:i w:val="false"/>
          <w:color w:val="000000"/>
          <w:sz w:val="24"/>
        </w:rPr>
        <w:t>  </w:t>
      </w:r>
      <w:r>
        <w:rPr>
          <w:rFonts w:ascii="Times New Roman" w:hAnsi="Times New Roman"/>
          <w:b w:val="false"/>
          <w:i w:val="false"/>
          <w:color w:val="000000"/>
          <w:sz w:val="24"/>
        </w:rPr>
        <w:t>The solid by-product shall not be placed closer than 100 feet of any property line unless written consent is obtained from the adjacent landowner(s).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j.</w:t>
      </w:r>
      <w:r>
        <w:rPr>
          <w:rFonts w:ascii="Times New Roman" w:hAnsi="Times New Roman"/>
          <w:b w:val="false"/>
          <w:i w:val="false"/>
          <w:color w:val="000000"/>
          <w:sz w:val="24"/>
        </w:rPr>
        <w:t>  </w:t>
      </w:r>
      <w:r>
        <w:rPr>
          <w:rFonts w:ascii="Times New Roman" w:hAnsi="Times New Roman"/>
          <w:b w:val="false"/>
          <w:i w:val="false"/>
          <w:color w:val="000000"/>
          <w:sz w:val="24"/>
        </w:rPr>
        <w:t>The solid by-product shall not be putrescible.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k.</w:t>
      </w:r>
      <w:r>
        <w:rPr>
          <w:rFonts w:ascii="Times New Roman" w:hAnsi="Times New Roman"/>
          <w:b w:val="false"/>
          <w:i w:val="false"/>
          <w:color w:val="000000"/>
          <w:sz w:val="24"/>
        </w:rPr>
        <w:t>  </w:t>
      </w:r>
      <w:r>
        <w:rPr>
          <w:rFonts w:ascii="Times New Roman" w:hAnsi="Times New Roman"/>
          <w:b w:val="false"/>
          <w:i w:val="false"/>
          <w:color w:val="000000"/>
          <w:sz w:val="24"/>
        </w:rPr>
        <w:t>Any project utilizing a solid by-product being applied to land, not including uncontaminated rubble and soil, that has not received a beneficial use determination shall be presumed to constitute the illegal disposal of solid waste.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102.305(2)</w:t>
      </w:r>
      <w:r>
        <w:rPr>
          <w:rFonts w:ascii="Times New Roman" w:hAnsi="Times New Roman"/>
          <w:b w:val="false"/>
          <w:i w:val="false"/>
          <w:color w:val="000000"/>
          <w:sz w:val="24"/>
        </w:rPr>
        <w:t> </w:t>
      </w:r>
      <w:r>
        <w:rPr>
          <w:rFonts w:ascii="Times New Roman" w:hAnsi="Times New Roman"/>
          <w:b w:val="false"/>
          <w:i/>
          <w:color w:val="000000"/>
          <w:sz w:val="24"/>
        </w:rPr>
        <w:t xml:space="preserve">Determination. </w:t>
      </w:r>
      <w:r>
        <w:rPr>
          <w:rFonts w:ascii="Times New Roman" w:hAnsi="Times New Roman"/>
          <w:b w:val="false"/>
          <w:i w:val="false"/>
          <w:color w:val="000000"/>
          <w:sz w:val="24"/>
        </w:rPr>
        <w:t>The department may make a determination that a solid by-product that has received approval to be used beneficially ceases to be a solid waste if it is used in accordance with the terms and conditions of the beneficial use determination. Unless otherwise determined for the particular solid by-product under review, the point at which a solid by-product ceases to be a solid waste occurs when it is used in a manufacturing process to make a product, used as an effective substitute for a commercial product, or used as a fuel for energy recovery.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102.305(3)</w:t>
      </w:r>
      <w:r>
        <w:rPr>
          <w:rFonts w:ascii="Times New Roman" w:hAnsi="Times New Roman"/>
          <w:b w:val="false"/>
          <w:i w:val="false"/>
          <w:color w:val="000000"/>
          <w:sz w:val="24"/>
        </w:rPr>
        <w:t> </w:t>
      </w:r>
      <w:r>
        <w:rPr>
          <w:rFonts w:ascii="Times New Roman" w:hAnsi="Times New Roman"/>
          <w:b w:val="false"/>
          <w:i/>
          <w:color w:val="000000"/>
          <w:sz w:val="24"/>
        </w:rPr>
        <w:t xml:space="preserve">Solid by-product management plans. </w:t>
      </w:r>
      <w:r>
        <w:rPr>
          <w:rFonts w:ascii="Times New Roman" w:hAnsi="Times New Roman"/>
          <w:b w:val="false"/>
          <w:i w:val="false"/>
          <w:color w:val="000000"/>
          <w:sz w:val="24"/>
        </w:rPr>
        <w:t xml:space="preserve">Recipients of beneficial use determinations granted pursuant to </w:t>
      </w:r>
      <w:hyperlink r:id="rId166">
        <w:r>
          <w:rPr>
            <w:rStyle w:val="Hyperlink"/>
            <w:rFonts w:ascii="Times New Roman" w:hAnsi="Times New Roman"/>
            <w:b w:val="false"/>
            <w:i w:val="false"/>
            <w:color w:val="000000"/>
            <w:sz w:val="24"/>
          </w:rPr>
          <w:t>567—102.304</w:t>
        </w:r>
      </w:hyperlink>
      <w:r>
        <w:rPr>
          <w:rFonts w:ascii="Times New Roman" w:hAnsi="Times New Roman"/>
          <w:b w:val="false"/>
          <w:i w:val="false"/>
          <w:color w:val="000000"/>
          <w:sz w:val="24"/>
        </w:rPr>
        <w:t xml:space="preserve">(455B) and those beneficial uses listed in </w:t>
      </w:r>
      <w:hyperlink r:id="rId167">
        <w:r>
          <w:rPr>
            <w:rStyle w:val="Hyperlink"/>
            <w:rFonts w:ascii="Times New Roman" w:hAnsi="Times New Roman"/>
            <w:b w:val="false"/>
            <w:i w:val="false"/>
            <w:color w:val="000000"/>
            <w:sz w:val="24"/>
          </w:rPr>
          <w:t>102.305(1)</w:t>
        </w:r>
      </w:hyperlink>
      <w:r>
        <w:rPr>
          <w:rFonts w:ascii="Times New Roman" w:hAnsi="Times New Roman"/>
          <w:b w:val="false"/>
          <w:i w:val="false"/>
          <w:color w:val="000000"/>
          <w:sz w:val="24"/>
        </w:rPr>
        <w:t xml:space="preserve"> shall develop and maintain a solid by-product management plan (SBMP) that satisfies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Lists the source(s) of the solid by-product.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Outlines procedures for periodic testing (not less than semiannually) of the solid by-product to confirm the proposed use continues to be adequately protective of human health and the environment and that the solid by-product continues to possess the physical characteristics and chemical properties that make it suitable for the approved beneficial use. Testing results from a certified laboratory pursuant to </w:t>
      </w:r>
      <w:hyperlink r:id="rId168">
        <w:r>
          <w:rPr>
            <w:rStyle w:val="Hyperlink"/>
            <w:rFonts w:ascii="Times New Roman" w:hAnsi="Times New Roman"/>
            <w:b w:val="false"/>
            <w:i w:val="false"/>
            <w:color w:val="000000"/>
            <w:sz w:val="24"/>
          </w:rPr>
          <w:t>567—Chapter 83</w:t>
        </w:r>
      </w:hyperlink>
      <w:r>
        <w:rPr>
          <w:rFonts w:ascii="Times New Roman" w:hAnsi="Times New Roman"/>
          <w:b w:val="false"/>
          <w:i w:val="false"/>
          <w:color w:val="000000"/>
          <w:sz w:val="24"/>
        </w:rPr>
        <w:t xml:space="preserve"> are to be submitted as part of the SBMP on a form prescribed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Provides a description of storage procedures including: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Storage location(s).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Maximum anticipated inventory, including dimensions of any stockpiles.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Run-on and runoff controls, which may include a storm water National Pollutant Discharge Elimination System (NPDES) permit.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Management practices to minimize uncontrolled dispersion of the solid by-product.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Maximum storage time, not to exceed six months unless authorized in writing by the department.</w:t>
      </w:r>
    </w:p>
    <w:p>
      <w:pPr>
        <w:spacing w:before="0" w:after="0" w:line="480"/>
        <w:ind w:left="120"/>
        <w:jc w:val="both"/>
      </w:pPr>
      <w:r>
        <w:rPr>
          <w:rFonts w:ascii="Times New Roman" w:hAnsi="Times New Roman"/>
          <w:b/>
          <w:i w:val="false"/>
          <w:color w:val="000000"/>
          <w:sz w:val="24"/>
        </w:rPr>
        <w:t>567—102.306</w:t>
      </w:r>
      <w:r>
        <w:rPr>
          <w:rFonts w:ascii="Times New Roman" w:hAnsi="Times New Roman"/>
          <w:b/>
          <w:i w:val="false"/>
          <w:color w:val="000000"/>
          <w:sz w:val="24"/>
        </w:rPr>
        <w:t xml:space="preserve">(455B) </w:t>
      </w:r>
      <w:r>
        <w:rPr>
          <w:rFonts w:ascii="Times New Roman" w:hAnsi="Times New Roman"/>
          <w:b/>
          <w:i w:val="false"/>
          <w:color w:val="000000"/>
          <w:sz w:val="24"/>
        </w:rPr>
        <w:t xml:space="preserve">Recordkeeping and reporting requirements. </w:t>
      </w:r>
      <w:r>
        <w:rPr>
          <w:rFonts w:ascii="Times New Roman" w:hAnsi="Times New Roman"/>
          <w:b w:val="false"/>
          <w:i w:val="false"/>
          <w:color w:val="000000"/>
          <w:sz w:val="24"/>
        </w:rPr>
        <w:t xml:space="preserve">Recipients of beneficial use determinations granted pursuant to </w:t>
      </w:r>
      <w:hyperlink r:id="rId169">
        <w:r>
          <w:rPr>
            <w:rStyle w:val="Hyperlink"/>
            <w:rFonts w:ascii="Times New Roman" w:hAnsi="Times New Roman"/>
            <w:b w:val="false"/>
            <w:i w:val="false"/>
            <w:color w:val="000000"/>
            <w:sz w:val="24"/>
          </w:rPr>
          <w:t>567—102.304</w:t>
        </w:r>
      </w:hyperlink>
      <w:r>
        <w:rPr>
          <w:rFonts w:ascii="Times New Roman" w:hAnsi="Times New Roman"/>
          <w:b w:val="false"/>
          <w:i w:val="false"/>
          <w:color w:val="000000"/>
          <w:sz w:val="24"/>
        </w:rPr>
        <w:t xml:space="preserve">(455B) and those beneficial uses listed in </w:t>
      </w:r>
      <w:hyperlink r:id="rId170">
        <w:r>
          <w:rPr>
            <w:rStyle w:val="Hyperlink"/>
            <w:rFonts w:ascii="Times New Roman" w:hAnsi="Times New Roman"/>
            <w:b w:val="false"/>
            <w:i w:val="false"/>
            <w:color w:val="000000"/>
            <w:sz w:val="24"/>
          </w:rPr>
          <w:t>102.305(1)</w:t>
        </w:r>
      </w:hyperlink>
      <w:r>
        <w:rPr>
          <w:rFonts w:ascii="Times New Roman" w:hAnsi="Times New Roman"/>
          <w:b w:val="false"/>
          <w:i w:val="false"/>
          <w:color w:val="000000"/>
          <w:sz w:val="24"/>
        </w:rPr>
        <w:t xml:space="preserve"> shall comply with the following recordkeeping and reporting requirements.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102.306(1)</w:t>
      </w:r>
      <w:r>
        <w:rPr>
          <w:rFonts w:ascii="Times New Roman" w:hAnsi="Times New Roman"/>
          <w:b w:val="false"/>
          <w:i w:val="false"/>
          <w:color w:val="000000"/>
          <w:sz w:val="24"/>
        </w:rPr>
        <w:t> </w:t>
      </w:r>
      <w:r>
        <w:rPr>
          <w:rFonts w:ascii="Times New Roman" w:hAnsi="Times New Roman"/>
          <w:b w:val="false"/>
          <w:i/>
          <w:color w:val="000000"/>
          <w:sz w:val="24"/>
        </w:rPr>
        <w:t xml:space="preserve">Recordkeeping. </w:t>
      </w:r>
      <w:r>
        <w:rPr>
          <w:rFonts w:ascii="Times New Roman" w:hAnsi="Times New Roman"/>
          <w:b w:val="false"/>
          <w:i w:val="false"/>
          <w:color w:val="000000"/>
          <w:sz w:val="24"/>
        </w:rPr>
        <w:t>An entity subject to this rule must maintain all records related to the solid by-product management plan for a minimum duration of five years after project completion.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102.306(2)</w:t>
      </w:r>
      <w:r>
        <w:rPr>
          <w:rFonts w:ascii="Times New Roman" w:hAnsi="Times New Roman"/>
          <w:b w:val="false"/>
          <w:i w:val="false"/>
          <w:color w:val="000000"/>
          <w:sz w:val="24"/>
        </w:rPr>
        <w:t> </w:t>
      </w:r>
      <w:r>
        <w:rPr>
          <w:rFonts w:ascii="Times New Roman" w:hAnsi="Times New Roman"/>
          <w:b w:val="false"/>
          <w:i/>
          <w:color w:val="000000"/>
          <w:sz w:val="24"/>
        </w:rPr>
        <w:t xml:space="preserve">Reporting. </w:t>
      </w:r>
      <w:r>
        <w:rPr>
          <w:rFonts w:ascii="Times New Roman" w:hAnsi="Times New Roman"/>
          <w:b w:val="false"/>
          <w:i w:val="false"/>
          <w:color w:val="000000"/>
          <w:sz w:val="24"/>
        </w:rPr>
        <w:t>Unless otherwise directed by the department, solid by-product management plans are to be filed with the department’s central office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An entity subject to this rule shall submit to the department a copy of the solid by-product management plan prior to reuse of the solid by-product, whenever that plan is revised, and within 60 days of the end of the calendar year, whichever is earlier.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An entity subject to this rule whose solid by-product is being applied to land pursuant to </w:t>
      </w:r>
      <w:hyperlink r:id="rId171">
        <w:r>
          <w:rPr>
            <w:rStyle w:val="Hyperlink"/>
            <w:rFonts w:ascii="Times New Roman" w:hAnsi="Times New Roman"/>
            <w:b w:val="false"/>
            <w:i w:val="false"/>
            <w:color w:val="000000"/>
            <w:sz w:val="24"/>
          </w:rPr>
          <w:t>102.305(1)</w:t>
        </w:r>
      </w:hyperlink>
      <w:r>
        <w:rPr>
          <w:rFonts w:ascii="Times New Roman" w:hAnsi="Times New Roman"/>
          <w:b w:val="false"/>
          <w:i w:val="false"/>
          <w:color w:val="000000"/>
          <w:sz w:val="24"/>
        </w:rPr>
        <w:t xml:space="preserve"> shall also submit to the department the following information for each beneficial use project or activity: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location of the project.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tons of solid by-product utilized for the project.</w:t>
      </w:r>
    </w:p>
    <w:p>
      <w:pPr>
        <w:spacing w:before="0" w:after="0" w:line="480"/>
        <w:ind w:left="120"/>
        <w:jc w:val="both"/>
      </w:pPr>
      <w:r>
        <w:rPr>
          <w:rFonts w:ascii="Times New Roman" w:hAnsi="Times New Roman"/>
          <w:b/>
          <w:i w:val="false"/>
          <w:color w:val="000000"/>
          <w:sz w:val="24"/>
        </w:rPr>
        <w:t>567—102.307</w:t>
      </w:r>
      <w:r>
        <w:rPr>
          <w:rFonts w:ascii="Times New Roman" w:hAnsi="Times New Roman"/>
          <w:b/>
          <w:i w:val="false"/>
          <w:color w:val="000000"/>
          <w:sz w:val="24"/>
        </w:rPr>
        <w:t xml:space="preserve">(455B) </w:t>
      </w:r>
      <w:r>
        <w:rPr>
          <w:rFonts w:ascii="Times New Roman" w:hAnsi="Times New Roman"/>
          <w:b/>
          <w:i w:val="false"/>
          <w:color w:val="000000"/>
          <w:sz w:val="24"/>
        </w:rPr>
        <w:t xml:space="preserve">Revocation of beneficial use determinations. </w:t>
      </w:r>
      <w:r>
        <w:rPr>
          <w:rFonts w:ascii="Times New Roman" w:hAnsi="Times New Roman"/>
          <w:b w:val="false"/>
          <w:i w:val="false"/>
          <w:color w:val="000000"/>
          <w:sz w:val="24"/>
        </w:rPr>
        <w:t>The department may revoke any beneficial use determination if it finds one or more of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102.307(1)</w:t>
      </w:r>
      <w:r>
        <w:rPr>
          <w:rFonts w:ascii="Times New Roman" w:hAnsi="Times New Roman"/>
          <w:b w:val="false"/>
          <w:i w:val="false"/>
          <w:color w:val="000000"/>
          <w:sz w:val="24"/>
        </w:rPr>
        <w:t> </w:t>
      </w:r>
      <w:r>
        <w:rPr>
          <w:rFonts w:ascii="Times New Roman" w:hAnsi="Times New Roman"/>
          <w:b w:val="false"/>
          <w:i w:val="false"/>
          <w:color w:val="000000"/>
          <w:sz w:val="24"/>
        </w:rPr>
        <w:t>The matters serving as the basis for the department’s determination were incomplete or incorrect or are no longer valid.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102.307(2)</w:t>
      </w:r>
      <w:r>
        <w:rPr>
          <w:rFonts w:ascii="Times New Roman" w:hAnsi="Times New Roman"/>
          <w:b w:val="false"/>
          <w:i w:val="false"/>
          <w:color w:val="000000"/>
          <w:sz w:val="24"/>
        </w:rPr>
        <w:t> </w:t>
      </w:r>
      <w:r>
        <w:rPr>
          <w:rFonts w:ascii="Times New Roman" w:hAnsi="Times New Roman"/>
          <w:b w:val="false"/>
          <w:i w:val="false"/>
          <w:color w:val="000000"/>
          <w:sz w:val="24"/>
        </w:rPr>
        <w:t>The department finds that there has been a violation of any law, rule, permit, or other authorization in its jurisdiction.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102.307(3)</w:t>
      </w:r>
      <w:r>
        <w:rPr>
          <w:rFonts w:ascii="Times New Roman" w:hAnsi="Times New Roman"/>
          <w:b w:val="false"/>
          <w:i w:val="false"/>
          <w:color w:val="000000"/>
          <w:sz w:val="24"/>
        </w:rPr>
        <w:t> </w:t>
      </w:r>
      <w:r>
        <w:rPr>
          <w:rFonts w:ascii="Times New Roman" w:hAnsi="Times New Roman"/>
          <w:b w:val="false"/>
          <w:i w:val="false"/>
          <w:color w:val="000000"/>
          <w:sz w:val="24"/>
        </w:rPr>
        <w:t>The department has reasonable cause to suspect, based upon information not previously considered or available as part of the application, demonstrating that management of the solid by-product under the approved beneficial use determination may present a significant risk to or adverse effect on human health and the environment.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102.307(4)</w:t>
      </w:r>
      <w:r>
        <w:rPr>
          <w:rFonts w:ascii="Times New Roman" w:hAnsi="Times New Roman"/>
          <w:b w:val="false"/>
          <w:i w:val="false"/>
          <w:color w:val="000000"/>
          <w:sz w:val="24"/>
        </w:rPr>
        <w:t> </w:t>
      </w:r>
      <w:r>
        <w:rPr>
          <w:rFonts w:ascii="Times New Roman" w:hAnsi="Times New Roman"/>
          <w:b w:val="false"/>
          <w:i w:val="false"/>
          <w:color w:val="000000"/>
          <w:sz w:val="24"/>
        </w:rPr>
        <w:t xml:space="preserve">The solid by-product is used in a manner inconsistent with the terms under which it was determined to no longer be a solid waste. The department may consider the placement, dumping, or other use of a solid by-product in a manner inconsistent with the beneficial use determination to be illegal disposal of solid waste, and the applicant, generator, distributer, or end user may be subject to enforcement action by the department pursuant to Iowa Code section </w:t>
      </w:r>
      <w:hyperlink r:id="rId172">
        <w:r>
          <w:rPr>
            <w:rStyle w:val="Hyperlink"/>
            <w:rFonts w:ascii="Times New Roman" w:hAnsi="Times New Roman"/>
            <w:b w:val="false"/>
            <w:i w:val="false"/>
            <w:color w:val="000000"/>
            <w:sz w:val="24"/>
          </w:rPr>
          <w:t>455B.307</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102.307(5)</w:t>
      </w:r>
      <w:r>
        <w:rPr>
          <w:rFonts w:ascii="Times New Roman" w:hAnsi="Times New Roman"/>
          <w:b w:val="false"/>
          <w:i w:val="false"/>
          <w:color w:val="000000"/>
          <w:sz w:val="24"/>
        </w:rPr>
        <w:t> </w:t>
      </w:r>
      <w:r>
        <w:rPr>
          <w:rFonts w:ascii="Times New Roman" w:hAnsi="Times New Roman"/>
          <w:b w:val="false"/>
          <w:i w:val="false"/>
          <w:color w:val="000000"/>
          <w:sz w:val="24"/>
        </w:rPr>
        <w:t>The applicant has requested the revocation of the determination or other legal grounds exist for such revocation.</w:t>
      </w:r>
    </w:p>
    <w:p>
      <w:pPr>
        <w:spacing w:before="0" w:after="0" w:line="480"/>
        <w:ind w:left="120"/>
        <w:jc w:val="both"/>
      </w:pPr>
      <w:r>
        <w:rPr>
          <w:rFonts w:ascii="Times New Roman" w:hAnsi="Times New Roman"/>
          <w:b/>
          <w:i w:val="false"/>
          <w:color w:val="000000"/>
          <w:sz w:val="24"/>
        </w:rPr>
        <w:t>567—102.308</w:t>
      </w:r>
      <w:r>
        <w:rPr>
          <w:rFonts w:ascii="Times New Roman" w:hAnsi="Times New Roman"/>
          <w:b/>
          <w:i w:val="false"/>
          <w:color w:val="000000"/>
          <w:sz w:val="24"/>
        </w:rPr>
        <w:t xml:space="preserve">(455B) </w:t>
      </w:r>
      <w:r>
        <w:rPr>
          <w:rFonts w:ascii="Times New Roman" w:hAnsi="Times New Roman"/>
          <w:b/>
          <w:i w:val="false"/>
          <w:color w:val="000000"/>
          <w:sz w:val="24"/>
        </w:rPr>
        <w:t xml:space="preserve">Denial of beneficial use determination applications. </w:t>
      </w:r>
      <w:r>
        <w:rPr>
          <w:rFonts w:ascii="Times New Roman" w:hAnsi="Times New Roman"/>
          <w:b w:val="false"/>
          <w:i w:val="false"/>
          <w:color w:val="000000"/>
          <w:sz w:val="24"/>
        </w:rPr>
        <w:t>For applications that are found to be inconsistent with these regulations by the department, the following conditions apply.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102.308(1)</w:t>
      </w:r>
      <w:r>
        <w:rPr>
          <w:rFonts w:ascii="Times New Roman" w:hAnsi="Times New Roman"/>
          <w:b w:val="false"/>
          <w:i w:val="false"/>
          <w:color w:val="000000"/>
          <w:sz w:val="24"/>
        </w:rPr>
        <w:t> </w:t>
      </w:r>
      <w:r>
        <w:rPr>
          <w:rFonts w:ascii="Times New Roman" w:hAnsi="Times New Roman"/>
          <w:b w:val="false"/>
          <w:i w:val="false"/>
          <w:color w:val="000000"/>
          <w:sz w:val="24"/>
        </w:rPr>
        <w:t>The department will notify the applicant in writing of the denial, including supporting rationale, within 90 days of receipt of application.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102.308(2)</w:t>
      </w:r>
      <w:r>
        <w:rPr>
          <w:rFonts w:ascii="Times New Roman" w:hAnsi="Times New Roman"/>
          <w:b w:val="false"/>
          <w:i w:val="false"/>
          <w:color w:val="000000"/>
          <w:sz w:val="24"/>
        </w:rPr>
        <w:t> </w:t>
      </w:r>
      <w:r>
        <w:rPr>
          <w:rFonts w:ascii="Times New Roman" w:hAnsi="Times New Roman"/>
          <w:b w:val="false"/>
          <w:i w:val="false"/>
          <w:color w:val="000000"/>
          <w:sz w:val="24"/>
        </w:rPr>
        <w:t>Solid by-products for which a beneficial use determination is denied by the department are considered solid waste and remain subject to all applicable state and federal statutes, ordinances, and regulations.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102.308(3)</w:t>
      </w:r>
      <w:r>
        <w:rPr>
          <w:rFonts w:ascii="Times New Roman" w:hAnsi="Times New Roman"/>
          <w:b w:val="false"/>
          <w:i w:val="false"/>
          <w:color w:val="000000"/>
          <w:sz w:val="24"/>
        </w:rPr>
        <w:t> </w:t>
      </w:r>
      <w:r>
        <w:rPr>
          <w:rFonts w:ascii="Times New Roman" w:hAnsi="Times New Roman"/>
          <w:b w:val="false"/>
          <w:i w:val="false"/>
          <w:color w:val="000000"/>
          <w:sz w:val="24"/>
        </w:rPr>
        <w:t xml:space="preserve">Applicants may appeal the denial of a beneficial use determination to the department within 60 days of notification of denial. Such appeal shall be made in a manner consistent with </w:t>
      </w:r>
      <w:hyperlink r:id="rId173">
        <w:r>
          <w:rPr>
            <w:rStyle w:val="Hyperlink"/>
            <w:rFonts w:ascii="Times New Roman" w:hAnsi="Times New Roman"/>
            <w:b w:val="false"/>
            <w:i w:val="false"/>
            <w:color w:val="000000"/>
            <w:sz w:val="24"/>
          </w:rPr>
          <w:t>7—Chapter 2506</w:t>
        </w:r>
      </w:hyperlink>
      <w:r>
        <w:rPr>
          <w:rFonts w:ascii="Times New Roman" w:hAnsi="Times New Roman"/>
          <w:b w:val="false"/>
          <w:i w:val="false"/>
          <w:color w:val="000000"/>
          <w:sz w:val="24"/>
        </w:rPr>
        <w:t xml:space="preserve"> and </w:t>
      </w:r>
      <w:hyperlink r:id="rId174">
        <w:r>
          <w:rPr>
            <w:rStyle w:val="Hyperlink"/>
            <w:rFonts w:ascii="Times New Roman" w:hAnsi="Times New Roman"/>
            <w:b w:val="false"/>
            <w:i w:val="false"/>
            <w:color w:val="000000"/>
            <w:sz w:val="24"/>
          </w:rPr>
          <w:t>561—Chapter 2506</w:t>
        </w:r>
      </w:hyperlink>
      <w:r>
        <w:rPr>
          <w:rFonts w:ascii="Times New Roman" w:hAnsi="Times New Roman"/>
          <w:b w:val="false"/>
          <w:i w:val="false"/>
          <w:color w:val="000000"/>
          <w:sz w:val="24"/>
        </w:rPr>
        <w:t>.</w:t>
      </w:r>
    </w:p>
    <w:p>
      <w:pPr>
        <w:spacing w:before="210" w:after="0" w:line="480"/>
        <w:ind w:left="120"/>
        <w:jc w:val="both"/>
      </w:pPr>
      <w:r>
        <w:rPr>
          <w:rFonts w:ascii="Times New Roman" w:hAnsi="Times New Roman"/>
          <w:b/>
          <w:i w:val="false"/>
          <w:color w:val="000000"/>
          <w:sz w:val="24"/>
        </w:rPr>
        <w:t>567—102.309</w:t>
      </w:r>
      <w:r>
        <w:rPr>
          <w:rFonts w:ascii="Times New Roman" w:hAnsi="Times New Roman"/>
          <w:b w:val="false"/>
          <w:i w:val="false"/>
          <w:color w:val="000000"/>
          <w:sz w:val="24"/>
        </w:rPr>
        <w:t xml:space="preserve"> to </w:t>
      </w:r>
      <w:r>
        <w:rPr>
          <w:rFonts w:ascii="Times New Roman" w:hAnsi="Times New Roman"/>
          <w:b/>
          <w:i w:val="false"/>
          <w:color w:val="000000"/>
          <w:sz w:val="24"/>
        </w:rPr>
        <w:t>102.399</w:t>
      </w:r>
      <w:r>
        <w:rPr>
          <w:rFonts w:ascii="Times New Roman" w:hAnsi="Times New Roman"/>
          <w:b w:val="false"/>
          <w:i w:val="false"/>
          <w:color w:val="000000"/>
          <w:sz w:val="24"/>
        </w:rPr>
        <w:t>Reserved.</w:t>
      </w:r>
    </w:p>
    <w:p>
      <w:pPr>
        <w:spacing w:before="0" w:after="0" w:line="480"/>
        <w:ind w:left="120"/>
        <w:jc w:val="both"/>
      </w:pPr>
      <w:r>
        <w:rPr>
          <w:rFonts w:ascii="Times New Roman" w:hAnsi="Times New Roman"/>
          <w:b w:val="false"/>
          <w:i w:val="false"/>
          <w:color w:val="000000"/>
          <w:sz w:val="24"/>
        </w:rPr>
        <w:t xml:space="preserve">These rules are intended to implement Iowa Code section </w:t>
      </w:r>
      <w:hyperlink r:id="rId175">
        <w:r>
          <w:rPr>
            <w:rStyle w:val="Hyperlink"/>
            <w:rFonts w:ascii="Times New Roman" w:hAnsi="Times New Roman"/>
            <w:b w:val="false"/>
            <w:i w:val="false"/>
            <w:color w:val="000000"/>
            <w:sz w:val="24"/>
          </w:rPr>
          <w:t>455B.304(19)</w:t>
        </w:r>
      </w:hyperlink>
      <w:r>
        <w:rPr>
          <w:rFonts w:ascii="Times New Roman" w:hAnsi="Times New Roman"/>
          <w:b w:val="false"/>
          <w:i w:val="false"/>
          <w:color w:val="000000"/>
          <w:sz w:val="24"/>
        </w:rPr>
        <w:t>.</w:t>
      </w:r>
    </w:p>
    <w:p>
      <w:pPr>
        <w:pBdr>
          <w:top w:space="10"/>
        </w:pBdr>
        <w:spacing w:before="0" w:after="0" w:line="480"/>
        <w:ind w:left="120"/>
        <w:jc w:val="center"/>
      </w:pPr>
      <w:r>
        <w:rPr>
          <w:rFonts w:ascii="Times New Roman" w:hAnsi="Times New Roman"/>
          <w:b w:val="false"/>
          <w:i w:val="false"/>
          <w:color w:val="000000"/>
          <w:sz w:val="16"/>
        </w:rPr>
        <w:t>DIVISION V</w:t>
      </w:r>
    </w:p>
    <w:p>
      <w:pPr>
        <w:pBdr>
          <w:bottom w:space="10"/>
        </w:pBdr>
        <w:spacing w:before="0" w:after="0" w:line="480"/>
        <w:ind w:left="120"/>
        <w:jc w:val="center"/>
      </w:pPr>
      <w:r>
        <w:rPr>
          <w:rFonts w:ascii="Times New Roman" w:hAnsi="Times New Roman"/>
          <w:b w:val="false"/>
          <w:i w:val="false"/>
          <w:color w:val="000000"/>
          <w:sz w:val="16"/>
        </w:rPr>
        <w:t>WASTE TIRE MANAGEMENT</w:t>
      </w:r>
    </w:p>
    <w:p>
      <w:pPr>
        <w:spacing w:before="210" w:after="0" w:line="480"/>
        <w:ind w:left="120"/>
        <w:jc w:val="both"/>
      </w:pPr>
      <w:r>
        <w:rPr>
          <w:rFonts w:ascii="Times New Roman" w:hAnsi="Times New Roman"/>
          <w:b/>
          <w:i w:val="false"/>
          <w:color w:val="000000"/>
          <w:sz w:val="24"/>
        </w:rPr>
        <w:t>567—102.400</w:t>
      </w:r>
      <w:r>
        <w:rPr>
          <w:rFonts w:ascii="Times New Roman" w:hAnsi="Times New Roman"/>
          <w:b/>
          <w:i w:val="false"/>
          <w:color w:val="000000"/>
          <w:sz w:val="24"/>
        </w:rPr>
        <w:t xml:space="preserve">(455D) </w:t>
      </w:r>
      <w:r>
        <w:rPr>
          <w:rFonts w:ascii="Times New Roman" w:hAnsi="Times New Roman"/>
          <w:b/>
          <w:i w:val="false"/>
          <w:color w:val="000000"/>
          <w:sz w:val="24"/>
        </w:rPr>
        <w:t xml:space="preserve">Purpose. </w:t>
      </w:r>
      <w:r>
        <w:rPr>
          <w:rFonts w:ascii="Times New Roman" w:hAnsi="Times New Roman"/>
          <w:b w:val="false"/>
          <w:i w:val="false"/>
          <w:color w:val="000000"/>
          <w:sz w:val="24"/>
        </w:rPr>
        <w:t>The purpose of this division is to establish guidelines for the proper management of waste tires, including collection, hauling, storage, processing, disposal, and beneficial reuse of waste tires and processed waste tire materials. This division shall not be construed to exempt a waste tire stockpile site, processing facility, or waste tire hauler from compliance with more stringent local ordinances, fire codes, or other applicable statutes. All rules, standards, technical guidance, and other similar legal or technical documents referenced in this division shall be the version of those documents in effect on August 1, 2025, unless otherwise noted in these rules, and except for references to the Iowa Code and Iowa Administrative Code, which shall always be the most recent version unless otherwise noted in these rules.</w:t>
      </w:r>
    </w:p>
    <w:p>
      <w:pPr>
        <w:spacing w:before="210" w:after="0" w:line="480"/>
        <w:ind w:left="120"/>
        <w:jc w:val="both"/>
      </w:pPr>
      <w:r>
        <w:rPr>
          <w:rFonts w:ascii="Times New Roman" w:hAnsi="Times New Roman"/>
          <w:b/>
          <w:i w:val="false"/>
          <w:color w:val="000000"/>
          <w:sz w:val="24"/>
        </w:rPr>
        <w:t>567—102.401</w:t>
      </w:r>
      <w:r>
        <w:rPr>
          <w:rFonts w:ascii="Times New Roman" w:hAnsi="Times New Roman"/>
          <w:b/>
          <w:i w:val="false"/>
          <w:color w:val="000000"/>
          <w:sz w:val="24"/>
        </w:rPr>
        <w:t xml:space="preserve">(455D) </w:t>
      </w:r>
      <w:r>
        <w:rPr>
          <w:rFonts w:ascii="Times New Roman" w:hAnsi="Times New Roman"/>
          <w:b/>
          <w:i w:val="false"/>
          <w:color w:val="000000"/>
          <w:sz w:val="24"/>
        </w:rPr>
        <w:t xml:space="preserve">Definitions. </w:t>
      </w:r>
      <w:r>
        <w:rPr>
          <w:rFonts w:ascii="Times New Roman" w:hAnsi="Times New Roman"/>
          <w:b w:val="false"/>
          <w:i w:val="false"/>
          <w:color w:val="000000"/>
          <w:sz w:val="24"/>
        </w:rPr>
        <w:t xml:space="preserve">For the purposes of this division, the definitions in </w:t>
      </w:r>
      <w:hyperlink r:id="rId176">
        <w:r>
          <w:rPr>
            <w:rStyle w:val="Hyperlink"/>
            <w:rFonts w:ascii="Times New Roman" w:hAnsi="Times New Roman"/>
            <w:b w:val="false"/>
            <w:i w:val="false"/>
            <w:color w:val="000000"/>
            <w:sz w:val="24"/>
          </w:rPr>
          <w:t>567—Chapter 100</w:t>
        </w:r>
      </w:hyperlink>
      <w:r>
        <w:rPr>
          <w:rFonts w:ascii="Times New Roman" w:hAnsi="Times New Roman"/>
          <w:b w:val="false"/>
          <w:i w:val="false"/>
          <w:color w:val="000000"/>
          <w:sz w:val="24"/>
        </w:rPr>
        <w:t xml:space="preserve"> and Iowa Code sections </w:t>
      </w:r>
      <w:hyperlink r:id="rId177">
        <w:r>
          <w:rPr>
            <w:rStyle w:val="Hyperlink"/>
            <w:rFonts w:ascii="Times New Roman" w:hAnsi="Times New Roman"/>
            <w:b w:val="false"/>
            <w:i w:val="false"/>
            <w:color w:val="000000"/>
            <w:sz w:val="24"/>
          </w:rPr>
          <w:t>455D.11</w:t>
        </w:r>
      </w:hyperlink>
      <w:r>
        <w:rPr>
          <w:rFonts w:ascii="Times New Roman" w:hAnsi="Times New Roman"/>
          <w:b w:val="false"/>
          <w:i w:val="false"/>
          <w:color w:val="000000"/>
          <w:sz w:val="24"/>
        </w:rPr>
        <w:t xml:space="preserve"> and </w:t>
      </w:r>
      <w:hyperlink r:id="rId178">
        <w:r>
          <w:rPr>
            <w:rStyle w:val="Hyperlink"/>
            <w:rFonts w:ascii="Times New Roman" w:hAnsi="Times New Roman"/>
            <w:b w:val="false"/>
            <w:i w:val="false"/>
            <w:color w:val="000000"/>
            <w:sz w:val="24"/>
          </w:rPr>
          <w:t>455D.11I</w:t>
        </w:r>
      </w:hyperlink>
      <w:r>
        <w:rPr>
          <w:rFonts w:ascii="Times New Roman" w:hAnsi="Times New Roman"/>
          <w:b w:val="false"/>
          <w:i w:val="false"/>
          <w:color w:val="000000"/>
          <w:sz w:val="24"/>
        </w:rPr>
        <w:t xml:space="preserve"> shall apply. In addition, “stockpile” as used in this division shall mean the storage or collection of waste tires in anticipation of final disposal.</w:t>
      </w:r>
    </w:p>
    <w:p>
      <w:pPr>
        <w:spacing w:before="0" w:after="0" w:line="480"/>
        <w:ind w:left="120"/>
        <w:jc w:val="both"/>
      </w:pPr>
      <w:r>
        <w:rPr>
          <w:rFonts w:ascii="Times New Roman" w:hAnsi="Times New Roman"/>
          <w:b/>
          <w:i w:val="false"/>
          <w:color w:val="000000"/>
          <w:sz w:val="24"/>
        </w:rPr>
        <w:t>567—102.402</w:t>
      </w:r>
      <w:r>
        <w:rPr>
          <w:rFonts w:ascii="Times New Roman" w:hAnsi="Times New Roman"/>
          <w:b/>
          <w:i w:val="false"/>
          <w:color w:val="000000"/>
          <w:sz w:val="24"/>
        </w:rPr>
        <w:t xml:space="preserve">(455D) </w:t>
      </w:r>
      <w:r>
        <w:rPr>
          <w:rFonts w:ascii="Times New Roman" w:hAnsi="Times New Roman"/>
          <w:b/>
          <w:i w:val="false"/>
          <w:color w:val="000000"/>
          <w:sz w:val="24"/>
        </w:rPr>
        <w:t xml:space="preserve">Registration of waste tire haulers. </w:t>
      </w:r>
      <w:r>
        <w:rPr>
          <w:rFonts w:ascii="Times New Roman" w:hAnsi="Times New Roman"/>
          <w:b w:val="false"/>
          <w:i w:val="false"/>
          <w:color w:val="000000"/>
          <w:sz w:val="24"/>
        </w:rPr>
        <w:t>A waste tire hauler shall register with and obtain a certificate of registration from the department in accordance with this division before hauling waste tires in Iowa. Waste tire haulers that pick up tires within Iowa or that bring waste tires to Iowa for disposal, stockpiling, or processing shall be required to register.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102.402(1)</w:t>
      </w:r>
      <w:r>
        <w:rPr>
          <w:rFonts w:ascii="Times New Roman" w:hAnsi="Times New Roman"/>
          <w:b w:val="false"/>
          <w:i w:val="false"/>
          <w:color w:val="000000"/>
          <w:sz w:val="24"/>
        </w:rPr>
        <w:t> </w:t>
      </w:r>
      <w:r>
        <w:rPr>
          <w:rFonts w:ascii="Times New Roman" w:hAnsi="Times New Roman"/>
          <w:b w:val="false"/>
          <w:i/>
          <w:color w:val="000000"/>
          <w:sz w:val="24"/>
        </w:rPr>
        <w:t xml:space="preserve">Registration exemption. </w:t>
      </w:r>
      <w:r>
        <w:rPr>
          <w:rFonts w:ascii="Times New Roman" w:hAnsi="Times New Roman"/>
          <w:b w:val="false"/>
          <w:i w:val="false"/>
          <w:color w:val="000000"/>
          <w:sz w:val="24"/>
        </w:rPr>
        <w:t>A waste tire hauler shall not be required to register under the following circumstances: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waste tire hauler only travels through the state with waste tires as a part of interstate commerce and does not pick up, deposit, transfer, store, or dispose of any waste tires in Iowa.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waste tire hauler is a municipal, county, state, or other public agency; the vehicles used for transport of the waste tires are owned and licensed by the public agency; and the agency hauls no more than 10,000 waste tires within a 12-month period.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102.402(2)</w:t>
      </w:r>
      <w:r>
        <w:rPr>
          <w:rFonts w:ascii="Times New Roman" w:hAnsi="Times New Roman"/>
          <w:b w:val="false"/>
          <w:i w:val="false"/>
          <w:color w:val="000000"/>
          <w:sz w:val="24"/>
        </w:rPr>
        <w:t> </w:t>
      </w:r>
      <w:r>
        <w:rPr>
          <w:rFonts w:ascii="Times New Roman" w:hAnsi="Times New Roman"/>
          <w:b w:val="false"/>
          <w:i/>
          <w:color w:val="000000"/>
          <w:sz w:val="24"/>
        </w:rPr>
        <w:t xml:space="preserve">Annual registration.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 waste tire hauler registration shall be valid for one year, and the waste tire hauler must annually renew the waste tire hauler registration in order to continue to provide waste tire hauling services within the state.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Initial registration of a waste tire hauler shall be valid upon the date of issuance by the department and shall be effective for a minimum 12-month period thereafter, with expiration of the initial registration to occur on either January 1 or July 1, whichever date occurs most closely after the initial 12-month registration period.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Subsequent annual renewal of the waste tire hauler’s registration shall then occur on either January 1 or July 1, subject to the date of the original expiration as referenced in </w:t>
      </w:r>
      <w:hyperlink r:id="rId179">
        <w:r>
          <w:rPr>
            <w:rStyle w:val="Hyperlink"/>
            <w:rFonts w:ascii="Times New Roman" w:hAnsi="Times New Roman"/>
            <w:b w:val="false"/>
            <w:i w:val="false"/>
            <w:color w:val="000000"/>
            <w:sz w:val="24"/>
          </w:rPr>
          <w:t>102.402(2)</w:t>
        </w:r>
      </w:hyperlink>
      <w:r>
        <w:rPr>
          <w:rFonts w:ascii="Times New Roman" w:hAnsi="Times New Roman"/>
          <w:b w:val="false"/>
          <w:i/>
          <w:color w:val="000000"/>
          <w:sz w:val="24"/>
        </w:rPr>
        <w:t>“b.”</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102.402(3)</w:t>
      </w:r>
      <w:r>
        <w:rPr>
          <w:rFonts w:ascii="Times New Roman" w:hAnsi="Times New Roman"/>
          <w:b w:val="false"/>
          <w:i w:val="false"/>
          <w:color w:val="000000"/>
          <w:sz w:val="24"/>
        </w:rPr>
        <w:t> </w:t>
      </w:r>
      <w:r>
        <w:rPr>
          <w:rFonts w:ascii="Times New Roman" w:hAnsi="Times New Roman"/>
          <w:b w:val="false"/>
          <w:i/>
          <w:color w:val="000000"/>
          <w:sz w:val="24"/>
        </w:rPr>
        <w:t xml:space="preserve">Registration form. </w:t>
      </w:r>
      <w:r>
        <w:rPr>
          <w:rFonts w:ascii="Times New Roman" w:hAnsi="Times New Roman"/>
          <w:b w:val="false"/>
          <w:i w:val="false"/>
          <w:color w:val="000000"/>
          <w:sz w:val="24"/>
        </w:rPr>
        <w:t>A waste tire hauler shall submit the following information on a form prescribed by the department for application for or renewal of registration as a waste tire hauler.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name of the waste tire hauler and any other names under which the waste tire hauler may do business.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principal address of the waste tire hauler and any other address at which the waste tire hauler may do business.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 business telephone number.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The name and address of the principal officer of a corporate waste tire hauler or the principal owner or owners of a waste tire hauler operating a proprietorship or partnership.</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The following information for each motor vehicle used by the waste tire hauler for hauling waste tires: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name and address of the owner of the vehicle.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vehicle identification number of the vehicle.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year, make, and model of the vehicle.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The license plate number of the vehicle.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The name of the state in which the vehicle is registered.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A statement that the waste tire hauler agrees to comply with the vehicle identification requirements contained in this division.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The name of the permitted facility for waste tire disposal, stockpiling, or processing or of another site of end use where the waste tires will be transported.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A statement that the waste tire hauler shall pay all amounts due to any individual or group of individuals when due for damages caused by improper disposal of waste tires by the waste tire hauler or the waste tire hauler’s employee while acting within the scope of employment.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w:t>
      </w:r>
      <w:r>
        <w:rPr>
          <w:rFonts w:ascii="Times New Roman" w:hAnsi="Times New Roman"/>
          <w:b w:val="false"/>
          <w:i w:val="false"/>
          <w:color w:val="000000"/>
          <w:sz w:val="24"/>
        </w:rPr>
        <w:t>  </w:t>
      </w:r>
      <w:r>
        <w:rPr>
          <w:rFonts w:ascii="Times New Roman" w:hAnsi="Times New Roman"/>
          <w:b w:val="false"/>
          <w:i w:val="false"/>
          <w:color w:val="000000"/>
          <w:sz w:val="24"/>
        </w:rPr>
        <w:t>A statement that the waste tire hauler agrees to notify the department within 30 days of any change in the information contained in the registration form.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j.</w:t>
      </w:r>
      <w:r>
        <w:rPr>
          <w:rFonts w:ascii="Times New Roman" w:hAnsi="Times New Roman"/>
          <w:b w:val="false"/>
          <w:i w:val="false"/>
          <w:color w:val="000000"/>
          <w:sz w:val="24"/>
        </w:rPr>
        <w:t>  </w:t>
      </w:r>
      <w:r>
        <w:rPr>
          <w:rFonts w:ascii="Times New Roman" w:hAnsi="Times New Roman"/>
          <w:b w:val="false"/>
          <w:i w:val="false"/>
          <w:color w:val="000000"/>
          <w:sz w:val="24"/>
        </w:rPr>
        <w:t>The signature of the waste tire hauler.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102.402(4)</w:t>
      </w:r>
      <w:r>
        <w:rPr>
          <w:rFonts w:ascii="Times New Roman" w:hAnsi="Times New Roman"/>
          <w:b w:val="false"/>
          <w:i w:val="false"/>
          <w:color w:val="000000"/>
          <w:sz w:val="24"/>
        </w:rPr>
        <w:t> </w:t>
      </w:r>
      <w:r>
        <w:rPr>
          <w:rFonts w:ascii="Times New Roman" w:hAnsi="Times New Roman"/>
          <w:b w:val="false"/>
          <w:i/>
          <w:color w:val="000000"/>
          <w:sz w:val="24"/>
        </w:rPr>
        <w:t xml:space="preserve">Waste tire hauler registration fee. </w:t>
      </w:r>
      <w:r>
        <w:rPr>
          <w:rFonts w:ascii="Times New Roman" w:hAnsi="Times New Roman"/>
          <w:b w:val="false"/>
          <w:i w:val="false"/>
          <w:color w:val="000000"/>
          <w:sz w:val="24"/>
        </w:rPr>
        <w:t>An application for initial registration or renewal shall be accompanied by a fee of $50.</w:t>
      </w:r>
    </w:p>
    <w:p>
      <w:pPr>
        <w:spacing w:before="0" w:after="0" w:line="480"/>
        <w:ind w:left="120"/>
        <w:jc w:val="both"/>
      </w:pPr>
      <w:r>
        <w:rPr>
          <w:rFonts w:ascii="Times New Roman" w:hAnsi="Times New Roman"/>
          <w:b/>
          <w:i w:val="false"/>
          <w:color w:val="000000"/>
          <w:sz w:val="24"/>
        </w:rPr>
        <w:t>567—102.403</w:t>
      </w:r>
      <w:r>
        <w:rPr>
          <w:rFonts w:ascii="Times New Roman" w:hAnsi="Times New Roman"/>
          <w:b/>
          <w:i w:val="false"/>
          <w:color w:val="000000"/>
          <w:sz w:val="24"/>
        </w:rPr>
        <w:t xml:space="preserve">(455D) </w:t>
      </w:r>
      <w:r>
        <w:rPr>
          <w:rFonts w:ascii="Times New Roman" w:hAnsi="Times New Roman"/>
          <w:b/>
          <w:i w:val="false"/>
          <w:color w:val="000000"/>
          <w:sz w:val="24"/>
        </w:rPr>
        <w:t xml:space="preserve">Waste tire hauler bond.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102.403(1)</w:t>
      </w:r>
      <w:r>
        <w:rPr>
          <w:rFonts w:ascii="Times New Roman" w:hAnsi="Times New Roman"/>
          <w:b w:val="false"/>
          <w:i w:val="false"/>
          <w:color w:val="000000"/>
          <w:sz w:val="24"/>
        </w:rPr>
        <w:t> </w:t>
      </w:r>
      <w:r>
        <w:rPr>
          <w:rFonts w:ascii="Times New Roman" w:hAnsi="Times New Roman"/>
          <w:b w:val="false"/>
          <w:i w:val="false"/>
          <w:color w:val="000000"/>
          <w:sz w:val="24"/>
        </w:rPr>
        <w:t xml:space="preserve">An application for registration or renewal shall not be approved by the department until the waste tire hauler has provided a surety bond in the sum of a minimum of $150,000, as provided for in Iowa Code section </w:t>
      </w:r>
      <w:hyperlink r:id="rId180">
        <w:r>
          <w:rPr>
            <w:rStyle w:val="Hyperlink"/>
            <w:rFonts w:ascii="Times New Roman" w:hAnsi="Times New Roman"/>
            <w:b w:val="false"/>
            <w:i w:val="false"/>
            <w:color w:val="000000"/>
            <w:sz w:val="24"/>
          </w:rPr>
          <w:t>455D.11I(6)</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102.403(2)</w:t>
      </w:r>
      <w:r>
        <w:rPr>
          <w:rFonts w:ascii="Times New Roman" w:hAnsi="Times New Roman"/>
          <w:b w:val="false"/>
          <w:i w:val="false"/>
          <w:color w:val="000000"/>
          <w:sz w:val="24"/>
        </w:rPr>
        <w:t> </w:t>
      </w:r>
      <w:r>
        <w:rPr>
          <w:rFonts w:ascii="Times New Roman" w:hAnsi="Times New Roman"/>
          <w:b w:val="false"/>
          <w:i w:val="false"/>
          <w:color w:val="000000"/>
          <w:sz w:val="24"/>
        </w:rPr>
        <w:t>Bond requirements.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bond shall be on a form prescribed by the department, and executed by a surety company authorized by the commissioner of insurance to do business in Iowa. The bond provided to the department shall be an original, or copy thereof.</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surety shall name the state of Iowa as the obligee for the bond.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bond shall be continuous in nature until canceled by the surety. The surety shall provide at least 30 days’ notice in writing to the waste tire hauler and the department in the event of any intent to cancel the bond and the effective date of the cancellation.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The waste tire hauler shall provide the department with a statement from the surety with each waste tire hauler registration renewal application, noting that the bond is paid and current for the annual period for which the waste tire hauler has applied for registration renewal.</w:t>
      </w:r>
    </w:p>
    <w:p>
      <w:pPr>
        <w:spacing w:before="0" w:after="0" w:line="480"/>
        <w:ind w:left="120"/>
        <w:jc w:val="both"/>
      </w:pPr>
      <w:r>
        <w:rPr>
          <w:rFonts w:ascii="Times New Roman" w:hAnsi="Times New Roman"/>
          <w:b/>
          <w:i w:val="false"/>
          <w:color w:val="000000"/>
          <w:sz w:val="24"/>
        </w:rPr>
        <w:t>567—102.404</w:t>
      </w:r>
      <w:r>
        <w:rPr>
          <w:rFonts w:ascii="Times New Roman" w:hAnsi="Times New Roman"/>
          <w:b/>
          <w:i w:val="false"/>
          <w:color w:val="000000"/>
          <w:sz w:val="24"/>
        </w:rPr>
        <w:t xml:space="preserve">(455D) </w:t>
      </w:r>
      <w:r>
        <w:rPr>
          <w:rFonts w:ascii="Times New Roman" w:hAnsi="Times New Roman"/>
          <w:b/>
          <w:i w:val="false"/>
          <w:color w:val="000000"/>
          <w:sz w:val="24"/>
        </w:rPr>
        <w:t xml:space="preserve">Marking of equipment. </w:t>
      </w:r>
      <w:r>
        <w:rPr>
          <w:rFonts w:ascii="Times New Roman" w:hAnsi="Times New Roman"/>
          <w:b w:val="false"/>
          <w:i w:val="false"/>
          <w:color w:val="000000"/>
          <w:sz w:val="24"/>
        </w:rPr>
        <w:t>The following information shall be displayed on each side of equipment used by a registered waste tire hauler for the hauling of waste tires in letters and figures large enough to be read easily at a distance of 50 feet and in a color in contrast to the background.</w:t>
      </w:r>
    </w:p>
    <w:p>
      <w:pPr>
        <w:spacing w:before="0" w:after="0" w:line="480"/>
        <w:ind w:left="120"/>
        <w:jc w:val="both"/>
      </w:pPr>
      <w:r>
        <w:rPr>
          <w:rFonts w:ascii="Times New Roman" w:hAnsi="Times New Roman"/>
          <w:b w:val="false"/>
          <w:i w:val="false"/>
          <w:color w:val="000000"/>
          <w:sz w:val="24"/>
        </w:rPr>
        <w:t>    1.   </w:t>
      </w:r>
      <w:r>
        <w:rPr>
          <w:rFonts w:ascii="Times New Roman" w:hAnsi="Times New Roman"/>
          <w:b w:val="false"/>
          <w:i w:val="false"/>
          <w:color w:val="000000"/>
          <w:sz w:val="24"/>
        </w:rPr>
        <w:t>The name of the registered waste tire hauler under whose authority the equipment is being operated.</w:t>
      </w:r>
    </w:p>
    <w:p>
      <w:pPr>
        <w:spacing w:before="0" w:after="0" w:line="480"/>
        <w:ind w:left="120"/>
        <w:jc w:val="both"/>
      </w:pPr>
      <w:r>
        <w:rPr>
          <w:rFonts w:ascii="Times New Roman" w:hAnsi="Times New Roman"/>
          <w:b w:val="false"/>
          <w:i w:val="false"/>
          <w:color w:val="000000"/>
          <w:sz w:val="24"/>
        </w:rPr>
        <w:t>    2.   </w:t>
      </w:r>
      <w:r>
        <w:rPr>
          <w:rFonts w:ascii="Times New Roman" w:hAnsi="Times New Roman"/>
          <w:b w:val="false"/>
          <w:i w:val="false"/>
          <w:color w:val="000000"/>
          <w:sz w:val="24"/>
        </w:rPr>
        <w:t>The address of the registered waste tire hauler (city and state).</w:t>
      </w:r>
    </w:p>
    <w:p>
      <w:pPr>
        <w:spacing w:before="0" w:after="0" w:line="480"/>
        <w:ind w:left="120"/>
        <w:jc w:val="both"/>
      </w:pPr>
      <w:r>
        <w:rPr>
          <w:rFonts w:ascii="Times New Roman" w:hAnsi="Times New Roman"/>
          <w:b w:val="false"/>
          <w:i w:val="false"/>
          <w:color w:val="000000"/>
          <w:sz w:val="24"/>
        </w:rPr>
        <w:t>    3.   </w:t>
      </w:r>
      <w:r>
        <w:rPr>
          <w:rFonts w:ascii="Times New Roman" w:hAnsi="Times New Roman"/>
          <w:b w:val="false"/>
          <w:i w:val="false"/>
          <w:color w:val="000000"/>
          <w:sz w:val="24"/>
        </w:rPr>
        <w:t xml:space="preserve"> The registration number of the waste tire hauler, as assigned by the department. The hauler shall apply the letters and symbol “IA TH#” preceding the assigned registration number.</w:t>
      </w:r>
    </w:p>
    <w:p>
      <w:pPr>
        <w:spacing w:before="0" w:after="0" w:line="480"/>
        <w:ind w:left="120"/>
        <w:jc w:val="both"/>
      </w:pPr>
      <w:r>
        <w:rPr>
          <w:rFonts w:ascii="Times New Roman" w:hAnsi="Times New Roman"/>
          <w:b/>
          <w:i w:val="false"/>
          <w:color w:val="000000"/>
          <w:sz w:val="24"/>
        </w:rPr>
        <w:t>567—102.405</w:t>
      </w:r>
      <w:r>
        <w:rPr>
          <w:rFonts w:ascii="Times New Roman" w:hAnsi="Times New Roman"/>
          <w:b/>
          <w:i w:val="false"/>
          <w:color w:val="000000"/>
          <w:sz w:val="24"/>
        </w:rPr>
        <w:t xml:space="preserve">(455D) </w:t>
      </w:r>
      <w:r>
        <w:rPr>
          <w:rFonts w:ascii="Times New Roman" w:hAnsi="Times New Roman"/>
          <w:b/>
          <w:i w:val="false"/>
          <w:color w:val="000000"/>
          <w:sz w:val="24"/>
        </w:rPr>
        <w:t xml:space="preserve">Disposition of waste tires collected.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102.405(1)</w:t>
      </w:r>
      <w:r>
        <w:rPr>
          <w:rFonts w:ascii="Times New Roman" w:hAnsi="Times New Roman"/>
          <w:b w:val="false"/>
          <w:i w:val="false"/>
          <w:color w:val="000000"/>
          <w:sz w:val="24"/>
        </w:rPr>
        <w:t> </w:t>
      </w:r>
      <w:r>
        <w:rPr>
          <w:rFonts w:ascii="Times New Roman" w:hAnsi="Times New Roman"/>
          <w:b w:val="false"/>
          <w:i w:val="false"/>
          <w:color w:val="000000"/>
          <w:sz w:val="24"/>
        </w:rPr>
        <w:t>All tires collected by a waste tire hauler for which a fee has been collected or is to be charged shall be defined as solid waste and shall be regulated as such.</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102.405(2)</w:t>
      </w:r>
      <w:r>
        <w:rPr>
          <w:rFonts w:ascii="Times New Roman" w:hAnsi="Times New Roman"/>
          <w:b w:val="false"/>
          <w:i w:val="false"/>
          <w:color w:val="000000"/>
          <w:sz w:val="24"/>
        </w:rPr>
        <w:t> </w:t>
      </w:r>
      <w:r>
        <w:rPr>
          <w:rFonts w:ascii="Times New Roman" w:hAnsi="Times New Roman"/>
          <w:b w:val="false"/>
          <w:i w:val="false"/>
          <w:color w:val="000000"/>
          <w:sz w:val="24"/>
        </w:rPr>
        <w:t>Upon receipt of waste tires from a person or business, the waste tire hauler shall handle the waste tires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waste tires shall be directly transported to a tire collector, tire processor, or waste tire stockpile site as permitted and approved by the department or applicable local or state agencies.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waste tires must be transported to a permitted site within 72 hours of initial pickup from the generator of the waste tires.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The waste tire hauler may not establish or operate any intermediate stockpiling, waste sorting, transfer, or processing activities regarding the waste tires collected unless such activities occur at a facility or site for which a waste tire stockpile permit or processing permit has been issued in accordance with Iowa Code section </w:t>
      </w:r>
      <w:hyperlink r:id="rId181">
        <w:r>
          <w:rPr>
            <w:rStyle w:val="Hyperlink"/>
            <w:rFonts w:ascii="Times New Roman" w:hAnsi="Times New Roman"/>
            <w:b w:val="false"/>
            <w:i w:val="false"/>
            <w:color w:val="000000"/>
            <w:sz w:val="24"/>
          </w:rPr>
          <w:t>455D.11</w:t>
        </w:r>
      </w:hyperlink>
      <w:r>
        <w:rPr>
          <w:rFonts w:ascii="Times New Roman" w:hAnsi="Times New Roman"/>
          <w:b w:val="false"/>
          <w:i w:val="false"/>
          <w:color w:val="000000"/>
          <w:sz w:val="24"/>
        </w:rPr>
        <w:t xml:space="preserve">, </w:t>
      </w:r>
      <w:hyperlink r:id="rId182">
        <w:r>
          <w:rPr>
            <w:rStyle w:val="Hyperlink"/>
            <w:rFonts w:ascii="Times New Roman" w:hAnsi="Times New Roman"/>
            <w:b w:val="false"/>
            <w:i w:val="false"/>
            <w:color w:val="000000"/>
            <w:sz w:val="24"/>
          </w:rPr>
          <w:t>567—102.407</w:t>
        </w:r>
      </w:hyperlink>
      <w:r>
        <w:rPr>
          <w:rFonts w:ascii="Times New Roman" w:hAnsi="Times New Roman"/>
          <w:b w:val="false"/>
          <w:i w:val="false"/>
          <w:color w:val="000000"/>
          <w:sz w:val="24"/>
        </w:rPr>
        <w:t xml:space="preserve">(455D), and </w:t>
      </w:r>
      <w:hyperlink r:id="rId183">
        <w:r>
          <w:rPr>
            <w:rStyle w:val="Hyperlink"/>
            <w:rFonts w:ascii="Times New Roman" w:hAnsi="Times New Roman"/>
            <w:b w:val="false"/>
            <w:i w:val="false"/>
            <w:color w:val="000000"/>
            <w:sz w:val="24"/>
          </w:rPr>
          <w:t>567—102.409</w:t>
        </w:r>
      </w:hyperlink>
      <w:r>
        <w:rPr>
          <w:rFonts w:ascii="Times New Roman" w:hAnsi="Times New Roman"/>
          <w:b w:val="false"/>
          <w:i w:val="false"/>
          <w:color w:val="000000"/>
          <w:sz w:val="24"/>
        </w:rPr>
        <w:t>(455D).</w:t>
      </w:r>
    </w:p>
    <w:p>
      <w:pPr>
        <w:spacing w:before="0" w:after="0" w:line="480"/>
        <w:ind w:left="120"/>
        <w:jc w:val="both"/>
      </w:pPr>
      <w:r>
        <w:rPr>
          <w:rFonts w:ascii="Times New Roman" w:hAnsi="Times New Roman"/>
          <w:b/>
          <w:i w:val="false"/>
          <w:color w:val="000000"/>
          <w:sz w:val="24"/>
        </w:rPr>
        <w:t>567—102.406</w:t>
      </w:r>
      <w:r>
        <w:rPr>
          <w:rFonts w:ascii="Times New Roman" w:hAnsi="Times New Roman"/>
          <w:b/>
          <w:i w:val="false"/>
          <w:color w:val="000000"/>
          <w:sz w:val="24"/>
        </w:rPr>
        <w:t xml:space="preserve">(455D) </w:t>
      </w:r>
      <w:r>
        <w:rPr>
          <w:rFonts w:ascii="Times New Roman" w:hAnsi="Times New Roman"/>
          <w:b/>
          <w:i w:val="false"/>
          <w:color w:val="000000"/>
          <w:sz w:val="24"/>
        </w:rPr>
        <w:t xml:space="preserve">Waste tire hauler reporting requirements. </w:t>
      </w:r>
      <w:r>
        <w:rPr>
          <w:rFonts w:ascii="Times New Roman" w:hAnsi="Times New Roman"/>
          <w:b w:val="false"/>
          <w:i w:val="false"/>
          <w:color w:val="000000"/>
          <w:sz w:val="24"/>
        </w:rPr>
        <w:t>A registered waste tire hauler shall submit a semiannual report to the department on a form prescribed by the department. The report shall provide the department with appropriate information to ensure that waste tires recovered by the waste tire hauler have been handled properly for disposal or processing. Failure of a registered waste tire hauler to submit a timely report will result in denial of the waste tire hauler’s renewal of registration.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102.406(1)</w:t>
      </w:r>
      <w:r>
        <w:rPr>
          <w:rFonts w:ascii="Times New Roman" w:hAnsi="Times New Roman"/>
          <w:b w:val="false"/>
          <w:i w:val="false"/>
          <w:color w:val="000000"/>
          <w:sz w:val="24"/>
        </w:rPr>
        <w:t> </w:t>
      </w:r>
      <w:r>
        <w:rPr>
          <w:rFonts w:ascii="Times New Roman" w:hAnsi="Times New Roman"/>
          <w:b w:val="false"/>
          <w:i/>
          <w:color w:val="000000"/>
          <w:sz w:val="24"/>
        </w:rPr>
        <w:t xml:space="preserve">Reporting period. </w:t>
      </w:r>
      <w:r>
        <w:rPr>
          <w:rFonts w:ascii="Times New Roman" w:hAnsi="Times New Roman"/>
          <w:b w:val="false"/>
          <w:i w:val="false"/>
          <w:color w:val="000000"/>
          <w:sz w:val="24"/>
        </w:rPr>
        <w:t>A waste tire hauler shall submit semiannual reports to the department according to the following schedule: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For waste tires collected during the six-month period beginning January 1 through June 30, the hauler shall submit a report by the following September 1.</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For waste tires collected during the six-month period beginning July 1 through December 31, the hauler shall submit a report by March 1 of the following year.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102.406(2)</w:t>
      </w:r>
      <w:r>
        <w:rPr>
          <w:rFonts w:ascii="Times New Roman" w:hAnsi="Times New Roman"/>
          <w:b w:val="false"/>
          <w:i w:val="false"/>
          <w:color w:val="000000"/>
          <w:sz w:val="24"/>
        </w:rPr>
        <w:t> </w:t>
      </w:r>
      <w:r>
        <w:rPr>
          <w:rFonts w:ascii="Times New Roman" w:hAnsi="Times New Roman"/>
          <w:b w:val="false"/>
          <w:i/>
          <w:color w:val="000000"/>
          <w:sz w:val="24"/>
        </w:rPr>
        <w:t xml:space="preserve">Information required. </w:t>
      </w:r>
      <w:r>
        <w:rPr>
          <w:rFonts w:ascii="Times New Roman" w:hAnsi="Times New Roman"/>
          <w:b w:val="false"/>
          <w:i w:val="false"/>
          <w:color w:val="000000"/>
          <w:sz w:val="24"/>
        </w:rPr>
        <w:t>The semiannual report shall include the following information. All waste tire quantities determined by count or weight shall be reported in passenger tire equivalents.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Quantity of waste tires collected by the waste tire hauler from within Iowa for the reporting period.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Quantity of waste tires that are brought to Iowa by the waste tire hauler from out-of-state sources for the reporting period.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Final disposition of all the waste tires collected during the reporting period by listing each tire collector, tire processor, waste tire stockpile site, or other beneficial site of end use, as approved by the department, and the total quantities of waste tires that the hauler has delivered to each.</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102.406(3)</w:t>
      </w:r>
      <w:r>
        <w:rPr>
          <w:rFonts w:ascii="Times New Roman" w:hAnsi="Times New Roman"/>
          <w:b w:val="false"/>
          <w:i w:val="false"/>
          <w:color w:val="000000"/>
          <w:sz w:val="24"/>
        </w:rPr>
        <w:t> </w:t>
      </w:r>
      <w:r>
        <w:rPr>
          <w:rFonts w:ascii="Times New Roman" w:hAnsi="Times New Roman"/>
          <w:b w:val="false"/>
          <w:i/>
          <w:color w:val="000000"/>
          <w:sz w:val="24"/>
        </w:rPr>
        <w:t xml:space="preserve">Documentation and recordkeeping. </w:t>
      </w:r>
      <w:r>
        <w:rPr>
          <w:rFonts w:ascii="Times New Roman" w:hAnsi="Times New Roman"/>
          <w:b w:val="false"/>
          <w:i w:val="false"/>
          <w:color w:val="000000"/>
          <w:sz w:val="24"/>
        </w:rPr>
        <w:t>A waste tire hauler shall keep appropriate records, including but not limited to receipts, invoices, or manifests, to document all quantities of waste tires hauled and disposed of by the waste tire hauler for the reporting period. These records shall be kept by the waste tire hauler for a minimum of three years and shall be available for audit or inspection at the request of the department.</w:t>
      </w:r>
    </w:p>
    <w:p>
      <w:pPr>
        <w:spacing w:before="0" w:after="0" w:line="480"/>
        <w:ind w:left="120"/>
        <w:jc w:val="both"/>
      </w:pPr>
      <w:r>
        <w:rPr>
          <w:rFonts w:ascii="Times New Roman" w:hAnsi="Times New Roman"/>
          <w:b/>
          <w:i w:val="false"/>
          <w:color w:val="000000"/>
          <w:sz w:val="24"/>
        </w:rPr>
        <w:t>567—102.407</w:t>
      </w:r>
      <w:r>
        <w:rPr>
          <w:rFonts w:ascii="Times New Roman" w:hAnsi="Times New Roman"/>
          <w:b/>
          <w:i w:val="false"/>
          <w:color w:val="000000"/>
          <w:sz w:val="24"/>
        </w:rPr>
        <w:t xml:space="preserve">(455D) </w:t>
      </w:r>
      <w:r>
        <w:rPr>
          <w:rFonts w:ascii="Times New Roman" w:hAnsi="Times New Roman"/>
          <w:b/>
          <w:i w:val="false"/>
          <w:color w:val="000000"/>
          <w:sz w:val="24"/>
        </w:rPr>
        <w:t xml:space="preserve">Waste tire stockpiling.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102.407(1)</w:t>
      </w:r>
      <w:r>
        <w:rPr>
          <w:rFonts w:ascii="Times New Roman" w:hAnsi="Times New Roman"/>
          <w:b w:val="false"/>
          <w:i w:val="false"/>
          <w:color w:val="000000"/>
          <w:sz w:val="24"/>
        </w:rPr>
        <w:t> </w:t>
      </w:r>
      <w:r>
        <w:rPr>
          <w:rFonts w:ascii="Times New Roman" w:hAnsi="Times New Roman"/>
          <w:b w:val="false"/>
          <w:i/>
          <w:color w:val="000000"/>
          <w:sz w:val="24"/>
        </w:rPr>
        <w:t xml:space="preserve">Quantity limitations.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No business or individual shall stockpile more than 500 passenger tire equivalents without obtaining a permit for a waste tire stockpile pursuant to </w:t>
      </w:r>
      <w:hyperlink r:id="rId184">
        <w:r>
          <w:rPr>
            <w:rStyle w:val="Hyperlink"/>
            <w:rFonts w:ascii="Times New Roman" w:hAnsi="Times New Roman"/>
            <w:b w:val="false"/>
            <w:i w:val="false"/>
            <w:color w:val="000000"/>
            <w:sz w:val="24"/>
          </w:rPr>
          <w:t>102.407(2)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Businesses or individuals may temporarily stockpile up to 1,500 passenger tire equivalents without obtaining a waste tire stockpile permit, subject to the following requirements: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waste tires are stockpiled only in a mobile container, truck, or trailer provided or serviced by a registered waste tire hauler.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waste tires are removed by a registered waste tire hauler or delivered to a permitted waste tire processor at least every 60 days.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waste tire generator has a written copy of a contract or service agreement for waste tire disposal services from a registered waste tire hauler.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 permitted sanitary disposal project shall be allowed to stockpile up to 1,500 passenger tire equivalents without a permit if the waste tires are removed at least every 120 days and are stockpiled in a manner to minimize the collection of water.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 xml:space="preserve">Persons who use waste tires for an approved beneficial use shall not be required to obtain a waste tire stockpile permit, subject to their compliance with the provisions of </w:t>
      </w:r>
      <w:hyperlink r:id="rId185">
        <w:r>
          <w:rPr>
            <w:rStyle w:val="Hyperlink"/>
            <w:rFonts w:ascii="Times New Roman" w:hAnsi="Times New Roman"/>
            <w:b w:val="false"/>
            <w:i w:val="false"/>
            <w:color w:val="000000"/>
            <w:sz w:val="24"/>
          </w:rPr>
          <w:t>567—102.411</w:t>
        </w:r>
      </w:hyperlink>
      <w:r>
        <w:rPr>
          <w:rFonts w:ascii="Times New Roman" w:hAnsi="Times New Roman"/>
          <w:b w:val="false"/>
          <w:i w:val="false"/>
          <w:color w:val="000000"/>
          <w:sz w:val="24"/>
        </w:rPr>
        <w:t>(455D).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102.407(2)</w:t>
      </w:r>
      <w:r>
        <w:rPr>
          <w:rFonts w:ascii="Times New Roman" w:hAnsi="Times New Roman"/>
          <w:b w:val="false"/>
          <w:i w:val="false"/>
          <w:color w:val="000000"/>
          <w:sz w:val="24"/>
        </w:rPr>
        <w:t> </w:t>
      </w:r>
      <w:r>
        <w:rPr>
          <w:rFonts w:ascii="Times New Roman" w:hAnsi="Times New Roman"/>
          <w:b w:val="false"/>
          <w:i/>
          <w:color w:val="000000"/>
          <w:sz w:val="24"/>
        </w:rPr>
        <w:t xml:space="preserve">Waste tire stockpile permits.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Any tire collector, business, or individual stockpiling more than 500 passenger tire equivalents on any one site must obtain a waste tire stockpile permit. An authorized vehicle recycler, as licensed by the Iowa department of transportation, may store up to 3,500 passenger tire equivalents without a waste tire stockpile permit; any storage beyond this amount shall require full compliance with this subrule. This subrule is applicable to the indoor, outdoor, and underground storage of waste tires. If the site cannot meet the conditions to obtain a waste tire stockpile permit, all waste tires must be removed from the site and properly disposed of within 30 days of notification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Any tire collector, business, or individual seeking to construct a waste tire stockpile under this subrule must obtain a permit from the department prior to initiating operations. The permit shall be issued to the owner of the site or the designated tire collector that will be operating the stockpile.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Waste tire stockpile permits shall have an annual fee of $850, payable to the department upon the application for a permit, and due annually beginning each July 1 thereafter at the rate of $850. Permit fees shall not be prorated. The permit shall be valid for a period of three years from date of issuance. Failure to remit the annual renewal fee to the department shall be cause for revocation pursuant to </w:t>
      </w:r>
      <w:hyperlink r:id="rId186">
        <w:r>
          <w:rPr>
            <w:rStyle w:val="Hyperlink"/>
            <w:rFonts w:ascii="Times New Roman" w:hAnsi="Times New Roman"/>
            <w:b w:val="false"/>
            <w:i w:val="false"/>
            <w:color w:val="000000"/>
            <w:sz w:val="24"/>
          </w:rPr>
          <w:t>567—100.13</w:t>
        </w:r>
      </w:hyperlink>
      <w:r>
        <w:rPr>
          <w:rFonts w:ascii="Times New Roman" w:hAnsi="Times New Roman"/>
          <w:b w:val="false"/>
          <w:i w:val="false"/>
          <w:color w:val="000000"/>
          <w:sz w:val="24"/>
        </w:rPr>
        <w:t>(455B,455D).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Application for a permit shall be on a form prescribed by the department and include, at a minimum,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name, address, and telephone number of the individual who directly owns the stockpile site.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name, address, and telephone number of the tire collector at the stockpile site, if different from the owner.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 scaled map showing all areas proposed to be used for the stockpiling of waste tires, all property boundaries of the site, and the location of all buildings and major improvements on the site and within 300 feet of the property boundary.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A vector control plan to prevent infestations of mosquitoes and rodents for aboveground storage. The plan shall be prepared by a firm that provides professional vector management services. Upon request, the permittee must provide documentation to show implementation and monitoring of the approved vector control plan.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A site closure plan describing the actions that would be taken to properly dispose of all waste tire materials at the site 30 days prior to any intent to discontinue operations, so that upon discontinuance of operations, no violation of waste tire or solid waste disposal laws will exist.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 xml:space="preserve">An emergency response and remedial action plan, developed and implemented according to </w:t>
      </w:r>
      <w:hyperlink r:id="rId187">
        <w:r>
          <w:rPr>
            <w:rStyle w:val="Hyperlink"/>
            <w:rFonts w:ascii="Times New Roman" w:hAnsi="Times New Roman"/>
            <w:b w:val="false"/>
            <w:i w:val="false"/>
            <w:color w:val="000000"/>
            <w:sz w:val="24"/>
          </w:rPr>
          <w:t>567—100.14</w:t>
        </w:r>
      </w:hyperlink>
      <w:r>
        <w:rPr>
          <w:rFonts w:ascii="Times New Roman" w:hAnsi="Times New Roman"/>
          <w:b w:val="false"/>
          <w:i w:val="false"/>
          <w:color w:val="000000"/>
          <w:sz w:val="24"/>
        </w:rPr>
        <w:t>(455B). The applicant shall provide documentation that an opportunity for input and review of the plan was extended to the local fire department and local emergency management coordinator.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 xml:space="preserve">A financial assurance instrument in compliance with </w:t>
      </w:r>
      <w:hyperlink r:id="rId188">
        <w:r>
          <w:rPr>
            <w:rStyle w:val="Hyperlink"/>
            <w:rFonts w:ascii="Times New Roman" w:hAnsi="Times New Roman"/>
            <w:b w:val="false"/>
            <w:i w:val="false"/>
            <w:color w:val="000000"/>
            <w:sz w:val="24"/>
          </w:rPr>
          <w:t>567—102.410</w:t>
        </w:r>
      </w:hyperlink>
      <w:r>
        <w:rPr>
          <w:rFonts w:ascii="Times New Roman" w:hAnsi="Times New Roman"/>
          <w:b w:val="false"/>
          <w:i w:val="false"/>
          <w:color w:val="000000"/>
          <w:sz w:val="24"/>
        </w:rPr>
        <w:t>(455D).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A certified check for $850 made payable to the Iowa department of natural resources.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102.407(3)</w:t>
      </w:r>
      <w:r>
        <w:rPr>
          <w:rFonts w:ascii="Times New Roman" w:hAnsi="Times New Roman"/>
          <w:b w:val="false"/>
          <w:i w:val="false"/>
          <w:color w:val="000000"/>
          <w:sz w:val="24"/>
        </w:rPr>
        <w:t> </w:t>
      </w:r>
      <w:r>
        <w:rPr>
          <w:rFonts w:ascii="Times New Roman" w:hAnsi="Times New Roman"/>
          <w:b w:val="false"/>
          <w:i/>
          <w:color w:val="000000"/>
          <w:sz w:val="24"/>
        </w:rPr>
        <w:t xml:space="preserve">Permitted stockpiling requirements.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 permitted waste tire stockpile site in an open area shall meet the following minimum permit conditions: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site shall not contain more than 250,000 passenger tire equivalents.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 single waste tire pile shall not contain more than 50,000 cubic feet of waste tires.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vertical dimension of a waste tire pile shall not exceed ten feet.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A single waste tire pile shall not be more than 100 feet in length.</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The surface area covered by a waste tire pile shall not exceed 5,000 square feet; the pile may not be constructed upon any waste tire materials or other flammable materials.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A 50-foot fire lane must be maintained between any two waste tire piles.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All waste tire piles shall be located at least 50 feet from any building.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Trees and brush shall be cleared within 50 feet of any waste tire pile.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(9)</w:t>
      </w:r>
      <w:r>
        <w:rPr>
          <w:rFonts w:ascii="Times New Roman" w:hAnsi="Times New Roman"/>
          <w:b w:val="false"/>
          <w:i w:val="false"/>
          <w:color w:val="000000"/>
          <w:sz w:val="24"/>
        </w:rPr>
        <w:t>  </w:t>
      </w:r>
      <w:r>
        <w:rPr>
          <w:rFonts w:ascii="Times New Roman" w:hAnsi="Times New Roman"/>
          <w:b w:val="false"/>
          <w:i w:val="false"/>
          <w:color w:val="000000"/>
          <w:sz w:val="24"/>
        </w:rPr>
        <w:t>Combustible materials or volatile chemicals shall not be stored within 50 feet of any waste tire pile unless stored in approved fire-resistant containers or cabinets.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(10)</w:t>
      </w:r>
      <w:r>
        <w:rPr>
          <w:rFonts w:ascii="Times New Roman" w:hAnsi="Times New Roman"/>
          <w:b w:val="false"/>
          <w:i w:val="false"/>
          <w:color w:val="000000"/>
          <w:sz w:val="24"/>
        </w:rPr>
        <w:t>  </w:t>
      </w:r>
      <w:r>
        <w:rPr>
          <w:rFonts w:ascii="Times New Roman" w:hAnsi="Times New Roman"/>
          <w:b w:val="false"/>
          <w:i w:val="false"/>
          <w:color w:val="000000"/>
          <w:sz w:val="24"/>
        </w:rPr>
        <w:t>A 20-pound Class ABC dry chemical fire extinguisher shall be available within 100 feet of any one portion of the waste tire stockpile area.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(11)</w:t>
      </w:r>
      <w:r>
        <w:rPr>
          <w:rFonts w:ascii="Times New Roman" w:hAnsi="Times New Roman"/>
          <w:b w:val="false"/>
          <w:i w:val="false"/>
          <w:color w:val="000000"/>
          <w:sz w:val="24"/>
        </w:rPr>
        <w:t>  </w:t>
      </w:r>
      <w:r>
        <w:rPr>
          <w:rFonts w:ascii="Times New Roman" w:hAnsi="Times New Roman"/>
          <w:b w:val="false"/>
          <w:i w:val="false"/>
          <w:color w:val="000000"/>
          <w:sz w:val="24"/>
        </w:rPr>
        <w:t>The site must be graded to prevent any standing pools of water and to limit the runoff and run-on of precipitation in all areas where waste tires are stockpiled.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(12)</w:t>
      </w:r>
      <w:r>
        <w:rPr>
          <w:rFonts w:ascii="Times New Roman" w:hAnsi="Times New Roman"/>
          <w:b w:val="false"/>
          <w:i w:val="false"/>
          <w:color w:val="000000"/>
          <w:sz w:val="24"/>
        </w:rPr>
        <w:t>  </w:t>
      </w:r>
      <w:r>
        <w:rPr>
          <w:rFonts w:ascii="Times New Roman" w:hAnsi="Times New Roman"/>
          <w:b w:val="false"/>
          <w:i w:val="false"/>
          <w:color w:val="000000"/>
          <w:sz w:val="24"/>
        </w:rPr>
        <w:t>A waste tire pile must be at least 200 feet from any well, lake, pond, river, stream, sinkhole, or tile line surface intake unless appropriate grading, or the construction of a barrier, dike, or berm, is completed to intercept surface water flows that may impact such interceptors. This distance may then be reduced to 50 feet.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(13)</w:t>
      </w:r>
      <w:r>
        <w:rPr>
          <w:rFonts w:ascii="Times New Roman" w:hAnsi="Times New Roman"/>
          <w:b w:val="false"/>
          <w:i w:val="false"/>
          <w:color w:val="000000"/>
          <w:sz w:val="24"/>
        </w:rPr>
        <w:t>  </w:t>
      </w:r>
      <w:r>
        <w:rPr>
          <w:rFonts w:ascii="Times New Roman" w:hAnsi="Times New Roman"/>
          <w:b w:val="false"/>
          <w:i w:val="false"/>
          <w:color w:val="000000"/>
          <w:sz w:val="24"/>
        </w:rPr>
        <w:t>The stockpile site must be secured by a fence or barrier of a minimum of six feet in height to impede unauthorized vehicle and personal access. All gates and entry points shall be secured and locked when site personnel are not present.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(14)</w:t>
      </w:r>
      <w:r>
        <w:rPr>
          <w:rFonts w:ascii="Times New Roman" w:hAnsi="Times New Roman"/>
          <w:b w:val="false"/>
          <w:i w:val="false"/>
          <w:color w:val="000000"/>
          <w:sz w:val="24"/>
        </w:rPr>
        <w:t>  </w:t>
      </w:r>
      <w:r>
        <w:rPr>
          <w:rFonts w:ascii="Times New Roman" w:hAnsi="Times New Roman"/>
          <w:b w:val="false"/>
          <w:i w:val="false"/>
          <w:color w:val="000000"/>
          <w:sz w:val="24"/>
        </w:rPr>
        <w:t>No open burning of any type shall be allowed at the permitted stockpile site. All fueling of vehicles and equipment and any other work or activity that may release sparks or flame shall be conducted at least 50 feet from any waste tire stockpiling area.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(15)</w:t>
      </w:r>
      <w:r>
        <w:rPr>
          <w:rFonts w:ascii="Times New Roman" w:hAnsi="Times New Roman"/>
          <w:b w:val="false"/>
          <w:i w:val="false"/>
          <w:color w:val="000000"/>
          <w:sz w:val="24"/>
        </w:rPr>
        <w:t>  </w:t>
      </w:r>
      <w:r>
        <w:rPr>
          <w:rFonts w:ascii="Times New Roman" w:hAnsi="Times New Roman"/>
          <w:b w:val="false"/>
          <w:i w:val="false"/>
          <w:color w:val="000000"/>
          <w:sz w:val="24"/>
        </w:rPr>
        <w:t>Signs shall be posted every 100 feet on site, placed for visibility of personnel on site, that state: “Open burning on-site prohibited.” The perimeter of the site shall be posted with signs every 100 feet, placed for visibility to those offsite, that state: “Highly flammable materials on-site. Burning in area not recommended.”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(16)</w:t>
      </w:r>
      <w:r>
        <w:rPr>
          <w:rFonts w:ascii="Times New Roman" w:hAnsi="Times New Roman"/>
          <w:b w:val="false"/>
          <w:i w:val="false"/>
          <w:color w:val="000000"/>
          <w:sz w:val="24"/>
        </w:rPr>
        <w:t>  </w:t>
      </w:r>
      <w:r>
        <w:rPr>
          <w:rFonts w:ascii="Times New Roman" w:hAnsi="Times New Roman"/>
          <w:b w:val="false"/>
          <w:i w:val="false"/>
          <w:color w:val="000000"/>
          <w:sz w:val="24"/>
        </w:rPr>
        <w:t>All waste tire piles shall be located at least 300 feet from any property line, street, or public right-of-way.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A permitted waste tire stockpile site in an enclosed area shall meet the minimum permit conditions in </w:t>
      </w:r>
      <w:hyperlink r:id="rId189">
        <w:r>
          <w:rPr>
            <w:rStyle w:val="Hyperlink"/>
            <w:rFonts w:ascii="Times New Roman" w:hAnsi="Times New Roman"/>
            <w:b w:val="false"/>
            <w:i w:val="false"/>
            <w:color w:val="000000"/>
            <w:sz w:val="24"/>
          </w:rPr>
          <w:t>102.407(3)</w:t>
        </w:r>
      </w:hyperlink>
      <w:r>
        <w:rPr>
          <w:rFonts w:ascii="Times New Roman" w:hAnsi="Times New Roman"/>
          <w:b w:val="false"/>
          <w:i/>
          <w:color w:val="000000"/>
          <w:sz w:val="24"/>
        </w:rPr>
        <w:t>“a”</w:t>
      </w:r>
      <w:r>
        <w:rPr>
          <w:rFonts w:ascii="Times New Roman" w:hAnsi="Times New Roman"/>
          <w:b w:val="false"/>
          <w:i w:val="false"/>
          <w:color w:val="000000"/>
          <w:sz w:val="24"/>
        </w:rPr>
        <w:t xml:space="preserve">(2) through </w:t>
      </w:r>
      <w:r>
        <w:rPr>
          <w:rFonts w:ascii="Times New Roman" w:hAnsi="Times New Roman"/>
          <w:b w:val="false"/>
          <w:i/>
          <w:color w:val="000000"/>
          <w:sz w:val="24"/>
        </w:rPr>
        <w:t>“a”</w:t>
      </w:r>
      <w:r>
        <w:rPr>
          <w:rFonts w:ascii="Times New Roman" w:hAnsi="Times New Roman"/>
          <w:b w:val="false"/>
          <w:i w:val="false"/>
          <w:color w:val="000000"/>
          <w:sz w:val="24"/>
        </w:rPr>
        <w:t>(6), as well as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To qualify as an enclosed area, the area must be enclosed in a structure with a permanent roof and lateral protection to prevent precipitation from accumulating within the waste tires.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An enclosed stockpiling structure shall not contain more than 50,000 passenger tire equivalents.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Combustible materials other than waste tires or volatile chemicals shall not be stored in a structure permitted for waste tire stockpiling unless stored in approved fire-resistant containers or cabinets.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A 20-pound Class ABC dry chemical fire extinguisher shall be available within 50 feet of any one portion of the waste tire stockpiling area.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The structure must be secured from unauthorized access.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No open burning of any type shall be allowed at the permitted stockpile site. All fueling of vehicles and equipment and any other work or activity that may release sparks or flame shall be conducted at least 50 feet from any waste tire stockpiling area. The exterior of the enclosed stockpiling area shall be posted with signs, placed every 100 feet, that state: “Highly flammable materials stored inside. Burning on-site prohibited.”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102.407(4)</w:t>
      </w:r>
      <w:r>
        <w:rPr>
          <w:rFonts w:ascii="Times New Roman" w:hAnsi="Times New Roman"/>
          <w:b w:val="false"/>
          <w:i w:val="false"/>
          <w:color w:val="000000"/>
          <w:sz w:val="24"/>
        </w:rPr>
        <w:t> </w:t>
      </w:r>
      <w:r>
        <w:rPr>
          <w:rFonts w:ascii="Times New Roman" w:hAnsi="Times New Roman"/>
          <w:b w:val="false"/>
          <w:i/>
          <w:color w:val="000000"/>
          <w:sz w:val="24"/>
        </w:rPr>
        <w:t xml:space="preserve">Reporting requirements. </w:t>
      </w:r>
      <w:r>
        <w:rPr>
          <w:rFonts w:ascii="Times New Roman" w:hAnsi="Times New Roman"/>
          <w:b w:val="false"/>
          <w:i w:val="false"/>
          <w:color w:val="000000"/>
          <w:sz w:val="24"/>
        </w:rPr>
        <w:t>The holder of a permit for a waste tire stockpile facility shall submit a semiannual report to the department on a form prescribed by the department. The report shall state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Quantity of waste tires stockpiled at the facility at the time of reporting determined by count or weight and reported in passenger tire equivalents.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Quantity of waste tires received from in-state sources for the reporting period.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Quantity of waste tires received from out-of-state sources for the reporting period.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For any waste tires removed from the permitted waste tire stockpile facility during the reporting period, quantity given by equivalent count or weight of such waste tires removed. Documentation shall be provided to denote how the reported quantity of tires were disposed of at a permitted facility, processed, or reused.</w:t>
      </w:r>
    </w:p>
    <w:p>
      <w:pPr>
        <w:spacing w:before="0" w:after="0" w:line="480"/>
        <w:ind w:left="120"/>
        <w:jc w:val="both"/>
      </w:pPr>
      <w:r>
        <w:rPr>
          <w:rFonts w:ascii="Times New Roman" w:hAnsi="Times New Roman"/>
          <w:b/>
          <w:i w:val="false"/>
          <w:color w:val="000000"/>
          <w:sz w:val="24"/>
        </w:rPr>
        <w:t>567—102.408</w:t>
      </w:r>
      <w:r>
        <w:rPr>
          <w:rFonts w:ascii="Times New Roman" w:hAnsi="Times New Roman"/>
          <w:b/>
          <w:i w:val="false"/>
          <w:color w:val="000000"/>
          <w:sz w:val="24"/>
        </w:rPr>
        <w:t xml:space="preserve">(455D) </w:t>
      </w:r>
      <w:r>
        <w:rPr>
          <w:rFonts w:ascii="Times New Roman" w:hAnsi="Times New Roman"/>
          <w:b/>
          <w:i w:val="false"/>
          <w:color w:val="000000"/>
          <w:sz w:val="24"/>
        </w:rPr>
        <w:t xml:space="preserve">Used tires.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102.408(1)</w:t>
      </w:r>
      <w:r>
        <w:rPr>
          <w:rFonts w:ascii="Times New Roman" w:hAnsi="Times New Roman"/>
          <w:b w:val="false"/>
          <w:i w:val="false"/>
          <w:color w:val="000000"/>
          <w:sz w:val="24"/>
        </w:rPr>
        <w:t> </w:t>
      </w:r>
      <w:r>
        <w:rPr>
          <w:rFonts w:ascii="Times New Roman" w:hAnsi="Times New Roman"/>
          <w:b w:val="false"/>
          <w:i/>
          <w:color w:val="000000"/>
          <w:sz w:val="24"/>
        </w:rPr>
        <w:t xml:space="preserve">Used tire storage. </w:t>
      </w:r>
      <w:r>
        <w:rPr>
          <w:rFonts w:ascii="Times New Roman" w:hAnsi="Times New Roman"/>
          <w:b w:val="false"/>
          <w:i w:val="false"/>
          <w:color w:val="000000"/>
          <w:sz w:val="24"/>
        </w:rPr>
        <w:t>A used tire other than a waste tire shall be stored in a manner that provides for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Prevention of the collection of water, dirt, or debris within the tire.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Organized storage through stacking, rows, and sorting that provides for accurate descriptions and counts of the types and sizes of tires.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Storage conforms to applicable local and state fire codes.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102.408(2)</w:t>
      </w:r>
      <w:r>
        <w:rPr>
          <w:rFonts w:ascii="Times New Roman" w:hAnsi="Times New Roman"/>
          <w:b w:val="false"/>
          <w:i w:val="false"/>
          <w:color w:val="000000"/>
          <w:sz w:val="24"/>
        </w:rPr>
        <w:t> </w:t>
      </w:r>
      <w:r>
        <w:rPr>
          <w:rFonts w:ascii="Times New Roman" w:hAnsi="Times New Roman"/>
          <w:b w:val="false"/>
          <w:i/>
          <w:color w:val="000000"/>
          <w:sz w:val="24"/>
        </w:rPr>
        <w:t xml:space="preserve">Quantity limitations. </w:t>
      </w:r>
      <w:r>
        <w:rPr>
          <w:rFonts w:ascii="Times New Roman" w:hAnsi="Times New Roman"/>
          <w:b w:val="false"/>
          <w:i w:val="false"/>
          <w:color w:val="000000"/>
          <w:sz w:val="24"/>
        </w:rPr>
        <w:t>Used tires stored for more than one year without documentation of active resale or reuse, of tire inventory in a proportion equal to 75 percent of the amount stored, shall be considered waste tires and shall be subject to the applicable waste tire stockpiling and disposal rules of this division.</w:t>
      </w:r>
    </w:p>
    <w:p>
      <w:pPr>
        <w:spacing w:before="0" w:after="0" w:line="480"/>
        <w:ind w:left="120"/>
        <w:jc w:val="both"/>
      </w:pPr>
      <w:r>
        <w:rPr>
          <w:rFonts w:ascii="Times New Roman" w:hAnsi="Times New Roman"/>
          <w:b/>
          <w:i w:val="false"/>
          <w:color w:val="000000"/>
          <w:sz w:val="24"/>
        </w:rPr>
        <w:t>567—102.409</w:t>
      </w:r>
      <w:r>
        <w:rPr>
          <w:rFonts w:ascii="Times New Roman" w:hAnsi="Times New Roman"/>
          <w:b/>
          <w:i w:val="false"/>
          <w:color w:val="000000"/>
          <w:sz w:val="24"/>
        </w:rPr>
        <w:t xml:space="preserve">(455D) </w:t>
      </w:r>
      <w:r>
        <w:rPr>
          <w:rFonts w:ascii="Times New Roman" w:hAnsi="Times New Roman"/>
          <w:b/>
          <w:i w:val="false"/>
          <w:color w:val="000000"/>
          <w:sz w:val="24"/>
        </w:rPr>
        <w:t xml:space="preserve">Waste tire processing.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102.409(1)</w:t>
      </w:r>
      <w:r>
        <w:rPr>
          <w:rFonts w:ascii="Times New Roman" w:hAnsi="Times New Roman"/>
          <w:b w:val="false"/>
          <w:i w:val="false"/>
          <w:color w:val="000000"/>
          <w:sz w:val="24"/>
        </w:rPr>
        <w:t> </w:t>
      </w:r>
      <w:r>
        <w:rPr>
          <w:rFonts w:ascii="Times New Roman" w:hAnsi="Times New Roman"/>
          <w:b w:val="false"/>
          <w:i/>
          <w:color w:val="000000"/>
          <w:sz w:val="24"/>
        </w:rPr>
        <w:t xml:space="preserve">Waste tire processing permits.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Any business or individual operating a tire processing facility shall obtain a waste tire processing permit prior to initiating operations. The permit shall be issued to the owner of the site or the individual that will be operating the waste tire processing facility.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 permitted sanitary disposal project that accepts waste tires to cut, grind, or compact only for final disposal shall not be required to obtain a waste tire processing permit. Such facilities shall not store any cut or shredded waste tire materials for more than 30 days prior to final disposal.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Businesses or individuals operating mobile waste tire processing equipment shall be required to obtain a waste tire processing permit. The permit shall authorize the operator to provide waste tire processing services statewide; however, mobile operations shall not be allowed to store any processed or whole waste tires at any facility or site owned or operated by the permittee unless specifically authorized in writing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Businesses or individuals who cut, grind, or compact for disposal waste tires generated directly from operations at their own on-site manufacturing operation or vehicle or equipment service facility shall not be required to obtain a waste tire processing permit provided all waste tire materials processed on site are disposed of at least every 30 days at a permitted facility.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 xml:space="preserve">Processing permits shall have an annual fee of $850, payable to the department upon the application for a permit, and due annually beginning each July 1 thereafter at the rate of $850. Permit fees shall not be prorated. The permit shall be valid for a period of three years from date of issuance. Failure to remit the annual renewal fee shall be cause for revocation pursuant to </w:t>
      </w:r>
      <w:hyperlink r:id="rId190">
        <w:r>
          <w:rPr>
            <w:rStyle w:val="Hyperlink"/>
            <w:rFonts w:ascii="Times New Roman" w:hAnsi="Times New Roman"/>
            <w:b w:val="false"/>
            <w:i w:val="false"/>
            <w:color w:val="000000"/>
            <w:sz w:val="24"/>
          </w:rPr>
          <w:t>567—100.13</w:t>
        </w:r>
      </w:hyperlink>
      <w:r>
        <w:rPr>
          <w:rFonts w:ascii="Times New Roman" w:hAnsi="Times New Roman"/>
          <w:b w:val="false"/>
          <w:i w:val="false"/>
          <w:color w:val="000000"/>
          <w:sz w:val="24"/>
        </w:rPr>
        <w:t>(455B,455D).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A permitted waste tire processing facility shall have a site closure plan. The plan shall describe the actions that would be taken to properly dispose of all waste tire materials, in whole or processed form, at the site 30 days prior to any intent to discontinue operations so that, upon discontinuance of operations, no violation of waste tire or solid waste disposal laws exist.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 xml:space="preserve">A permitted processing facility shall have an emergency response and remedial action plan, developed and implemented according to </w:t>
      </w:r>
      <w:hyperlink r:id="rId191">
        <w:r>
          <w:rPr>
            <w:rStyle w:val="Hyperlink"/>
            <w:rFonts w:ascii="Times New Roman" w:hAnsi="Times New Roman"/>
            <w:b w:val="false"/>
            <w:i w:val="false"/>
            <w:color w:val="000000"/>
            <w:sz w:val="24"/>
          </w:rPr>
          <w:t>567—100.14</w:t>
        </w:r>
      </w:hyperlink>
      <w:r>
        <w:rPr>
          <w:rFonts w:ascii="Times New Roman" w:hAnsi="Times New Roman"/>
          <w:b w:val="false"/>
          <w:i w:val="false"/>
          <w:color w:val="000000"/>
          <w:sz w:val="24"/>
        </w:rPr>
        <w:t>(455B). The applicant shall provide documentation that an opportunity for input and review of the plan was extended to the local fire department and local emergency management coordinator.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 xml:space="preserve">A permitted waste tire processing facility shall obtain financial assurance in accordance with </w:t>
      </w:r>
      <w:hyperlink r:id="rId192">
        <w:r>
          <w:rPr>
            <w:rStyle w:val="Hyperlink"/>
            <w:rFonts w:ascii="Times New Roman" w:hAnsi="Times New Roman"/>
            <w:b w:val="false"/>
            <w:i w:val="false"/>
            <w:color w:val="000000"/>
            <w:sz w:val="24"/>
          </w:rPr>
          <w:t>567—102.410</w:t>
        </w:r>
      </w:hyperlink>
      <w:r>
        <w:rPr>
          <w:rFonts w:ascii="Times New Roman" w:hAnsi="Times New Roman"/>
          <w:b w:val="false"/>
          <w:i w:val="false"/>
          <w:color w:val="000000"/>
          <w:sz w:val="24"/>
        </w:rPr>
        <w:t>(455D), as necessary.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w:t>
      </w:r>
      <w:r>
        <w:rPr>
          <w:rFonts w:ascii="Times New Roman" w:hAnsi="Times New Roman"/>
          <w:b w:val="false"/>
          <w:i w:val="false"/>
          <w:color w:val="000000"/>
          <w:sz w:val="24"/>
        </w:rPr>
        <w:t>  </w:t>
      </w:r>
      <w:r>
        <w:rPr>
          <w:rFonts w:ascii="Times New Roman" w:hAnsi="Times New Roman"/>
          <w:b w:val="false"/>
          <w:i w:val="false"/>
          <w:color w:val="000000"/>
          <w:sz w:val="24"/>
        </w:rPr>
        <w:t>Application for a permit shall be on a form prescribed by the department and include, at a minimum,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name, address, and telephone number of the individual who directly owns the tire processing facility.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name, address, and telephone number of the operator of the waste tire processing facility, if different from the owner.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type of processing operations to be conducted, including descriptions of processing equipment and its hourly capacity, operating hours of the facility, and types of processed tire materials to be produced.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A scaled map showing all areas proposed for waste tire stockpiling and processing operations, all property boundaries of the site, and the location of all buildings and major improvements on the site and within 300 feet of the property boundary.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 xml:space="preserve">A site closure plan as referenced in </w:t>
      </w:r>
      <w:hyperlink r:id="rId193">
        <w:r>
          <w:rPr>
            <w:rStyle w:val="Hyperlink"/>
            <w:rFonts w:ascii="Times New Roman" w:hAnsi="Times New Roman"/>
            <w:b w:val="false"/>
            <w:i w:val="false"/>
            <w:color w:val="000000"/>
            <w:sz w:val="24"/>
          </w:rPr>
          <w:t>102.409(1)</w:t>
        </w:r>
      </w:hyperlink>
      <w:r>
        <w:rPr>
          <w:rFonts w:ascii="Times New Roman" w:hAnsi="Times New Roman"/>
          <w:b w:val="false"/>
          <w:i/>
          <w:color w:val="000000"/>
          <w:sz w:val="24"/>
        </w:rPr>
        <w:t>“f.”</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 xml:space="preserve">An emergency response and remedial action plan as referenced in </w:t>
      </w:r>
      <w:hyperlink r:id="rId194">
        <w:r>
          <w:rPr>
            <w:rStyle w:val="Hyperlink"/>
            <w:rFonts w:ascii="Times New Roman" w:hAnsi="Times New Roman"/>
            <w:b w:val="false"/>
            <w:i w:val="false"/>
            <w:color w:val="000000"/>
            <w:sz w:val="24"/>
          </w:rPr>
          <w:t>102.409(1)</w:t>
        </w:r>
      </w:hyperlink>
      <w:r>
        <w:rPr>
          <w:rFonts w:ascii="Times New Roman" w:hAnsi="Times New Roman"/>
          <w:b w:val="false"/>
          <w:i/>
          <w:color w:val="000000"/>
          <w:sz w:val="24"/>
        </w:rPr>
        <w:t>“g.”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A certified check for $850 made payable to the Iowa Department of Natural Resources.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 xml:space="preserve">A financial assurance instrument as referenced in </w:t>
      </w:r>
      <w:hyperlink r:id="rId195">
        <w:r>
          <w:rPr>
            <w:rStyle w:val="Hyperlink"/>
            <w:rFonts w:ascii="Times New Roman" w:hAnsi="Times New Roman"/>
            <w:b w:val="false"/>
            <w:i w:val="false"/>
            <w:color w:val="000000"/>
            <w:sz w:val="24"/>
          </w:rPr>
          <w:t>102.409(1)</w:t>
        </w:r>
      </w:hyperlink>
      <w:r>
        <w:rPr>
          <w:rFonts w:ascii="Times New Roman" w:hAnsi="Times New Roman"/>
          <w:b w:val="false"/>
          <w:i/>
          <w:color w:val="000000"/>
          <w:sz w:val="24"/>
        </w:rPr>
        <w:t>“h.”</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102.409(2)</w:t>
      </w:r>
      <w:r>
        <w:rPr>
          <w:rFonts w:ascii="Times New Roman" w:hAnsi="Times New Roman"/>
          <w:b w:val="false"/>
          <w:i w:val="false"/>
          <w:color w:val="000000"/>
          <w:sz w:val="24"/>
        </w:rPr>
        <w:t> </w:t>
      </w:r>
      <w:r>
        <w:rPr>
          <w:rFonts w:ascii="Times New Roman" w:hAnsi="Times New Roman"/>
          <w:b w:val="false"/>
          <w:i/>
          <w:color w:val="000000"/>
          <w:sz w:val="24"/>
        </w:rPr>
        <w:t xml:space="preserve">Permitted processing requirements. </w:t>
      </w:r>
      <w:r>
        <w:rPr>
          <w:rFonts w:ascii="Times New Roman" w:hAnsi="Times New Roman"/>
          <w:b w:val="false"/>
          <w:i w:val="false"/>
          <w:color w:val="000000"/>
          <w:sz w:val="24"/>
        </w:rPr>
        <w:t>A permitted waste tire processing facility shall meet the following minimum permit requirements.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site must be graded to prevent any standing pools of water and to limit the runoff and run-on of precipitation in all areas where waste tires are stockpiled or processed tire material is staged prior to sale.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processing facility site must be secured by a fence or barrier of a minimum of six feet in height to impede unauthorized vehicle and personal access. All gates and entry points shall be secured and locked when site personnel are not present.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No open burning of any type shall be allowed at the permitted waste tire processing facility. All fueling of vehicles and equipment and any other work or activity that may release sparks or flame shall be conducted at least 50 feet from any waste tire stockpiling area.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 xml:space="preserve"> Signs shall be posted every 100 feet on site, placed for visibility of personnel on site, and state: “Open burning on-site prohibited.” The perimeter of the site shall be posted with signs every 100 feet, placed for visibility to those offsite, that state: “Highly flammable materials on-site. Burning in area not recommended.”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102.409(3)</w:t>
      </w:r>
      <w:r>
        <w:rPr>
          <w:rFonts w:ascii="Times New Roman" w:hAnsi="Times New Roman"/>
          <w:b w:val="false"/>
          <w:i w:val="false"/>
          <w:color w:val="000000"/>
          <w:sz w:val="24"/>
        </w:rPr>
        <w:t> </w:t>
      </w:r>
      <w:r>
        <w:rPr>
          <w:rFonts w:ascii="Times New Roman" w:hAnsi="Times New Roman"/>
          <w:b w:val="false"/>
          <w:i/>
          <w:color w:val="000000"/>
          <w:sz w:val="24"/>
        </w:rPr>
        <w:t xml:space="preserve">Preprocessed whole waste tire stockpiling.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Permitted stockpiling of whole waste tires on site prior to processing shall be limited to the quantity of waste tires that the facility has the ability to process within a three-day period. This quantity shall be determined by multiplying the actual number of working hours that processing is normally to occur during a typical three-day period by 80 percent of the manufacturer’s specifications of hourly capacity of the processing equipment. After one year of the facility’s operation, documented actual hourly production shall be used for this permit determination in lieu of the manufacturer’s equipment specifications.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A permitted waste tire processor may stockpile an additional three-day capacity of preprocessed whole waste tires, above the initial three-day capacity, using the same quantity determination as stated in </w:t>
      </w:r>
      <w:hyperlink r:id="rId196">
        <w:r>
          <w:rPr>
            <w:rStyle w:val="Hyperlink"/>
            <w:rFonts w:ascii="Times New Roman" w:hAnsi="Times New Roman"/>
            <w:b w:val="false"/>
            <w:i w:val="false"/>
            <w:color w:val="000000"/>
            <w:sz w:val="24"/>
          </w:rPr>
          <w:t>102.409(3)</w:t>
        </w:r>
      </w:hyperlink>
      <w:r>
        <w:rPr>
          <w:rFonts w:ascii="Times New Roman" w:hAnsi="Times New Roman"/>
          <w:b w:val="false"/>
          <w:i/>
          <w:color w:val="000000"/>
          <w:sz w:val="24"/>
        </w:rPr>
        <w:t>“a,”</w:t>
      </w:r>
      <w:r>
        <w:rPr>
          <w:rFonts w:ascii="Times New Roman" w:hAnsi="Times New Roman"/>
          <w:b w:val="false"/>
          <w:i w:val="false"/>
          <w:color w:val="000000"/>
          <w:sz w:val="24"/>
        </w:rPr>
        <w:t xml:space="preserve"> subject to the tire processor’s obtaining and maintaining financial assurance for these additional waste tires to be stockpiled prior to processing in accordance with </w:t>
      </w:r>
      <w:hyperlink r:id="rId197">
        <w:r>
          <w:rPr>
            <w:rStyle w:val="Hyperlink"/>
            <w:rFonts w:ascii="Times New Roman" w:hAnsi="Times New Roman"/>
            <w:b w:val="false"/>
            <w:i w:val="false"/>
            <w:color w:val="000000"/>
            <w:sz w:val="24"/>
          </w:rPr>
          <w:t>567—102.410</w:t>
        </w:r>
      </w:hyperlink>
      <w:r>
        <w:rPr>
          <w:rFonts w:ascii="Times New Roman" w:hAnsi="Times New Roman"/>
          <w:b w:val="false"/>
          <w:i w:val="false"/>
          <w:color w:val="000000"/>
          <w:sz w:val="24"/>
        </w:rPr>
        <w:t>(455D).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Under no circumstance shall a permitted waste tire processor be allowed to stockpile more than 75,000 preprocessed whole waste tires, measured as passenger tire equivalents, through any combination of processing performance or financial assurance. All waste tires on site, including those stored indoors or outdoors or in trucks, trailers, or mobile cages, shall be counted in determining compliance with this subrule.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Any single waste tire shall not be stockpiled at the processing facility for more than 30 days before the tire is processed.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 xml:space="preserve">Preprocessed whole waste tires stockpiled outdoors shall comply with </w:t>
      </w:r>
      <w:hyperlink r:id="rId198">
        <w:r>
          <w:rPr>
            <w:rStyle w:val="Hyperlink"/>
            <w:rFonts w:ascii="Times New Roman" w:hAnsi="Times New Roman"/>
            <w:b w:val="false"/>
            <w:i w:val="false"/>
            <w:color w:val="000000"/>
            <w:sz w:val="24"/>
          </w:rPr>
          <w:t>102.407(3)</w:t>
        </w:r>
      </w:hyperlink>
      <w:r>
        <w:rPr>
          <w:rFonts w:ascii="Times New Roman" w:hAnsi="Times New Roman"/>
          <w:b w:val="false"/>
          <w:i/>
          <w:color w:val="000000"/>
          <w:sz w:val="24"/>
        </w:rPr>
        <w:t>“a”</w:t>
      </w:r>
      <w:r>
        <w:rPr>
          <w:rFonts w:ascii="Times New Roman" w:hAnsi="Times New Roman"/>
          <w:b w:val="false"/>
          <w:i w:val="false"/>
          <w:color w:val="000000"/>
          <w:sz w:val="24"/>
        </w:rPr>
        <w:t xml:space="preserve">(2) through </w:t>
      </w:r>
      <w:r>
        <w:rPr>
          <w:rFonts w:ascii="Times New Roman" w:hAnsi="Times New Roman"/>
          <w:b w:val="false"/>
          <w:i/>
          <w:color w:val="000000"/>
          <w:sz w:val="24"/>
        </w:rPr>
        <w:t>“a”</w:t>
      </w:r>
      <w:r>
        <w:rPr>
          <w:rFonts w:ascii="Times New Roman" w:hAnsi="Times New Roman"/>
          <w:b w:val="false"/>
          <w:i w:val="false"/>
          <w:color w:val="000000"/>
          <w:sz w:val="24"/>
        </w:rPr>
        <w:t>(16), and any waste tires stockpiled in trucks, trailers, or mobile containers must be at least ten feet from any property line or building.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 xml:space="preserve">Indoor stockpiling of whole waste tires shall not be allowed within 20 feet of any waste tire processing or handling equipment. All waste tires being actively unloaded and fed into processing equipment, including those being off-loaded from trucks, trailers, or mobile containers, shall be cleared at least 20 feet away from the processing equipment by the end of the last working shift of the day. Any remaining indoor stockpiling shall comply with the requirements of </w:t>
      </w:r>
      <w:hyperlink r:id="rId199">
        <w:r>
          <w:rPr>
            <w:rStyle w:val="Hyperlink"/>
            <w:rFonts w:ascii="Times New Roman" w:hAnsi="Times New Roman"/>
            <w:b w:val="false"/>
            <w:i w:val="false"/>
            <w:color w:val="000000"/>
            <w:sz w:val="24"/>
          </w:rPr>
          <w:t>102.407(3)</w:t>
        </w:r>
      </w:hyperlink>
      <w:r>
        <w:rPr>
          <w:rFonts w:ascii="Times New Roman" w:hAnsi="Times New Roman"/>
          <w:b w:val="false"/>
          <w:i/>
          <w:color w:val="000000"/>
          <w:sz w:val="24"/>
        </w:rPr>
        <w:t>“b”</w:t>
      </w:r>
      <w:r>
        <w:rPr>
          <w:rFonts w:ascii="Times New Roman" w:hAnsi="Times New Roman"/>
          <w:b w:val="false"/>
          <w:i w:val="false"/>
          <w:color w:val="000000"/>
          <w:sz w:val="24"/>
        </w:rPr>
        <w:t xml:space="preserve">(3) through </w:t>
      </w:r>
      <w:r>
        <w:rPr>
          <w:rFonts w:ascii="Times New Roman" w:hAnsi="Times New Roman"/>
          <w:b w:val="false"/>
          <w:i/>
          <w:color w:val="000000"/>
          <w:sz w:val="24"/>
        </w:rPr>
        <w:t>“b”</w:t>
      </w:r>
      <w:r>
        <w:rPr>
          <w:rFonts w:ascii="Times New Roman" w:hAnsi="Times New Roman"/>
          <w:b w:val="false"/>
          <w:i w:val="false"/>
          <w:color w:val="000000"/>
          <w:sz w:val="24"/>
        </w:rPr>
        <w:t>(6) and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No more than 25,000 passenger tire equivalents shall be stockpiled indoors.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Combustible materials or volatile chemicals shall not be stored within 25 feet of any waste tire stockpile area unless they are stored in approved containers pursuant to applicable fire codes.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 20-pound Class ABC dry chemical fire extinguisher shall be available within 50 feet of any one portion of indoor tire stockpile area.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The stockpiling structure must be secured from unauthorized access.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102.409(4)</w:t>
      </w:r>
      <w:r>
        <w:rPr>
          <w:rFonts w:ascii="Times New Roman" w:hAnsi="Times New Roman"/>
          <w:b w:val="false"/>
          <w:i w:val="false"/>
          <w:color w:val="000000"/>
          <w:sz w:val="24"/>
        </w:rPr>
        <w:t> </w:t>
      </w:r>
      <w:r>
        <w:rPr>
          <w:rFonts w:ascii="Times New Roman" w:hAnsi="Times New Roman"/>
          <w:b w:val="false"/>
          <w:i/>
          <w:color w:val="000000"/>
          <w:sz w:val="24"/>
        </w:rPr>
        <w:t xml:space="preserve">Processed waste tire storage.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Storage of processed waste tire materials at a waste tire processing facility shall be limited to the volume of material in aggregate that the processor manufactures within a consecutive 60-day period, using the facility’s daily average capacity for processing whole waste tires as determined in </w:t>
      </w:r>
      <w:hyperlink r:id="rId200">
        <w:r>
          <w:rPr>
            <w:rStyle w:val="Hyperlink"/>
            <w:rFonts w:ascii="Times New Roman" w:hAnsi="Times New Roman"/>
            <w:b w:val="false"/>
            <w:i w:val="false"/>
            <w:color w:val="000000"/>
            <w:sz w:val="24"/>
          </w:rPr>
          <w:t>102.409(3)</w:t>
        </w:r>
      </w:hyperlink>
      <w:r>
        <w:rPr>
          <w:rFonts w:ascii="Times New Roman" w:hAnsi="Times New Roman"/>
          <w:b w:val="false"/>
          <w:i/>
          <w:color w:val="000000"/>
          <w:sz w:val="24"/>
        </w:rPr>
        <w:t>“a.”</w:t>
      </w:r>
      <w:r>
        <w:rPr>
          <w:rFonts w:ascii="Times New Roman" w:hAnsi="Times New Roman"/>
          <w:b w:val="false"/>
          <w:i w:val="false"/>
          <w:color w:val="000000"/>
          <w:sz w:val="24"/>
        </w:rPr>
        <w:t xml:space="preserve"> The department shall have the final authority for determining the allowable quantities of processed tire materials to be stored.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Under no circumstances shall the equivalent of more than 500,000 processed tires, or 5,000 tons of material, be stored at the permitted waste tire processing site.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All processed waste tire material at the site of processing shall be stored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Processed tires shall be stored in piles no more than 15 feet in height, 100 feet in length, and 50 feet in width and shall contain no more than 75,000 cubic feet of product by volume.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 50-foot fire lane must be maintained between piles of processed tire material, with the base of the lane kept free from the accumulation of waste tire-derived residuals or materials or other debris.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All processed waste tire material shall be stored at least 50 feet from any property line, street, public right-of-way, or building.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Trees and brush shall be cleared within 50 feet of the storage of all processed waste tire material.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A 20-pound Class ABC dry chemical fire extinguisher shall be available within 100 feet of any one portion of processed waste tire stockpile area.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For indoor storage of more than 5,000 cubic feet of processed waste tire material, the material shall be stored on concrete floors and all retaining walls, bins, barriers, and roofing material for the material storage shall be constructed of nonflammable materials.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The processor must demonstrate a reasonable market demand for all types and quantities of processed product stored at the waste tire processing facility. Market demand for processed waste tire products shall be demonstrated by the processor through at least one of the following criteria: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Active contracts, purchase orders, or supply agreements with an end user, noting quantities of material required by the end user, specifications of the quality of the product required by the end user, and monthly or annual demand of product by the end user from the processor. This information shall be made available for review by the department as required to determine compliance with this subrule.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Historic, ongoing demand for product by an end user or type of end user within the state or surrounding region.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Information and evidence that any proposed new product or use for processed waste tires produced by the tire processor will be marketed in a timely fashion, with sufficient demand and consumption by end user markets.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The department shall have the final authority in determining storage limitations, including prohibition, for processed waste tire products when active markets are not evident from information provided by the waste tire processor.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102.409(5)</w:t>
      </w:r>
      <w:r>
        <w:rPr>
          <w:rFonts w:ascii="Times New Roman" w:hAnsi="Times New Roman"/>
          <w:b w:val="false"/>
          <w:i w:val="false"/>
          <w:color w:val="000000"/>
          <w:sz w:val="24"/>
        </w:rPr>
        <w:t> </w:t>
      </w:r>
      <w:r>
        <w:rPr>
          <w:rFonts w:ascii="Times New Roman" w:hAnsi="Times New Roman"/>
          <w:b w:val="false"/>
          <w:i/>
          <w:color w:val="000000"/>
          <w:sz w:val="24"/>
        </w:rPr>
        <w:t xml:space="preserve">Reporting requirements. </w:t>
      </w:r>
      <w:r>
        <w:rPr>
          <w:rFonts w:ascii="Times New Roman" w:hAnsi="Times New Roman"/>
          <w:b w:val="false"/>
          <w:i w:val="false"/>
          <w:color w:val="000000"/>
          <w:sz w:val="24"/>
        </w:rPr>
        <w:t>The holder of a permit for a waste tire processing facility shall submit a semiannual report to the department on a form prescribed by the department. The report shall state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Quantity of waste tires received by the facility during the reporting period.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Quantity of waste tires received by the facility from in-state sources.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Quantity of waste tires received by the facility from out-of-state sources.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Quantity of unprocessed waste tires on hand at the facility at the time of reporting.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Quantity of waste tires processed and delivered to end users during the reporting period, by product type, with determinations of quantities of product delivered to identified in-state and out-of-state markets or sites.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Quantity of processed tire material currently stored at the facility, by product type.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102.409(6)</w:t>
      </w:r>
      <w:r>
        <w:rPr>
          <w:rFonts w:ascii="Times New Roman" w:hAnsi="Times New Roman"/>
          <w:b w:val="false"/>
          <w:i w:val="false"/>
          <w:color w:val="000000"/>
          <w:sz w:val="24"/>
        </w:rPr>
        <w:t> </w:t>
      </w:r>
      <w:r>
        <w:rPr>
          <w:rFonts w:ascii="Times New Roman" w:hAnsi="Times New Roman"/>
          <w:b w:val="false"/>
          <w:i/>
          <w:color w:val="000000"/>
          <w:sz w:val="24"/>
        </w:rPr>
        <w:t xml:space="preserve">Disposal of solid wastes.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All waste materials, residuals, and scraps derived from waste tire processing operations shall be regulated as solid waste. These materials include but are not limited to tire bead rings, metal wire, synthetic fibers, and cording.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All of these solid wastes must be disposed of at least every 60 days at a permitted sanitary disposal project, scrap recycler, or location, as approved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Documentation of the disposal of these solid wastes must be kept at the waste tire processing facility for a period of three years and shall be available for audit or inspection at the request of the department.</w:t>
      </w:r>
    </w:p>
    <w:p>
      <w:pPr>
        <w:spacing w:before="0" w:after="0" w:line="480"/>
        <w:ind w:left="120"/>
        <w:jc w:val="both"/>
      </w:pPr>
      <w:r>
        <w:rPr>
          <w:rFonts w:ascii="Times New Roman" w:hAnsi="Times New Roman"/>
          <w:b/>
          <w:i w:val="false"/>
          <w:color w:val="000000"/>
          <w:sz w:val="24"/>
        </w:rPr>
        <w:t>567—102.410</w:t>
      </w:r>
      <w:r>
        <w:rPr>
          <w:rFonts w:ascii="Times New Roman" w:hAnsi="Times New Roman"/>
          <w:b/>
          <w:i w:val="false"/>
          <w:color w:val="000000"/>
          <w:sz w:val="24"/>
        </w:rPr>
        <w:t xml:space="preserve">(455D) </w:t>
      </w:r>
      <w:r>
        <w:rPr>
          <w:rFonts w:ascii="Times New Roman" w:hAnsi="Times New Roman"/>
          <w:b/>
          <w:i w:val="false"/>
          <w:color w:val="000000"/>
          <w:sz w:val="24"/>
        </w:rPr>
        <w:t xml:space="preserve">Financial assurance requirements. </w:t>
      </w:r>
      <w:r>
        <w:rPr>
          <w:rFonts w:ascii="Times New Roman" w:hAnsi="Times New Roman"/>
          <w:b w:val="false"/>
          <w:i w:val="false"/>
          <w:color w:val="000000"/>
          <w:sz w:val="24"/>
        </w:rPr>
        <w:t xml:space="preserve">Permitted waste tire processing sites and waste tire stockpile sites must obtain and submit a financial assurance instrument to the department in accordance with Iowa Code section </w:t>
      </w:r>
      <w:hyperlink r:id="rId201">
        <w:r>
          <w:rPr>
            <w:rStyle w:val="Hyperlink"/>
            <w:rFonts w:ascii="Times New Roman" w:hAnsi="Times New Roman"/>
            <w:b w:val="false"/>
            <w:i w:val="false"/>
            <w:color w:val="000000"/>
            <w:sz w:val="24"/>
          </w:rPr>
          <w:t>455D.11A</w:t>
        </w:r>
      </w:hyperlink>
      <w:r>
        <w:rPr>
          <w:rFonts w:ascii="Times New Roman" w:hAnsi="Times New Roman"/>
          <w:b w:val="false"/>
          <w:i w:val="false"/>
          <w:color w:val="000000"/>
          <w:sz w:val="24"/>
        </w:rPr>
        <w:t xml:space="preserve"> and this rule.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102.410(1)</w:t>
      </w:r>
      <w:r>
        <w:rPr>
          <w:rFonts w:ascii="Times New Roman" w:hAnsi="Times New Roman"/>
          <w:b w:val="false"/>
          <w:i w:val="false"/>
          <w:color w:val="000000"/>
          <w:sz w:val="24"/>
        </w:rPr>
        <w:t> </w:t>
      </w:r>
      <w:r>
        <w:rPr>
          <w:rFonts w:ascii="Times New Roman" w:hAnsi="Times New Roman"/>
          <w:b w:val="false"/>
          <w:i/>
          <w:color w:val="000000"/>
          <w:sz w:val="24"/>
        </w:rPr>
        <w:t xml:space="preserve">No permit without financial assurance. </w:t>
      </w:r>
      <w:r>
        <w:rPr>
          <w:rFonts w:ascii="Times New Roman" w:hAnsi="Times New Roman"/>
          <w:b w:val="false"/>
          <w:i w:val="false"/>
          <w:color w:val="000000"/>
          <w:sz w:val="24"/>
        </w:rPr>
        <w:t>The department shall not issue or renew a permit to an owner or operator of a waste tire processing or stockpile site until a financial assurance instrument(s) has been submitted to and approved by the department, as necessary.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102.410(2)</w:t>
      </w:r>
      <w:r>
        <w:rPr>
          <w:rFonts w:ascii="Times New Roman" w:hAnsi="Times New Roman"/>
          <w:b w:val="false"/>
          <w:i w:val="false"/>
          <w:color w:val="000000"/>
          <w:sz w:val="24"/>
        </w:rPr>
        <w:t> </w:t>
      </w:r>
      <w:r>
        <w:rPr>
          <w:rFonts w:ascii="Times New Roman" w:hAnsi="Times New Roman"/>
          <w:b w:val="false"/>
          <w:i/>
          <w:color w:val="000000"/>
          <w:sz w:val="24"/>
        </w:rPr>
        <w:t xml:space="preserve">Financial assurance amounts required.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Waste tire stockpile sites shall have financial assurance coverage equal to $2.50 per passenger tire equivalent collected and stockpiled.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Waste tire processing sites shall have financial assurance coverage equal to $2.50 per passenger tire equivalent stockpiled above the permitted three-day processing capacity, in accordance with </w:t>
      </w:r>
      <w:hyperlink r:id="rId202">
        <w:r>
          <w:rPr>
            <w:rStyle w:val="Hyperlink"/>
            <w:rFonts w:ascii="Times New Roman" w:hAnsi="Times New Roman"/>
            <w:b w:val="false"/>
            <w:i w:val="false"/>
            <w:color w:val="000000"/>
            <w:sz w:val="24"/>
          </w:rPr>
          <w:t>102.409(3)</w:t>
        </w:r>
      </w:hyperlink>
      <w:r>
        <w:rPr>
          <w:rFonts w:ascii="Times New Roman" w:hAnsi="Times New Roman"/>
          <w:b w:val="false"/>
          <w:i/>
          <w:color w:val="000000"/>
          <w:sz w:val="24"/>
        </w:rPr>
        <w:t>“b.”</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102.410(3)</w:t>
      </w:r>
      <w:r>
        <w:rPr>
          <w:rFonts w:ascii="Times New Roman" w:hAnsi="Times New Roman"/>
          <w:b w:val="false"/>
          <w:i w:val="false"/>
          <w:color w:val="000000"/>
          <w:sz w:val="24"/>
        </w:rPr>
        <w:t> </w:t>
      </w:r>
      <w:r>
        <w:rPr>
          <w:rFonts w:ascii="Times New Roman" w:hAnsi="Times New Roman"/>
          <w:b w:val="false"/>
          <w:i/>
          <w:color w:val="000000"/>
          <w:sz w:val="24"/>
        </w:rPr>
        <w:t xml:space="preserve">Allowable financial assurance instruments. </w:t>
      </w:r>
      <w:r>
        <w:rPr>
          <w:rFonts w:ascii="Times New Roman" w:hAnsi="Times New Roman"/>
          <w:b w:val="false"/>
          <w:i w:val="false"/>
          <w:color w:val="000000"/>
          <w:sz w:val="24"/>
        </w:rPr>
        <w:t xml:space="preserve">The instruments used to demonstrate financial assurance must ensure that the funds necessary to properly dispose of any waste tires that may remain at a permitted waste tire stockpile or waste tire processing site due to the owner’s or operator’s failure to properly close the site within 30 days of permit termination, revocation, or expiration. The financial assurance instrument must be legally valid, binding, and enforceable under Iowa law and shall not be canceled, revoked, disbursed, released, or allowed to terminate without the approval of the department. Owners or operators must choose from options in </w:t>
      </w:r>
      <w:hyperlink r:id="rId203">
        <w:r>
          <w:rPr>
            <w:rStyle w:val="Hyperlink"/>
            <w:rFonts w:ascii="Times New Roman" w:hAnsi="Times New Roman"/>
            <w:b w:val="false"/>
            <w:i w:val="false"/>
            <w:color w:val="000000"/>
            <w:sz w:val="24"/>
          </w:rPr>
          <w:t>102.410(3)</w:t>
        </w:r>
      </w:hyperlink>
      <w:r>
        <w:rPr>
          <w:rFonts w:ascii="Times New Roman" w:hAnsi="Times New Roman"/>
          <w:b w:val="false"/>
          <w:i/>
          <w:color w:val="000000"/>
          <w:sz w:val="24"/>
        </w:rPr>
        <w:t>“a”</w:t>
      </w:r>
      <w:r>
        <w:rPr>
          <w:rFonts w:ascii="Times New Roman" w:hAnsi="Times New Roman"/>
          <w:b w:val="false"/>
          <w:i w:val="false"/>
          <w:color w:val="000000"/>
          <w:sz w:val="24"/>
        </w:rPr>
        <w:t xml:space="preserve"> through </w:t>
      </w:r>
      <w:r>
        <w:rPr>
          <w:rFonts w:ascii="Times New Roman" w:hAnsi="Times New Roman"/>
          <w:b w:val="false"/>
          <w:i/>
          <w:color w:val="000000"/>
          <w:sz w:val="24"/>
        </w:rPr>
        <w:t>“e,”</w:t>
      </w:r>
      <w:r>
        <w:rPr>
          <w:rFonts w:ascii="Times New Roman" w:hAnsi="Times New Roman"/>
          <w:b w:val="false"/>
          <w:i w:val="false"/>
          <w:color w:val="000000"/>
          <w:sz w:val="24"/>
        </w:rPr>
        <w:t xml:space="preserve"> as provided for in Iowa Code section </w:t>
      </w:r>
      <w:hyperlink r:id="rId204">
        <w:r>
          <w:rPr>
            <w:rStyle w:val="Hyperlink"/>
            <w:rFonts w:ascii="Times New Roman" w:hAnsi="Times New Roman"/>
            <w:b w:val="false"/>
            <w:i w:val="false"/>
            <w:color w:val="000000"/>
            <w:sz w:val="24"/>
          </w:rPr>
          <w:t>455D.11A(3)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Cash. </w:t>
      </w:r>
      <w:r>
        <w:rPr>
          <w:rFonts w:ascii="Times New Roman" w:hAnsi="Times New Roman"/>
          <w:b w:val="false"/>
          <w:i w:val="false"/>
          <w:color w:val="000000"/>
          <w:sz w:val="24"/>
        </w:rPr>
        <w:t>Cash payments shall be provided by a certified check, made payable to the Iowa Department of Natural Resources.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Surety bond. </w:t>
      </w:r>
      <w:r>
        <w:rPr>
          <w:rFonts w:ascii="Times New Roman" w:hAnsi="Times New Roman"/>
          <w:b w:val="false"/>
          <w:i w:val="false"/>
          <w:color w:val="000000"/>
          <w:sz w:val="24"/>
        </w:rPr>
        <w:t>An owner or operator may demonstrate financial assurance for closure by obtaining a payment or performance surety bond, which conforms to the requirements of this paragraph. The surety bond agreement shall be on a form prescribed by the department and executed by a surety company authorized by the commissioner of insurance to do business in Iowa. The owner or operator shall provide the department with a statement from the surety with each permit renewal application, noting that the bond is paid and current for the period for which the applicant has applied for permit renewal. The executed surety bond provided to the department shall be an original, or copy thereof, that addresses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The penal sum of the bond must be in an amount at least equal to the amount specified in </w:t>
      </w:r>
      <w:hyperlink r:id="rId205">
        <w:r>
          <w:rPr>
            <w:rStyle w:val="Hyperlink"/>
            <w:rFonts w:ascii="Times New Roman" w:hAnsi="Times New Roman"/>
            <w:b w:val="false"/>
            <w:i w:val="false"/>
            <w:color w:val="000000"/>
            <w:sz w:val="24"/>
          </w:rPr>
          <w:t>102.410(2)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Under the terms of the bond, the surety will become liable on the bond obligation when the owner or operator fails to perform as guaranteed by the bond and upon notice from the department pursuant to </w:t>
      </w:r>
      <w:hyperlink r:id="rId206">
        <w:r>
          <w:rPr>
            <w:rStyle w:val="Hyperlink"/>
            <w:rFonts w:ascii="Times New Roman" w:hAnsi="Times New Roman"/>
            <w:b w:val="false"/>
            <w:i w:val="false"/>
            <w:color w:val="000000"/>
            <w:sz w:val="24"/>
          </w:rPr>
          <w:t>102.410(8)</w:t>
        </w:r>
      </w:hyperlink>
      <w:r>
        <w:rPr>
          <w:rFonts w:ascii="Times New Roman" w:hAnsi="Times New Roman"/>
          <w:b w:val="false"/>
          <w:i/>
          <w:color w:val="000000"/>
          <w:sz w:val="24"/>
        </w:rPr>
        <w: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 xml:space="preserve">The owner or operator must also establish a standby trust fund. The standby trust fund must meet the requirements of </w:t>
      </w:r>
      <w:hyperlink r:id="rId207">
        <w:r>
          <w:rPr>
            <w:rStyle w:val="Hyperlink"/>
            <w:rFonts w:ascii="Times New Roman" w:hAnsi="Times New Roman"/>
            <w:b w:val="false"/>
            <w:i w:val="false"/>
            <w:color w:val="000000"/>
            <w:sz w:val="24"/>
          </w:rPr>
          <w:t>102.410(3)</w:t>
        </w:r>
      </w:hyperlink>
      <w:r>
        <w:rPr>
          <w:rFonts w:ascii="Times New Roman" w:hAnsi="Times New Roman"/>
          <w:b w:val="false"/>
          <w:i/>
          <w:color w:val="000000"/>
          <w:sz w:val="24"/>
        </w:rPr>
        <w:t>“d.”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 xml:space="preserve">Payments made under the terms of the letter of credit will be deposited by the issuing institution directly into the standby trust fund. Payments from the trust fund must be authorized by the trustee pursuant to </w:t>
      </w:r>
      <w:hyperlink r:id="rId208">
        <w:r>
          <w:rPr>
            <w:rStyle w:val="Hyperlink"/>
            <w:rFonts w:ascii="Times New Roman" w:hAnsi="Times New Roman"/>
            <w:b w:val="false"/>
            <w:i w:val="false"/>
            <w:color w:val="000000"/>
            <w:sz w:val="24"/>
          </w:rPr>
          <w:t>102.410(3)</w:t>
        </w:r>
      </w:hyperlink>
      <w:r>
        <w:rPr>
          <w:rFonts w:ascii="Times New Roman" w:hAnsi="Times New Roman"/>
          <w:b w:val="false"/>
          <w:i/>
          <w:color w:val="000000"/>
          <w:sz w:val="24"/>
        </w:rPr>
        <w:t>“d”</w:t>
      </w:r>
      <w:r>
        <w:rPr>
          <w:rFonts w:ascii="Times New Roman" w:hAnsi="Times New Roman"/>
          <w:b w:val="false"/>
          <w:i w:val="false"/>
          <w:color w:val="000000"/>
          <w:sz w:val="24"/>
        </w:rPr>
        <w:t>(3).</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Letter of credit. </w:t>
      </w:r>
      <w:r>
        <w:rPr>
          <w:rFonts w:ascii="Times New Roman" w:hAnsi="Times New Roman"/>
          <w:b w:val="false"/>
          <w:i w:val="false"/>
          <w:color w:val="000000"/>
          <w:sz w:val="24"/>
        </w:rPr>
        <w:t>An owner or operator may demonstrate financial assurance for closure by obtaining an irrevocable standby letter of credit, which conforms to the requirements of this paragraph. The letter of credit agreement shall be on a form prescribed by the department, and the issuing institution must be an entity that has the authority to issue letters of credit and whose letter-of-credit operations are regulated and examined by a federal or state agency. The owner or operator shall provide the department with a statement from the issuing institution with each permit renewal application, noting that the letter of credit is paid and current for the period for which the applicant has applied for permit renewal. The executed letter of credit provided to the department shall be an original, or copy thereof, that addresses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The letter of credit must be irrevocable and issued for a period of at least one year in an amount at least equal to the amount specified in </w:t>
      </w:r>
      <w:hyperlink r:id="rId209">
        <w:r>
          <w:rPr>
            <w:rStyle w:val="Hyperlink"/>
            <w:rFonts w:ascii="Times New Roman" w:hAnsi="Times New Roman"/>
            <w:b w:val="false"/>
            <w:i w:val="false"/>
            <w:color w:val="000000"/>
            <w:sz w:val="24"/>
          </w:rPr>
          <w:t>102.410(2)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provision of funds by the issuer of the letter of credit shall be considered an issuance of a loan to the owner or operator, and the terms of that loan shall be governed by the letter of credit or subsequent agreement between those parties.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 letter from the owner or operator referring to the letter of credit by number, issuing institution, and date; providing the name and address of the facility; and providing the amount of funds assured must be included with the letter of credit submitted to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 xml:space="preserve">The owner or operator must also establish a standby trust fund. The standby trust fund must meet the requirements of </w:t>
      </w:r>
      <w:hyperlink r:id="rId210">
        <w:r>
          <w:rPr>
            <w:rStyle w:val="Hyperlink"/>
            <w:rFonts w:ascii="Times New Roman" w:hAnsi="Times New Roman"/>
            <w:b w:val="false"/>
            <w:i w:val="false"/>
            <w:color w:val="000000"/>
            <w:sz w:val="24"/>
          </w:rPr>
          <w:t>102.410(3)</w:t>
        </w:r>
      </w:hyperlink>
      <w:r>
        <w:rPr>
          <w:rFonts w:ascii="Times New Roman" w:hAnsi="Times New Roman"/>
          <w:b w:val="false"/>
          <w:i/>
          <w:color w:val="000000"/>
          <w:sz w:val="24"/>
        </w:rPr>
        <w:t>“d.”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 xml:space="preserve">Payments made under the terms of the letter of credit will be deposited by the issuing institution directly into the standby trust fund. Payments from the trust fund must be authorized by the trustee pursuant to </w:t>
      </w:r>
      <w:hyperlink r:id="rId211">
        <w:r>
          <w:rPr>
            <w:rStyle w:val="Hyperlink"/>
            <w:rFonts w:ascii="Times New Roman" w:hAnsi="Times New Roman"/>
            <w:b w:val="false"/>
            <w:i w:val="false"/>
            <w:color w:val="000000"/>
            <w:sz w:val="24"/>
          </w:rPr>
          <w:t>102.410(3)</w:t>
        </w:r>
      </w:hyperlink>
      <w:r>
        <w:rPr>
          <w:rFonts w:ascii="Times New Roman" w:hAnsi="Times New Roman"/>
          <w:b w:val="false"/>
          <w:i/>
          <w:color w:val="000000"/>
          <w:sz w:val="24"/>
        </w:rPr>
        <w:t>“d”</w:t>
      </w:r>
      <w:r>
        <w:rPr>
          <w:rFonts w:ascii="Times New Roman" w:hAnsi="Times New Roman"/>
          <w:b w:val="false"/>
          <w:i w:val="false"/>
          <w:color w:val="000000"/>
          <w:sz w:val="24"/>
        </w:rPr>
        <w:t>(3).</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color w:val="000000"/>
          <w:sz w:val="24"/>
        </w:rPr>
        <w:t xml:space="preserve">Trust fund. </w:t>
      </w:r>
      <w:r>
        <w:rPr>
          <w:rFonts w:ascii="Times New Roman" w:hAnsi="Times New Roman"/>
          <w:b w:val="false"/>
          <w:i w:val="false"/>
          <w:color w:val="000000"/>
          <w:sz w:val="24"/>
        </w:rPr>
        <w:t>An owner or operator may demonstrate financial assurance for closure by establishing a trust fund that conforms to the requirements of this paragraph. The trust fund agreement shall be on a form prescribed by the department, and the trustee must be an entity that has the authority to act as a trustee and whose trust operations are regulated and examined by a federal or state agency. The executed trust fund provided to the department shall be an original, or copy thereof, that addresses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The trust fund shall be in an amount least equal to the amount specified in </w:t>
      </w:r>
      <w:hyperlink r:id="rId212">
        <w:r>
          <w:rPr>
            <w:rStyle w:val="Hyperlink"/>
            <w:rFonts w:ascii="Times New Roman" w:hAnsi="Times New Roman"/>
            <w:b w:val="false"/>
            <w:i w:val="false"/>
            <w:color w:val="000000"/>
            <w:sz w:val="24"/>
          </w:rPr>
          <w:t>102.410(2)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The owner or operator shall provide the department with a statement from the trustee with each permit renewal application, documenting the current value of the trust fund complies with </w:t>
      </w:r>
      <w:hyperlink r:id="rId213">
        <w:r>
          <w:rPr>
            <w:rStyle w:val="Hyperlink"/>
            <w:rFonts w:ascii="Times New Roman" w:hAnsi="Times New Roman"/>
            <w:b w:val="false"/>
            <w:i w:val="false"/>
            <w:color w:val="000000"/>
            <w:sz w:val="24"/>
          </w:rPr>
          <w:t>102.410(2)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owner or operator, department, or other person authorized to conduct closure may request reimbursement from the trustee for these expenditures as they are incurred. Requests for reimbursement will be granted by the trustee only if sufficient funds are remaining in the trust fund to cover the remaining costs of proper site closure. The owner or operator, or other person authorized to conduct closure, must submit to the department documentation of the justification for reimbursement and verification that reimbursement has been received.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color w:val="000000"/>
          <w:sz w:val="24"/>
        </w:rPr>
        <w:t xml:space="preserve">Corporate guarantee. </w:t>
      </w:r>
      <w:r>
        <w:rPr>
          <w:rFonts w:ascii="Times New Roman" w:hAnsi="Times New Roman"/>
          <w:b w:val="false"/>
          <w:i w:val="false"/>
          <w:color w:val="000000"/>
          <w:sz w:val="24"/>
        </w:rPr>
        <w:t>An owner or operator that satisfies the requirements of this paragraph may demonstrate financial assurance for closure by obtaining a written guarantee.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Affiliation. The guarantor must be the direct or higher-tier parent corporation of the owner or operator, a firm whose parent corporation is also the parent corporation of the owner or operator, or a firm with a substantial business relationship with the owner or operator. A certified copy of the executed guarantee must be placed in the facility’s operating record along with copies of the letter from the guarantor’s chief financial officer and the independent certified public accountant’s opinion(s). If the guarantor’s parent corporation is also the parent corporation of the owner or operator, the letter from the guarantor’s chief financial officer must describe the value received in consideration of the guarantee. If the guarantor is a firm with a substantial business relationship with the owner or operator, this letter must describe this substantial business relationship and the value received in consideration of the guarantee.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Terms of the written guarantee. The guarantee must be effective and all required submissions made to the department prior to the initial receipt of waste tires or before the cancellation of an alternative financial assurance instrument, in the case of closure. The guarantee must provide that: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If the owner or operator fails to perform proper closure of a site covered by the guarantee, or fails to obtain alternative financial assurance within 90 days of notice of intent to cancel pursuant to </w:t>
      </w:r>
      <w:hyperlink r:id="rId214">
        <w:r>
          <w:rPr>
            <w:rStyle w:val="Hyperlink"/>
            <w:rFonts w:ascii="Times New Roman" w:hAnsi="Times New Roman"/>
            <w:b w:val="false"/>
            <w:i w:val="false"/>
            <w:color w:val="000000"/>
            <w:sz w:val="24"/>
          </w:rPr>
          <w:t>102.410(8)</w:t>
        </w:r>
      </w:hyperlink>
      <w:r>
        <w:rPr>
          <w:rFonts w:ascii="Times New Roman" w:hAnsi="Times New Roman"/>
          <w:b w:val="false"/>
          <w:i w:val="false"/>
          <w:color w:val="000000"/>
          <w:sz w:val="24"/>
        </w:rPr>
        <w:t>, the guarantor will:</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Perform, or pay a third party to perform, proper closure as required (performance guarantee); or</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 xml:space="preserve">Establish a fully funded trust fund as specified in </w:t>
      </w:r>
      <w:hyperlink r:id="rId215">
        <w:r>
          <w:rPr>
            <w:rStyle w:val="Hyperlink"/>
            <w:rFonts w:ascii="Times New Roman" w:hAnsi="Times New Roman"/>
            <w:b w:val="false"/>
            <w:i w:val="false"/>
            <w:color w:val="000000"/>
            <w:sz w:val="24"/>
          </w:rPr>
          <w:t>102.410(3)</w:t>
        </w:r>
      </w:hyperlink>
      <w:r>
        <w:rPr>
          <w:rFonts w:ascii="Times New Roman" w:hAnsi="Times New Roman"/>
          <w:b w:val="false"/>
          <w:i/>
          <w:color w:val="000000"/>
          <w:sz w:val="24"/>
        </w:rPr>
        <w:t>“d”</w:t>
      </w:r>
      <w:r>
        <w:rPr>
          <w:rFonts w:ascii="Times New Roman" w:hAnsi="Times New Roman"/>
          <w:b w:val="false"/>
          <w:i w:val="false"/>
          <w:color w:val="000000"/>
          <w:sz w:val="24"/>
        </w:rPr>
        <w:t xml:space="preserve"> in the name of the owner or operator (payment guarantee);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The guarantee will remain in force for as long as the owner or operator must comply with the applicable financial assurance requirements of this rule unless the guarantor sends prior notice of cancellation by certified mail to the owner or operator and to the department pursuant to </w:t>
      </w:r>
      <w:hyperlink r:id="rId216">
        <w:r>
          <w:rPr>
            <w:rStyle w:val="Hyperlink"/>
            <w:rFonts w:ascii="Times New Roman" w:hAnsi="Times New Roman"/>
            <w:b w:val="false"/>
            <w:i w:val="false"/>
            <w:color w:val="000000"/>
            <w:sz w:val="24"/>
          </w:rPr>
          <w:t>102.410(8)</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department may, based on a reasonable belief that the corporate guarantor may no longer assure the funds of the written guarantee, require at any time the corporate guarantor to provide reports of its financial condition. If a corporate guarantor can no longer assure the funds of the written guarantee, the owner or operator must submit to the department proof of alternative financial assurance within 90-days of written notification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102.410(4)</w:t>
      </w:r>
      <w:r>
        <w:rPr>
          <w:rFonts w:ascii="Times New Roman" w:hAnsi="Times New Roman"/>
          <w:b w:val="false"/>
          <w:i w:val="false"/>
          <w:color w:val="000000"/>
          <w:sz w:val="24"/>
        </w:rPr>
        <w:t> </w:t>
      </w:r>
      <w:r>
        <w:rPr>
          <w:rFonts w:ascii="Times New Roman" w:hAnsi="Times New Roman"/>
          <w:b w:val="false"/>
          <w:i/>
          <w:color w:val="000000"/>
          <w:sz w:val="24"/>
        </w:rPr>
        <w:t xml:space="preserve">Use of multiple financial assurance instruments. </w:t>
      </w:r>
      <w:r>
        <w:rPr>
          <w:rFonts w:ascii="Times New Roman" w:hAnsi="Times New Roman"/>
          <w:b w:val="false"/>
          <w:i w:val="false"/>
          <w:color w:val="000000"/>
          <w:sz w:val="24"/>
        </w:rPr>
        <w:t xml:space="preserve">An owner or operator may satisfy the requirements of </w:t>
      </w:r>
      <w:hyperlink r:id="rId217">
        <w:r>
          <w:rPr>
            <w:rStyle w:val="Hyperlink"/>
            <w:rFonts w:ascii="Times New Roman" w:hAnsi="Times New Roman"/>
            <w:b w:val="false"/>
            <w:i w:val="false"/>
            <w:color w:val="000000"/>
            <w:sz w:val="24"/>
          </w:rPr>
          <w:t>567—102.410</w:t>
        </w:r>
      </w:hyperlink>
      <w:r>
        <w:rPr>
          <w:rFonts w:ascii="Times New Roman" w:hAnsi="Times New Roman"/>
          <w:b w:val="false"/>
          <w:i w:val="false"/>
          <w:color w:val="000000"/>
          <w:sz w:val="24"/>
        </w:rPr>
        <w:t xml:space="preserve">(455D) by establishing more than one financial assurance instrument per site, except that instruments guaranteeing performance rather than payment may not be combined with other instruments. The instruments must be a combination of those instruments outlined in </w:t>
      </w:r>
      <w:hyperlink r:id="rId218">
        <w:r>
          <w:rPr>
            <w:rStyle w:val="Hyperlink"/>
            <w:rFonts w:ascii="Times New Roman" w:hAnsi="Times New Roman"/>
            <w:b w:val="false"/>
            <w:i w:val="false"/>
            <w:color w:val="000000"/>
            <w:sz w:val="24"/>
          </w:rPr>
          <w:t>102.410(3)</w:t>
        </w:r>
      </w:hyperlink>
      <w:r>
        <w:rPr>
          <w:rFonts w:ascii="Times New Roman" w:hAnsi="Times New Roman"/>
          <w:b w:val="false"/>
          <w:i w:val="false"/>
          <w:color w:val="000000"/>
          <w:sz w:val="24"/>
        </w:rPr>
        <w:t xml:space="preserve"> and must provide financial assurance for an amount sufficient to satisfy the requirements of </w:t>
      </w:r>
      <w:hyperlink r:id="rId219">
        <w:r>
          <w:rPr>
            <w:rStyle w:val="Hyperlink"/>
            <w:rFonts w:ascii="Times New Roman" w:hAnsi="Times New Roman"/>
            <w:b w:val="false"/>
            <w:i w:val="false"/>
            <w:color w:val="000000"/>
            <w:sz w:val="24"/>
          </w:rPr>
          <w:t>102.410(2)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102.410(5)</w:t>
      </w:r>
      <w:r>
        <w:rPr>
          <w:rFonts w:ascii="Times New Roman" w:hAnsi="Times New Roman"/>
          <w:b w:val="false"/>
          <w:i w:val="false"/>
          <w:color w:val="000000"/>
          <w:sz w:val="24"/>
        </w:rPr>
        <w:t> </w:t>
      </w:r>
      <w:r>
        <w:rPr>
          <w:rFonts w:ascii="Times New Roman" w:hAnsi="Times New Roman"/>
          <w:b w:val="false"/>
          <w:i/>
          <w:color w:val="000000"/>
          <w:sz w:val="24"/>
        </w:rPr>
        <w:t xml:space="preserve">Exemption. </w:t>
      </w:r>
      <w:r>
        <w:rPr>
          <w:rFonts w:ascii="Times New Roman" w:hAnsi="Times New Roman"/>
          <w:b w:val="false"/>
          <w:i w:val="false"/>
          <w:color w:val="000000"/>
          <w:sz w:val="24"/>
        </w:rPr>
        <w:t>The requirement for financial assurance shall not apply to waste tire stockpiling or processing sites operated by a city or county or operated in conjunction with a permitted sanitary landfill.</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102.410(6)</w:t>
      </w:r>
      <w:r>
        <w:rPr>
          <w:rFonts w:ascii="Times New Roman" w:hAnsi="Times New Roman"/>
          <w:b w:val="false"/>
          <w:i w:val="false"/>
          <w:color w:val="000000"/>
          <w:sz w:val="24"/>
        </w:rPr>
        <w:t> </w:t>
      </w:r>
      <w:r>
        <w:rPr>
          <w:rFonts w:ascii="Times New Roman" w:hAnsi="Times New Roman"/>
          <w:b w:val="false"/>
          <w:i/>
          <w:color w:val="000000"/>
          <w:sz w:val="24"/>
        </w:rPr>
        <w:t xml:space="preserve">Benefit of creditors; final judgment. </w:t>
      </w:r>
      <w:r>
        <w:rPr>
          <w:rFonts w:ascii="Times New Roman" w:hAnsi="Times New Roman"/>
          <w:b w:val="false"/>
          <w:i w:val="false"/>
          <w:color w:val="000000"/>
          <w:sz w:val="24"/>
        </w:rPr>
        <w:t>The financial assurance instrument shall not be assigned for the benefit of creditors with the exception of the state and shall not be used to pay any final judgment against a permit holder arising out of the ownership or operation of the site.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102.410(7)</w:t>
      </w:r>
      <w:r>
        <w:rPr>
          <w:rFonts w:ascii="Times New Roman" w:hAnsi="Times New Roman"/>
          <w:b w:val="false"/>
          <w:i w:val="false"/>
          <w:color w:val="000000"/>
          <w:sz w:val="24"/>
        </w:rPr>
        <w:t> </w:t>
      </w:r>
      <w:r>
        <w:rPr>
          <w:rFonts w:ascii="Times New Roman" w:hAnsi="Times New Roman"/>
          <w:b w:val="false"/>
          <w:i/>
          <w:color w:val="000000"/>
          <w:sz w:val="24"/>
        </w:rPr>
        <w:t xml:space="preserve">Failure to undertake closure activities. </w:t>
      </w:r>
      <w:r>
        <w:rPr>
          <w:rFonts w:ascii="Times New Roman" w:hAnsi="Times New Roman"/>
          <w:b w:val="false"/>
          <w:i w:val="false"/>
          <w:color w:val="000000"/>
          <w:sz w:val="24"/>
        </w:rPr>
        <w:t>The department shall have full rights of access to all funds existing in a permitted facility’s financial assurance instrument(s), at the sole discretion of the department, if the permit holder fails to undertake closure activities after being directed to do so by a final agency action of the department. These funds shall be used only for the purposes of funding closure activities at the site.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102.410(8)</w:t>
      </w:r>
      <w:r>
        <w:rPr>
          <w:rFonts w:ascii="Times New Roman" w:hAnsi="Times New Roman"/>
          <w:b w:val="false"/>
          <w:i w:val="false"/>
          <w:color w:val="000000"/>
          <w:sz w:val="24"/>
        </w:rPr>
        <w:t> </w:t>
      </w:r>
      <w:r>
        <w:rPr>
          <w:rFonts w:ascii="Times New Roman" w:hAnsi="Times New Roman"/>
          <w:b w:val="false"/>
          <w:i/>
          <w:color w:val="000000"/>
          <w:sz w:val="24"/>
        </w:rPr>
        <w:t xml:space="preserve">Financial assurance cancellation and permit suspension.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 financial assurance instrument may be terminated by the owner or operator only if the owner or operator substitutes alternative financial assurance prior to cancellation or if the owner or operator is no longer required to demonstrate financial responsibility in accordance with this rule.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 financial assurance instrument shall be continuous in nature until canceled by the financial assurance provider, or until the department gives written notification to the owner or operator and the financial assurance provider, that the covered site has demonstrated compliance with the applicable closure requirements. The financial assurance provider shall give at least 90 days’ notice in writing to the owner or operator and to the department in the event of any intent to cancel a financial assurance instrument, as evidenced by the return receipts.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Within 30 days of receipt of a written notice of cancellation of a financial assurance instrument, the owner or operator must provide the department with proof of alternative financial assurance or notice from the issuing institution of withdrawal of the cancellation. If a means of continued financial assurance is not provided within the 30-day time frame, the department shall suspend the permit.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The owner or operator shall perform proper closure within 30 days of the permit suspension, termination, revocation, or expiration. For the purpose of this subrule, proper closure means removal of all waste tires and related products from the site or facility through acceptable disposal or processing options.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If the owner or operator does not properly close the site within the 30-day period allowed, this shall constitute a failure to perform and the department shall file a claim with the financial assurance instrument provider to collect the amount of funds necessary to properly close the site prior to the expiration of the 90-day notice period.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Any financial assurance instrument provided to the department must remain in continuous effect until the department gives written notification to the owner, operator, and financial assurance provider that the covered site has been properly closed. An owner or operator who elects to terminate a permitted activity, whose renewal application has been denied, or whose permit has been suspended or revoked for cause must submit within 30 days of the termination of the permit a schedule for completing proper closure of the terminated activity. Closure completion cannot exceed 180 days from the date of termination of the permit.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The department may request payment from any financial assurance provider for the purpose of completing proper site closure when the owner or operator declares an economic inability to comply with this rule either by sending written notification to the department or through an action such as but not limited to filing for bankruptcy.</w:t>
      </w:r>
    </w:p>
    <w:p>
      <w:pPr>
        <w:spacing w:before="0" w:after="0" w:line="480"/>
        <w:ind w:left="120"/>
        <w:jc w:val="both"/>
      </w:pPr>
      <w:r>
        <w:rPr>
          <w:rFonts w:ascii="Times New Roman" w:hAnsi="Times New Roman"/>
          <w:b/>
          <w:i w:val="false"/>
          <w:color w:val="000000"/>
          <w:sz w:val="24"/>
        </w:rPr>
        <w:t>567—102.411</w:t>
      </w:r>
      <w:r>
        <w:rPr>
          <w:rFonts w:ascii="Times New Roman" w:hAnsi="Times New Roman"/>
          <w:b/>
          <w:i w:val="false"/>
          <w:color w:val="000000"/>
          <w:sz w:val="24"/>
        </w:rPr>
        <w:t xml:space="preserve">(455D) </w:t>
      </w:r>
      <w:r>
        <w:rPr>
          <w:rFonts w:ascii="Times New Roman" w:hAnsi="Times New Roman"/>
          <w:b/>
          <w:i w:val="false"/>
          <w:color w:val="000000"/>
          <w:sz w:val="24"/>
        </w:rPr>
        <w:t xml:space="preserve">Beneficial use of waste tires.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102.411(1)</w:t>
      </w:r>
      <w:r>
        <w:rPr>
          <w:rFonts w:ascii="Times New Roman" w:hAnsi="Times New Roman"/>
          <w:b w:val="false"/>
          <w:i w:val="false"/>
          <w:color w:val="000000"/>
          <w:sz w:val="24"/>
        </w:rPr>
        <w:t> </w:t>
      </w:r>
      <w:r>
        <w:rPr>
          <w:rFonts w:ascii="Times New Roman" w:hAnsi="Times New Roman"/>
          <w:b w:val="false"/>
          <w:i/>
          <w:color w:val="000000"/>
          <w:sz w:val="24"/>
        </w:rPr>
        <w:t xml:space="preserve">Role of the department. </w:t>
      </w:r>
      <w:r>
        <w:rPr>
          <w:rFonts w:ascii="Times New Roman" w:hAnsi="Times New Roman"/>
          <w:b w:val="false"/>
          <w:i w:val="false"/>
          <w:color w:val="000000"/>
          <w:sz w:val="24"/>
        </w:rPr>
        <w:t>In order to ensure that proposed uses of whole or processed waste tires do not pose a threat to the environment or to the public health, welfare, and safety, the department shall have the authority to determine if a proposed use is beneficial and shall have the authority to approve or deny applications if such a benefit is not evident. Proposed beneficial uses in which the primary purpose of the project is as a land disposal mechanism shall not be approved.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102.411(2)</w:t>
      </w:r>
      <w:r>
        <w:rPr>
          <w:rFonts w:ascii="Times New Roman" w:hAnsi="Times New Roman"/>
          <w:b w:val="false"/>
          <w:i w:val="false"/>
          <w:color w:val="000000"/>
          <w:sz w:val="24"/>
        </w:rPr>
        <w:t> </w:t>
      </w:r>
      <w:r>
        <w:rPr>
          <w:rFonts w:ascii="Times New Roman" w:hAnsi="Times New Roman"/>
          <w:b w:val="false"/>
          <w:i/>
          <w:color w:val="000000"/>
          <w:sz w:val="24"/>
        </w:rPr>
        <w:t xml:space="preserve">Beneficial uses for whole waste tires. </w:t>
      </w:r>
      <w:r>
        <w:rPr>
          <w:rFonts w:ascii="Times New Roman" w:hAnsi="Times New Roman"/>
          <w:b w:val="false"/>
          <w:i w:val="false"/>
          <w:color w:val="000000"/>
          <w:sz w:val="24"/>
        </w:rPr>
        <w:t>The following applications shall be considered acceptable beneficial uses for whole waste tires: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Tire swings, sandboxes, or other equipment for child play areas on residential lots or at schools, care centers, and recreational areas;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Dock bumpers at vehicle loading/unloading docks or marine docks;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Crash barriers at racetracks;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Agricultural uses to hold down covers over hay, silage, and other agricultural commodities. When not in use, the tires should be neatly stacked.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102.411(3)</w:t>
      </w:r>
      <w:r>
        <w:rPr>
          <w:rFonts w:ascii="Times New Roman" w:hAnsi="Times New Roman"/>
          <w:b w:val="false"/>
          <w:i w:val="false"/>
          <w:color w:val="000000"/>
          <w:sz w:val="24"/>
        </w:rPr>
        <w:t> </w:t>
      </w:r>
      <w:r>
        <w:rPr>
          <w:rFonts w:ascii="Times New Roman" w:hAnsi="Times New Roman"/>
          <w:b w:val="false"/>
          <w:i/>
          <w:color w:val="000000"/>
          <w:sz w:val="24"/>
        </w:rPr>
        <w:t xml:space="preserve">Required notifications and approval for whole waste tire uses. </w:t>
      </w:r>
      <w:r>
        <w:rPr>
          <w:rFonts w:ascii="Times New Roman" w:hAnsi="Times New Roman"/>
          <w:b w:val="false"/>
          <w:i w:val="false"/>
          <w:color w:val="000000"/>
          <w:sz w:val="24"/>
        </w:rPr>
        <w:t xml:space="preserve">Prior to the installation or placement of waste tires for a beneficial use as allowed in </w:t>
      </w:r>
      <w:hyperlink r:id="rId220">
        <w:r>
          <w:rPr>
            <w:rStyle w:val="Hyperlink"/>
            <w:rFonts w:ascii="Times New Roman" w:hAnsi="Times New Roman"/>
            <w:b w:val="false"/>
            <w:i w:val="false"/>
            <w:color w:val="000000"/>
            <w:sz w:val="24"/>
          </w:rPr>
          <w:t>102.411(2)</w:t>
        </w:r>
      </w:hyperlink>
      <w:r>
        <w:rPr>
          <w:rFonts w:ascii="Times New Roman" w:hAnsi="Times New Roman"/>
          <w:b w:val="false"/>
          <w:i w:val="false"/>
          <w:color w:val="000000"/>
          <w:sz w:val="24"/>
        </w:rPr>
        <w:t>, the owner or operator of the site of end use shall properly notify or seek approval from the department for the proposed beneficial use under the following circumstances. These circumstances apply to the total combined amount of waste tire material that already is, or is intended to be, used at the site: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For applications of less than 250 whole waste tires, notification to the department is not required.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For applications of 250 to 500 whole waste tires, the department shall be notified in writing no less than 30 days prior to the construction or placement of waste tires for a proposed beneficial use, with the following information provided: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name, address, and telephone number of the owner, operator, or individual responsible for the beneficial use application at the site of end use;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address of the site of beneficial end use;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estimated total number of waste tires to be used;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A description of the beneficial use application;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A project timeline, including proposed project start and end dates;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A statement that explains how the site owner shall properly dispose of such waste tires in the event that the beneficial use is discontinued or dismantled.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For applications of more than 500 waste tires, approval by the department shall be obtained prior to any such applications. Approval requests shall be made to the department in writing and shall contain all information as requested in </w:t>
      </w:r>
      <w:hyperlink r:id="rId221">
        <w:r>
          <w:rPr>
            <w:rStyle w:val="Hyperlink"/>
            <w:rFonts w:ascii="Times New Roman" w:hAnsi="Times New Roman"/>
            <w:b w:val="false"/>
            <w:i w:val="false"/>
            <w:color w:val="000000"/>
            <w:sz w:val="24"/>
          </w:rPr>
          <w:t>102.411(3)</w:t>
        </w:r>
      </w:hyperlink>
      <w:r>
        <w:rPr>
          <w:rFonts w:ascii="Times New Roman" w:hAnsi="Times New Roman"/>
          <w:b w:val="false"/>
          <w:i/>
          <w:color w:val="000000"/>
          <w:sz w:val="24"/>
        </w:rPr>
        <w:t>“b,”</w:t>
      </w:r>
      <w:r>
        <w:rPr>
          <w:rFonts w:ascii="Times New Roman" w:hAnsi="Times New Roman"/>
          <w:b w:val="false"/>
          <w:i w:val="false"/>
          <w:color w:val="000000"/>
          <w:sz w:val="24"/>
        </w:rPr>
        <w:t xml:space="preserve"> as well as a scaled plan of the site of end use with areas noted where whole waste tires are to be placed, including locations of the site of end use property lines and the location of any structures within 300 feet of the site of end use.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102.411(4)</w:t>
      </w:r>
      <w:r>
        <w:rPr>
          <w:rFonts w:ascii="Times New Roman" w:hAnsi="Times New Roman"/>
          <w:b w:val="false"/>
          <w:i w:val="false"/>
          <w:color w:val="000000"/>
          <w:sz w:val="24"/>
        </w:rPr>
        <w:t> </w:t>
      </w:r>
      <w:r>
        <w:rPr>
          <w:rFonts w:ascii="Times New Roman" w:hAnsi="Times New Roman"/>
          <w:b w:val="false"/>
          <w:i/>
          <w:color w:val="000000"/>
          <w:sz w:val="24"/>
        </w:rPr>
        <w:t xml:space="preserve">Prevention of public health risks for whole waste tire uses. </w:t>
      </w:r>
      <w:r>
        <w:rPr>
          <w:rFonts w:ascii="Times New Roman" w:hAnsi="Times New Roman"/>
          <w:b w:val="false"/>
          <w:i w:val="false"/>
          <w:color w:val="000000"/>
          <w:sz w:val="24"/>
        </w:rPr>
        <w:t>All beneficial uses of whole waste tires as approved in this rule shall have incorporated into their design and construction measures to prevent the retention and stagnation of water in the event that such conditions are likely to exist. These measures shall include, at a minimum, the piercing or drilling of holes in whole waste tires to allow for water drainage. Such measures shall be designed to minimize risks to public health and safety caused by the breeding of disease-carrying insects and rodents.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102.411(5)</w:t>
      </w:r>
      <w:r>
        <w:rPr>
          <w:rFonts w:ascii="Times New Roman" w:hAnsi="Times New Roman"/>
          <w:b w:val="false"/>
          <w:i w:val="false"/>
          <w:color w:val="000000"/>
          <w:sz w:val="24"/>
        </w:rPr>
        <w:t> </w:t>
      </w:r>
      <w:r>
        <w:rPr>
          <w:rFonts w:ascii="Times New Roman" w:hAnsi="Times New Roman"/>
          <w:b w:val="false"/>
          <w:i/>
          <w:color w:val="000000"/>
          <w:sz w:val="24"/>
        </w:rPr>
        <w:t xml:space="preserve">Beneficial uses for processed waste tires. </w:t>
      </w:r>
      <w:r>
        <w:rPr>
          <w:rFonts w:ascii="Times New Roman" w:hAnsi="Times New Roman"/>
          <w:b w:val="false"/>
          <w:i w:val="false"/>
          <w:color w:val="000000"/>
          <w:sz w:val="24"/>
        </w:rPr>
        <w:t>This subrule establishes acceptable beneficial uses for waste tires that have been processed and required design criteria that shall be observed in the placement of processed waste tires at the site of end use. The following applications shall be considered acceptable beneficial uses for processed waste tires: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On-site wastewater treatment and disposal system construction, to include use of processed waste tires in lateral trenches and as fill to cover distribution pipes under the following conditions: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The on-site wastewater treatment and disposal system is constructed and permitted according to the requirements of </w:t>
      </w:r>
      <w:hyperlink r:id="rId222">
        <w:r>
          <w:rPr>
            <w:rStyle w:val="Hyperlink"/>
            <w:rFonts w:ascii="Times New Roman" w:hAnsi="Times New Roman"/>
            <w:b w:val="false"/>
            <w:i w:val="false"/>
            <w:color w:val="000000"/>
            <w:sz w:val="24"/>
          </w:rPr>
          <w:t>567—Chapter 69</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Processed waste tires used in the system have a minimum dimension of one inch on any one side and a maximum dimension of three inches on any one side;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administrative authority responsible for issuance of the permit approves the beneficial use. The authority shall have the sole discretion to deny use of processed waste tires in system construction based on any engineering or design principle concerns.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Lightweight fill in public roads, public road embankment construction, and other public civil engineering applications if all of the following conditions are met: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waste tire pieces are of uniform composition and sizing;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waste tire pieces are not mixed with other solid wastes, vegetation, composted materials, or other processed waste tire products, including separated tire bead wire, steel cording, or nylon fibers;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 xml:space="preserve"> The waste tires are not placed in direct contact with surface water or groundwater;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The processed waste tires are isolated from overburden materials by a protective membrane or liner to prevent intrusion and settling of overburden;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An Iowa-licensed professional engineer designs and supervises the incorporation of processed waste tires.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Structural foundation drainage material used in a project as approved through a local building permit.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A bulking agent for composting operations at permitted composting facilities, with processed waste tire pieces no larger than three inches on any one side.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 xml:space="preserve">Leachate drainage medium at a permitted sanitary landfill, provided that the medium meets engineering and design requirements for the landfill’s operating permit pursuant to </w:t>
      </w:r>
      <w:hyperlink r:id="rId223">
        <w:r>
          <w:rPr>
            <w:rStyle w:val="Hyperlink"/>
            <w:rFonts w:ascii="Times New Roman" w:hAnsi="Times New Roman"/>
            <w:b w:val="false"/>
            <w:i w:val="false"/>
            <w:color w:val="000000"/>
            <w:sz w:val="24"/>
          </w:rPr>
          <w:t>567—Chapter 101</w:t>
        </w:r>
      </w:hyperlink>
      <w:r>
        <w:rPr>
          <w:rFonts w:ascii="Times New Roman" w:hAnsi="Times New Roman"/>
          <w:b w:val="false"/>
          <w:i w:val="false"/>
          <w:color w:val="000000"/>
          <w:sz w:val="24"/>
        </w:rPr>
        <w:t>, Divisions I through IV.</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Agricultural uses to hold down covers over hay, silage, and other agricultural commodities.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Traffic control devices for use in public roadway construction projects.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Portable surfaces manufactured from tire sidewalls or tread.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w:t>
      </w:r>
      <w:r>
        <w:rPr>
          <w:rFonts w:ascii="Times New Roman" w:hAnsi="Times New Roman"/>
          <w:b w:val="false"/>
          <w:i w:val="false"/>
          <w:color w:val="000000"/>
          <w:sz w:val="24"/>
        </w:rPr>
        <w:t>  </w:t>
      </w:r>
      <w:r>
        <w:rPr>
          <w:rFonts w:ascii="Times New Roman" w:hAnsi="Times New Roman"/>
          <w:b w:val="false"/>
          <w:i w:val="false"/>
          <w:color w:val="000000"/>
          <w:sz w:val="24"/>
        </w:rPr>
        <w:t>Tire sidewalls used for underturf water conservation and turf growth enhancement systems at golf courses.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102.411(6)</w:t>
      </w:r>
      <w:r>
        <w:rPr>
          <w:rFonts w:ascii="Times New Roman" w:hAnsi="Times New Roman"/>
          <w:b w:val="false"/>
          <w:i w:val="false"/>
          <w:color w:val="000000"/>
          <w:sz w:val="24"/>
        </w:rPr>
        <w:t> </w:t>
      </w:r>
      <w:r>
        <w:rPr>
          <w:rFonts w:ascii="Times New Roman" w:hAnsi="Times New Roman"/>
          <w:b w:val="false"/>
          <w:i/>
          <w:color w:val="000000"/>
          <w:sz w:val="24"/>
        </w:rPr>
        <w:t xml:space="preserve">Requests for approval of other beneficial use applications. </w:t>
      </w:r>
      <w:r>
        <w:rPr>
          <w:rFonts w:ascii="Times New Roman" w:hAnsi="Times New Roman"/>
          <w:b w:val="false"/>
          <w:i w:val="false"/>
          <w:color w:val="000000"/>
          <w:sz w:val="24"/>
        </w:rPr>
        <w:t>The department shall have the authority to approve or deny requests for beneficial use applications for waste tires and waste tire material not specifically addressed within this rule. Requests for such use determinations shall be made to the department on a form prescribed by the department. The department may request project descriptions and supporting scientific and engineering data to determine if a request for a beneficial use determination is warranted. The department shall have the sole authority to deny a beneficial use request if the department determines that any one of the following conditions exists: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requested beneficial use application poses a risk to the environment or to the public health, welfare, and safety;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requested beneficial use application is determined to have the primary purpose as a land disposal mechanism, and any beneficial use would be incidental in nature;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requested beneficial use application would not be in accordance with other applicable federal, state, or local laws, regulations, and ordinances.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102.411(7)</w:t>
      </w:r>
      <w:r>
        <w:rPr>
          <w:rFonts w:ascii="Times New Roman" w:hAnsi="Times New Roman"/>
          <w:b w:val="false"/>
          <w:i w:val="false"/>
          <w:color w:val="000000"/>
          <w:sz w:val="24"/>
        </w:rPr>
        <w:t> </w:t>
      </w:r>
      <w:r>
        <w:rPr>
          <w:rFonts w:ascii="Times New Roman" w:hAnsi="Times New Roman"/>
          <w:b w:val="false"/>
          <w:i/>
          <w:color w:val="000000"/>
          <w:sz w:val="24"/>
        </w:rPr>
        <w:t xml:space="preserve">Storage of waste tires prior to beneficial use. </w:t>
      </w:r>
      <w:r>
        <w:rPr>
          <w:rFonts w:ascii="Times New Roman" w:hAnsi="Times New Roman"/>
          <w:b w:val="false"/>
          <w:i w:val="false"/>
          <w:color w:val="000000"/>
          <w:sz w:val="24"/>
        </w:rPr>
        <w:t>Waste tires to be used for a beneficial use may be stored at the site of end use, subject to the following requirements: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Such waste tire materials shall be stored for no longer than 60 days prior to the date of application, except for whole waste tires for agricultural uses as specified in </w:t>
      </w:r>
      <w:hyperlink r:id="rId224">
        <w:r>
          <w:rPr>
            <w:rStyle w:val="Hyperlink"/>
            <w:rFonts w:ascii="Times New Roman" w:hAnsi="Times New Roman"/>
            <w:b w:val="false"/>
            <w:i w:val="false"/>
            <w:color w:val="000000"/>
            <w:sz w:val="24"/>
          </w:rPr>
          <w:t>102.411(2)</w:t>
        </w:r>
      </w:hyperlink>
      <w:r>
        <w:rPr>
          <w:rFonts w:ascii="Times New Roman" w:hAnsi="Times New Roman"/>
          <w:b w:val="false"/>
          <w:i/>
          <w:color w:val="000000"/>
          <w:sz w:val="24"/>
        </w:rPr>
        <w:t>“d.”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All storage of such waste tire materials shall be conducted in accordance with the uniform fire code and the requirements of </w:t>
      </w:r>
      <w:hyperlink r:id="rId225">
        <w:r>
          <w:rPr>
            <w:rStyle w:val="Hyperlink"/>
            <w:rFonts w:ascii="Times New Roman" w:hAnsi="Times New Roman"/>
            <w:b w:val="false"/>
            <w:i w:val="false"/>
            <w:color w:val="000000"/>
            <w:sz w:val="24"/>
          </w:rPr>
          <w:t>102.409(3)</w:t>
        </w:r>
      </w:hyperlink>
      <w:r>
        <w:rPr>
          <w:rFonts w:ascii="Times New Roman" w:hAnsi="Times New Roman"/>
          <w:b w:val="false"/>
          <w:i w:val="false"/>
          <w:color w:val="000000"/>
          <w:sz w:val="24"/>
        </w:rPr>
        <w:t xml:space="preserve"> and </w:t>
      </w:r>
      <w:hyperlink r:id="rId226">
        <w:r>
          <w:rPr>
            <w:rStyle w:val="Hyperlink"/>
            <w:rFonts w:ascii="Times New Roman" w:hAnsi="Times New Roman"/>
            <w:b w:val="false"/>
            <w:i w:val="false"/>
            <w:color w:val="000000"/>
            <w:sz w:val="24"/>
          </w:rPr>
          <w:t>102.409(4)</w:t>
        </w:r>
      </w:hyperlink>
      <w:r>
        <w:rPr>
          <w:rFonts w:ascii="Times New Roman" w:hAnsi="Times New Roman"/>
          <w:b w:val="false"/>
          <w:i/>
          <w:color w:val="000000"/>
          <w:sz w:val="24"/>
        </w:rPr>
        <w:t>“c”</w:t>
      </w:r>
      <w:r>
        <w:rPr>
          <w:rFonts w:ascii="Times New Roman" w:hAnsi="Times New Roman"/>
          <w:b w:val="false"/>
          <w:i w:val="false"/>
          <w:color w:val="000000"/>
          <w:sz w:val="24"/>
        </w:rPr>
        <w:t xml:space="preserve"> as applicable.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Any storage of waste tires associated with a proposed beneficial reuse project at a site of end use for longer than 60 days without implementation of completion of a beneficial reuse project shall be subject to the waste tire storage permitting requirements as contained in </w:t>
      </w:r>
      <w:hyperlink r:id="rId227">
        <w:r>
          <w:rPr>
            <w:rStyle w:val="Hyperlink"/>
            <w:rFonts w:ascii="Times New Roman" w:hAnsi="Times New Roman"/>
            <w:b w:val="false"/>
            <w:i w:val="false"/>
            <w:color w:val="000000"/>
            <w:sz w:val="24"/>
          </w:rPr>
          <w:t>567—102.407</w:t>
        </w:r>
      </w:hyperlink>
      <w:r>
        <w:rPr>
          <w:rFonts w:ascii="Times New Roman" w:hAnsi="Times New Roman"/>
          <w:b w:val="false"/>
          <w:i w:val="false"/>
          <w:color w:val="000000"/>
          <w:sz w:val="24"/>
        </w:rPr>
        <w:t>(455D).</w:t>
      </w:r>
    </w:p>
    <w:p>
      <w:pPr>
        <w:spacing w:before="210" w:after="0" w:line="480"/>
        <w:ind w:left="120"/>
        <w:jc w:val="both"/>
      </w:pPr>
      <w:r>
        <w:rPr>
          <w:rFonts w:ascii="Times New Roman" w:hAnsi="Times New Roman"/>
          <w:b/>
          <w:i w:val="false"/>
          <w:color w:val="000000"/>
          <w:sz w:val="24"/>
        </w:rPr>
        <w:t>567—102.412</w:t>
      </w:r>
      <w:r>
        <w:rPr>
          <w:rFonts w:ascii="Times New Roman" w:hAnsi="Times New Roman"/>
          <w:b w:val="false"/>
          <w:i w:val="false"/>
          <w:color w:val="000000"/>
          <w:sz w:val="24"/>
        </w:rPr>
        <w:t xml:space="preserve"> to </w:t>
      </w:r>
      <w:r>
        <w:rPr>
          <w:rFonts w:ascii="Times New Roman" w:hAnsi="Times New Roman"/>
          <w:b/>
          <w:i w:val="false"/>
          <w:color w:val="000000"/>
          <w:sz w:val="24"/>
        </w:rPr>
        <w:t>102.499</w:t>
      </w:r>
      <w:r>
        <w:rPr>
          <w:rFonts w:ascii="Times New Roman" w:hAnsi="Times New Roman"/>
          <w:b w:val="false"/>
          <w:i w:val="false"/>
          <w:color w:val="000000"/>
          <w:sz w:val="24"/>
        </w:rPr>
        <w:t>Reserved.</w:t>
      </w:r>
    </w:p>
    <w:p>
      <w:pPr>
        <w:spacing w:before="0" w:after="0" w:line="480"/>
        <w:ind w:left="120"/>
        <w:jc w:val="both"/>
      </w:pPr>
      <w:r>
        <w:rPr>
          <w:rFonts w:ascii="Times New Roman" w:hAnsi="Times New Roman"/>
          <w:b w:val="false"/>
          <w:i w:val="false"/>
          <w:color w:val="000000"/>
          <w:sz w:val="24"/>
        </w:rPr>
        <w:t xml:space="preserve">These rules are intended to implement Iowa Code sections </w:t>
      </w:r>
      <w:hyperlink r:id="rId228">
        <w:r>
          <w:rPr>
            <w:rStyle w:val="Hyperlink"/>
            <w:rFonts w:ascii="Times New Roman" w:hAnsi="Times New Roman"/>
            <w:b w:val="false"/>
            <w:i w:val="false"/>
            <w:color w:val="000000"/>
            <w:sz w:val="24"/>
          </w:rPr>
          <w:t>455D.11</w:t>
        </w:r>
      </w:hyperlink>
      <w:r>
        <w:rPr>
          <w:rFonts w:ascii="Times New Roman" w:hAnsi="Times New Roman"/>
          <w:b w:val="false"/>
          <w:i w:val="false"/>
          <w:color w:val="000000"/>
          <w:sz w:val="24"/>
        </w:rPr>
        <w:t xml:space="preserve">, </w:t>
      </w:r>
      <w:hyperlink r:id="rId229">
        <w:r>
          <w:rPr>
            <w:rStyle w:val="Hyperlink"/>
            <w:rFonts w:ascii="Times New Roman" w:hAnsi="Times New Roman"/>
            <w:b w:val="false"/>
            <w:i w:val="false"/>
            <w:color w:val="000000"/>
            <w:sz w:val="24"/>
          </w:rPr>
          <w:t>455D.11A</w:t>
        </w:r>
      </w:hyperlink>
      <w:r>
        <w:rPr>
          <w:rFonts w:ascii="Times New Roman" w:hAnsi="Times New Roman"/>
          <w:b w:val="false"/>
          <w:i w:val="false"/>
          <w:color w:val="000000"/>
          <w:sz w:val="24"/>
        </w:rPr>
        <w:t xml:space="preserve">, </w:t>
      </w:r>
      <w:hyperlink r:id="rId230">
        <w:r>
          <w:rPr>
            <w:rStyle w:val="Hyperlink"/>
            <w:rFonts w:ascii="Times New Roman" w:hAnsi="Times New Roman"/>
            <w:b w:val="false"/>
            <w:i w:val="false"/>
            <w:color w:val="000000"/>
            <w:sz w:val="24"/>
          </w:rPr>
          <w:t>455D.11B</w:t>
        </w:r>
      </w:hyperlink>
      <w:r>
        <w:rPr>
          <w:rFonts w:ascii="Times New Roman" w:hAnsi="Times New Roman"/>
          <w:b w:val="false"/>
          <w:i w:val="false"/>
          <w:color w:val="000000"/>
          <w:sz w:val="24"/>
        </w:rPr>
        <w:t xml:space="preserve">, and </w:t>
      </w:r>
      <w:hyperlink r:id="rId231">
        <w:r>
          <w:rPr>
            <w:rStyle w:val="Hyperlink"/>
            <w:rFonts w:ascii="Times New Roman" w:hAnsi="Times New Roman"/>
            <w:b w:val="false"/>
            <w:i w:val="false"/>
            <w:color w:val="000000"/>
            <w:sz w:val="24"/>
          </w:rPr>
          <w:t>455D.11I</w:t>
        </w:r>
      </w:hyperlink>
      <w:r>
        <w:rPr>
          <w:rFonts w:ascii="Times New Roman" w:hAnsi="Times New Roman"/>
          <w:b w:val="false"/>
          <w:i w:val="false"/>
          <w:color w:val="000000"/>
          <w:sz w:val="24"/>
        </w:rPr>
        <w:t>.</w:t>
      </w:r>
    </w:p>
    <w:p>
      <w:pPr>
        <w:pBdr>
          <w:top w:space="10"/>
        </w:pBdr>
        <w:spacing w:before="0" w:after="0" w:line="480"/>
        <w:ind w:left="120"/>
        <w:jc w:val="center"/>
      </w:pPr>
      <w:r>
        <w:rPr>
          <w:rFonts w:ascii="Times New Roman" w:hAnsi="Times New Roman"/>
          <w:b w:val="false"/>
          <w:i w:val="false"/>
          <w:color w:val="000000"/>
          <w:sz w:val="16"/>
        </w:rPr>
        <w:t>DIVISION VI</w:t>
      </w:r>
    </w:p>
    <w:p>
      <w:pPr>
        <w:pBdr>
          <w:bottom w:space="10"/>
        </w:pBdr>
        <w:spacing w:before="0" w:after="0" w:line="480"/>
        <w:ind w:left="120"/>
        <w:jc w:val="center"/>
      </w:pPr>
      <w:r>
        <w:rPr>
          <w:rFonts w:ascii="Times New Roman" w:hAnsi="Times New Roman"/>
          <w:b w:val="false"/>
          <w:i w:val="false"/>
          <w:color w:val="000000"/>
          <w:sz w:val="16"/>
        </w:rPr>
        <w:t>SPECIAL WASTE AUTHORIZATIONS</w:t>
      </w:r>
    </w:p>
    <w:p>
      <w:pPr>
        <w:spacing w:before="210" w:after="0" w:line="480"/>
        <w:ind w:left="120"/>
        <w:jc w:val="both"/>
      </w:pPr>
      <w:r>
        <w:rPr>
          <w:rFonts w:ascii="Times New Roman" w:hAnsi="Times New Roman"/>
          <w:b/>
          <w:i w:val="false"/>
          <w:color w:val="000000"/>
          <w:sz w:val="24"/>
        </w:rPr>
        <w:t>567—102.500</w:t>
      </w:r>
      <w:r>
        <w:rPr>
          <w:rFonts w:ascii="Times New Roman" w:hAnsi="Times New Roman"/>
          <w:b/>
          <w:i w:val="false"/>
          <w:color w:val="000000"/>
          <w:sz w:val="24"/>
        </w:rPr>
        <w:t xml:space="preserve">(455B,455D) </w:t>
      </w:r>
      <w:r>
        <w:rPr>
          <w:rFonts w:ascii="Times New Roman" w:hAnsi="Times New Roman"/>
          <w:b/>
          <w:i w:val="false"/>
          <w:color w:val="000000"/>
          <w:sz w:val="24"/>
        </w:rPr>
        <w:t xml:space="preserve">Purpose. </w:t>
      </w:r>
      <w:r>
        <w:rPr>
          <w:rFonts w:ascii="Times New Roman" w:hAnsi="Times New Roman"/>
          <w:b w:val="false"/>
          <w:i w:val="false"/>
          <w:color w:val="000000"/>
          <w:sz w:val="24"/>
        </w:rPr>
        <w:t xml:space="preserve">The purpose of this division is to implement Iowa Code section </w:t>
      </w:r>
      <w:hyperlink r:id="rId232">
        <w:r>
          <w:rPr>
            <w:rStyle w:val="Hyperlink"/>
            <w:rFonts w:ascii="Times New Roman" w:hAnsi="Times New Roman"/>
            <w:b w:val="false"/>
            <w:i w:val="false"/>
            <w:color w:val="000000"/>
            <w:sz w:val="24"/>
          </w:rPr>
          <w:t>455B.304</w:t>
        </w:r>
      </w:hyperlink>
      <w:r>
        <w:rPr>
          <w:rFonts w:ascii="Times New Roman" w:hAnsi="Times New Roman"/>
          <w:b w:val="false"/>
          <w:i w:val="false"/>
          <w:color w:val="000000"/>
          <w:sz w:val="24"/>
        </w:rPr>
        <w:t xml:space="preserve"> by providing rules for the disposal of special waste.</w:t>
      </w:r>
    </w:p>
    <w:p>
      <w:pPr>
        <w:spacing w:before="0" w:after="0" w:line="480"/>
        <w:ind w:left="120"/>
        <w:jc w:val="both"/>
      </w:pPr>
      <w:r>
        <w:rPr>
          <w:rFonts w:ascii="Times New Roman" w:hAnsi="Times New Roman"/>
          <w:b/>
          <w:i w:val="false"/>
          <w:color w:val="000000"/>
          <w:sz w:val="24"/>
        </w:rPr>
        <w:t>567—102.501</w:t>
      </w:r>
      <w:r>
        <w:rPr>
          <w:rFonts w:ascii="Times New Roman" w:hAnsi="Times New Roman"/>
          <w:b/>
          <w:i w:val="false"/>
          <w:color w:val="000000"/>
          <w:sz w:val="24"/>
        </w:rPr>
        <w:t xml:space="preserve">(455B,455D) </w:t>
      </w:r>
      <w:r>
        <w:rPr>
          <w:rFonts w:ascii="Times New Roman" w:hAnsi="Times New Roman"/>
          <w:b/>
          <w:i w:val="false"/>
          <w:color w:val="000000"/>
          <w:sz w:val="24"/>
        </w:rPr>
        <w:t xml:space="preserve">Applicability.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102.501(1)</w:t>
      </w:r>
      <w:r>
        <w:rPr>
          <w:rFonts w:ascii="Times New Roman" w:hAnsi="Times New Roman"/>
          <w:b w:val="false"/>
          <w:i w:val="false"/>
          <w:color w:val="000000"/>
          <w:sz w:val="24"/>
        </w:rPr>
        <w:t> </w:t>
      </w:r>
      <w:r>
        <w:rPr>
          <w:rFonts w:ascii="Times New Roman" w:hAnsi="Times New Roman"/>
          <w:b w:val="false"/>
          <w:i w:val="false"/>
          <w:color w:val="000000"/>
          <w:sz w:val="24"/>
        </w:rPr>
        <w:t xml:space="preserve">This division shall apply to generators of special waste and municipal solid waste landfills that accept special waste. No special wastes shall be delivered to or accepted by a MSWLF unless disposal is authorized by a special waste authorization (SWA) issued by the department or is general special waste pursuant to </w:t>
      </w:r>
      <w:hyperlink r:id="rId233">
        <w:r>
          <w:rPr>
            <w:rStyle w:val="Hyperlink"/>
            <w:rFonts w:ascii="Times New Roman" w:hAnsi="Times New Roman"/>
            <w:b w:val="false"/>
            <w:i w:val="false"/>
            <w:color w:val="000000"/>
            <w:sz w:val="24"/>
          </w:rPr>
          <w:t>567—102.508</w:t>
        </w:r>
      </w:hyperlink>
      <w:r>
        <w:rPr>
          <w:rFonts w:ascii="Times New Roman" w:hAnsi="Times New Roman"/>
          <w:b w:val="false"/>
          <w:i w:val="false"/>
          <w:color w:val="000000"/>
          <w:sz w:val="24"/>
        </w:rPr>
        <w:t>(455B,455D). Wastes for which an SWA has been issued shall be disposed of in accordance with the instructions, conditions, and limitations contained in the SWA. Any amendment requests shall be handled under these rules.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102.501(2)</w:t>
      </w:r>
      <w:r>
        <w:rPr>
          <w:rFonts w:ascii="Times New Roman" w:hAnsi="Times New Roman"/>
          <w:b w:val="false"/>
          <w:i w:val="false"/>
          <w:color w:val="000000"/>
          <w:sz w:val="24"/>
        </w:rPr>
        <w:t> </w:t>
      </w:r>
      <w:r>
        <w:rPr>
          <w:rFonts w:ascii="Times New Roman" w:hAnsi="Times New Roman"/>
          <w:b w:val="false"/>
          <w:i w:val="false"/>
          <w:color w:val="000000"/>
          <w:sz w:val="24"/>
        </w:rPr>
        <w:t>All rules, standards, technical guidance, and other similar legal or technical documents referenced in this division shall be the version of those documents in effect on August 1, 2025, unless otherwise noted in these rules, and except for references to the Iowa Code and Iowa Administrative Code, which shall always be the most recent version unless otherwise noted in these rules.</w:t>
      </w:r>
    </w:p>
    <w:p>
      <w:pPr>
        <w:spacing w:before="210" w:after="0" w:line="480"/>
        <w:ind w:left="120"/>
        <w:jc w:val="both"/>
      </w:pPr>
      <w:r>
        <w:rPr>
          <w:rFonts w:ascii="Times New Roman" w:hAnsi="Times New Roman"/>
          <w:b/>
          <w:i w:val="false"/>
          <w:color w:val="000000"/>
          <w:sz w:val="24"/>
        </w:rPr>
        <w:t>567—102.502</w:t>
      </w:r>
      <w:r>
        <w:rPr>
          <w:rFonts w:ascii="Times New Roman" w:hAnsi="Times New Roman"/>
          <w:b/>
          <w:i w:val="false"/>
          <w:color w:val="000000"/>
          <w:sz w:val="24"/>
        </w:rPr>
        <w:t xml:space="preserve">(455B,455D) </w:t>
      </w:r>
      <w:r>
        <w:rPr>
          <w:rFonts w:ascii="Times New Roman" w:hAnsi="Times New Roman"/>
          <w:b/>
          <w:i w:val="false"/>
          <w:color w:val="000000"/>
          <w:sz w:val="24"/>
        </w:rPr>
        <w:t xml:space="preserve">Definitions. </w:t>
      </w:r>
      <w:r>
        <w:rPr>
          <w:rFonts w:ascii="Times New Roman" w:hAnsi="Times New Roman"/>
          <w:b w:val="false"/>
          <w:i w:val="false"/>
          <w:color w:val="000000"/>
          <w:sz w:val="24"/>
        </w:rPr>
        <w:t xml:space="preserve">For the purposes of this division, the definitions in Iowa Code section </w:t>
      </w:r>
      <w:hyperlink r:id="rId234">
        <w:r>
          <w:rPr>
            <w:rStyle w:val="Hyperlink"/>
            <w:rFonts w:ascii="Times New Roman" w:hAnsi="Times New Roman"/>
            <w:b w:val="false"/>
            <w:i w:val="false"/>
            <w:color w:val="000000"/>
            <w:sz w:val="24"/>
          </w:rPr>
          <w:t>455B.301</w:t>
        </w:r>
      </w:hyperlink>
      <w:r>
        <w:rPr>
          <w:rFonts w:ascii="Times New Roman" w:hAnsi="Times New Roman"/>
          <w:b w:val="false"/>
          <w:i w:val="false"/>
          <w:color w:val="000000"/>
          <w:sz w:val="24"/>
        </w:rPr>
        <w:t xml:space="preserve"> and </w:t>
      </w:r>
      <w:hyperlink r:id="rId235">
        <w:r>
          <w:rPr>
            <w:rStyle w:val="Hyperlink"/>
            <w:rFonts w:ascii="Times New Roman" w:hAnsi="Times New Roman"/>
            <w:b w:val="false"/>
            <w:i w:val="false"/>
            <w:color w:val="000000"/>
            <w:sz w:val="24"/>
          </w:rPr>
          <w:t>567—Chapter 100</w:t>
        </w:r>
      </w:hyperlink>
      <w:r>
        <w:rPr>
          <w:rFonts w:ascii="Times New Roman" w:hAnsi="Times New Roman"/>
          <w:b w:val="false"/>
          <w:i w:val="false"/>
          <w:color w:val="000000"/>
          <w:sz w:val="24"/>
        </w:rPr>
        <w:t xml:space="preserve"> shall apply.</w:t>
      </w:r>
    </w:p>
    <w:p>
      <w:pPr>
        <w:spacing w:before="0" w:after="0" w:line="480"/>
        <w:ind w:left="120"/>
        <w:jc w:val="both"/>
      </w:pPr>
      <w:r>
        <w:rPr>
          <w:rFonts w:ascii="Times New Roman" w:hAnsi="Times New Roman"/>
          <w:b/>
          <w:i w:val="false"/>
          <w:color w:val="000000"/>
          <w:sz w:val="24"/>
        </w:rPr>
        <w:t>567—102.503</w:t>
      </w:r>
      <w:r>
        <w:rPr>
          <w:rFonts w:ascii="Times New Roman" w:hAnsi="Times New Roman"/>
          <w:b/>
          <w:i w:val="false"/>
          <w:color w:val="000000"/>
          <w:sz w:val="24"/>
        </w:rPr>
        <w:t xml:space="preserve">(455B,455D) </w:t>
      </w:r>
      <w:r>
        <w:rPr>
          <w:rFonts w:ascii="Times New Roman" w:hAnsi="Times New Roman"/>
          <w:b/>
          <w:i w:val="false"/>
          <w:color w:val="000000"/>
          <w:sz w:val="24"/>
        </w:rPr>
        <w:t xml:space="preserve">Restrictions. </w:t>
      </w:r>
      <w:r>
        <w:rPr>
          <w:rFonts w:ascii="Times New Roman" w:hAnsi="Times New Roman"/>
          <w:b w:val="false"/>
          <w:i w:val="false"/>
          <w:color w:val="000000"/>
          <w:sz w:val="24"/>
        </w:rPr>
        <w:t>Special wastes regulated by this division shall comply with the following provisions.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102.503(1)</w:t>
      </w:r>
      <w:r>
        <w:rPr>
          <w:rFonts w:ascii="Times New Roman" w:hAnsi="Times New Roman"/>
          <w:b w:val="false"/>
          <w:i w:val="false"/>
          <w:color w:val="000000"/>
          <w:sz w:val="24"/>
        </w:rPr>
        <w:t> </w:t>
      </w:r>
      <w:r>
        <w:rPr>
          <w:rFonts w:ascii="Times New Roman" w:hAnsi="Times New Roman"/>
          <w:b w:val="false"/>
          <w:i w:val="false"/>
          <w:color w:val="000000"/>
          <w:sz w:val="24"/>
        </w:rPr>
        <w:t>The waste shall not contain free liquids.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102.503(2)</w:t>
      </w:r>
      <w:r>
        <w:rPr>
          <w:rFonts w:ascii="Times New Roman" w:hAnsi="Times New Roman"/>
          <w:b w:val="false"/>
          <w:i w:val="false"/>
          <w:color w:val="000000"/>
          <w:sz w:val="24"/>
        </w:rPr>
        <w:t> </w:t>
      </w:r>
      <w:r>
        <w:rPr>
          <w:rFonts w:ascii="Times New Roman" w:hAnsi="Times New Roman"/>
          <w:b w:val="false"/>
          <w:i w:val="false"/>
          <w:color w:val="000000"/>
          <w:sz w:val="24"/>
        </w:rPr>
        <w:t>The waste shall not be a listed hazardous waste or meet the criteria for characteristic hazardous waste pursuant to the federal Resource Conservation and Recovery Act (RCRA).</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102.503(3)</w:t>
      </w:r>
      <w:r>
        <w:rPr>
          <w:rFonts w:ascii="Times New Roman" w:hAnsi="Times New Roman"/>
          <w:b w:val="false"/>
          <w:i w:val="false"/>
          <w:color w:val="000000"/>
          <w:sz w:val="24"/>
        </w:rPr>
        <w:t> </w:t>
      </w:r>
      <w:r>
        <w:rPr>
          <w:rFonts w:ascii="Times New Roman" w:hAnsi="Times New Roman"/>
          <w:b w:val="false"/>
          <w:i w:val="false"/>
          <w:color w:val="000000"/>
          <w:sz w:val="24"/>
        </w:rPr>
        <w:t xml:space="preserve">Wastes with PCB concentrations equal to or greater than 50 ppm shall not be authorized for disposal at an MSWLF unless the waste is defined as PCB bulk product waste in </w:t>
      </w:r>
      <w:r>
        <w:rPr>
          <w:rFonts w:ascii="Times New Roman" w:hAnsi="Times New Roman"/>
          <w:b w:val="false"/>
          <w:i w:val="false"/>
          <w:color w:val="000000"/>
          <w:sz w:val="24"/>
        </w:rPr>
        <w:t>40 CFR 761.3</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102.503(4)</w:t>
      </w:r>
      <w:r>
        <w:rPr>
          <w:rFonts w:ascii="Times New Roman" w:hAnsi="Times New Roman"/>
          <w:b w:val="false"/>
          <w:i w:val="false"/>
          <w:color w:val="000000"/>
          <w:sz w:val="24"/>
        </w:rPr>
        <w:t> </w:t>
      </w:r>
      <w:r>
        <w:rPr>
          <w:rFonts w:ascii="Times New Roman" w:hAnsi="Times New Roman"/>
          <w:b w:val="false"/>
          <w:i w:val="false"/>
          <w:color w:val="000000"/>
          <w:sz w:val="24"/>
        </w:rPr>
        <w:t>Wastes that are used beneficially at an MSWLF are not special wastes.</w:t>
      </w:r>
    </w:p>
    <w:p>
      <w:pPr>
        <w:spacing w:before="0" w:after="0" w:line="480"/>
        <w:ind w:left="120"/>
        <w:jc w:val="both"/>
      </w:pPr>
      <w:r>
        <w:rPr>
          <w:rFonts w:ascii="Times New Roman" w:hAnsi="Times New Roman"/>
          <w:b/>
          <w:i w:val="false"/>
          <w:color w:val="000000"/>
          <w:sz w:val="24"/>
        </w:rPr>
        <w:t>567—102.504</w:t>
      </w:r>
      <w:r>
        <w:rPr>
          <w:rFonts w:ascii="Times New Roman" w:hAnsi="Times New Roman"/>
          <w:b/>
          <w:i w:val="false"/>
          <w:color w:val="000000"/>
          <w:sz w:val="24"/>
        </w:rPr>
        <w:t xml:space="preserve">(455B,455D) </w:t>
      </w:r>
      <w:r>
        <w:rPr>
          <w:rFonts w:ascii="Times New Roman" w:hAnsi="Times New Roman"/>
          <w:b/>
          <w:i w:val="false"/>
          <w:color w:val="000000"/>
          <w:sz w:val="24"/>
        </w:rPr>
        <w:t xml:space="preserve">Issuance of SWA.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102.504(1)</w:t>
      </w:r>
      <w:r>
        <w:rPr>
          <w:rFonts w:ascii="Times New Roman" w:hAnsi="Times New Roman"/>
          <w:b w:val="false"/>
          <w:i w:val="false"/>
          <w:color w:val="000000"/>
          <w:sz w:val="24"/>
        </w:rPr>
        <w:t> </w:t>
      </w:r>
      <w:r>
        <w:rPr>
          <w:rFonts w:ascii="Times New Roman" w:hAnsi="Times New Roman"/>
          <w:b w:val="false"/>
          <w:i w:val="false"/>
          <w:color w:val="000000"/>
          <w:sz w:val="24"/>
        </w:rPr>
        <w:t>Generators of special waste shall initiate an application for a SWA by providing the following to the receiving MSWLF.</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Appropriate chemical analysis of the waste,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Description of the process that generates the waste and verification that no RCRA listings in 40 CFR 261 apply,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Toxicity characteristic leaching procedure (TCLP) test results when appropriate, which show that none of the federal limits in </w:t>
      </w:r>
      <w:r>
        <w:rPr>
          <w:rFonts w:ascii="Times New Roman" w:hAnsi="Times New Roman"/>
          <w:b w:val="false"/>
          <w:i w:val="false"/>
          <w:color w:val="000000"/>
          <w:sz w:val="24"/>
        </w:rPr>
        <w:t>40 CFR Part 261</w:t>
      </w:r>
      <w:r>
        <w:rPr>
          <w:rFonts w:ascii="Times New Roman" w:hAnsi="Times New Roman"/>
          <w:b w:val="false"/>
          <w:i w:val="false"/>
          <w:color w:val="000000"/>
          <w:sz w:val="24"/>
        </w:rPr>
        <w:t xml:space="preserve"> are exceeded,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Physical form of the waste,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Weight or volume of the waste,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Safety data sheet (SDS) for the waste or for the materials from which the waste is generated, if applicable,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A description of the review of the alternatives to landfilling for each waste for which an SWA is requested, including details as to the extent the waste could be recycled, reduced, or reused so that landfilling is not necessary,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Any other information requested by the department or the MSWLF.</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102.504(2)</w:t>
      </w:r>
      <w:r>
        <w:rPr>
          <w:rFonts w:ascii="Times New Roman" w:hAnsi="Times New Roman"/>
          <w:b w:val="false"/>
          <w:i w:val="false"/>
          <w:color w:val="000000"/>
          <w:sz w:val="24"/>
        </w:rPr>
        <w:t> </w:t>
      </w:r>
      <w:r>
        <w:rPr>
          <w:rFonts w:ascii="Times New Roman" w:hAnsi="Times New Roman"/>
          <w:b w:val="false"/>
          <w:i w:val="false"/>
          <w:color w:val="000000"/>
          <w:sz w:val="24"/>
        </w:rPr>
        <w:t>The receiving MSWLF shall review the submitted materials. If after review it is determined that the waste is a special waste and the MSWLF is willing to accept the waste, the MSWLF shall develop a special waste acceptance criteria (SWAC) that includes instructions for disposal of waste. The MSWLF shall submit the SWAC and materials provided by the waste generator to the department for approval.</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102.504(3)</w:t>
      </w:r>
      <w:r>
        <w:rPr>
          <w:rFonts w:ascii="Times New Roman" w:hAnsi="Times New Roman"/>
          <w:b w:val="false"/>
          <w:i w:val="false"/>
          <w:color w:val="000000"/>
          <w:sz w:val="24"/>
        </w:rPr>
        <w:t> </w:t>
      </w:r>
      <w:r>
        <w:rPr>
          <w:rFonts w:ascii="Times New Roman" w:hAnsi="Times New Roman"/>
          <w:b w:val="false"/>
          <w:i w:val="false"/>
          <w:color w:val="000000"/>
          <w:sz w:val="24"/>
        </w:rPr>
        <w:t>An SWA may be issued for a period not to exceed three years.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102.504(4)</w:t>
      </w:r>
      <w:r>
        <w:rPr>
          <w:rFonts w:ascii="Times New Roman" w:hAnsi="Times New Roman"/>
          <w:b w:val="false"/>
          <w:i w:val="false"/>
          <w:color w:val="000000"/>
          <w:sz w:val="24"/>
        </w:rPr>
        <w:t> </w:t>
      </w:r>
      <w:r>
        <w:rPr>
          <w:rFonts w:ascii="Times New Roman" w:hAnsi="Times New Roman"/>
          <w:b w:val="false"/>
          <w:i w:val="false"/>
          <w:color w:val="000000"/>
          <w:sz w:val="24"/>
        </w:rPr>
        <w:t>The holder of an SWA must apply for a renewal prior to the expiration of the SWA.</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102.504(5)</w:t>
      </w:r>
      <w:r>
        <w:rPr>
          <w:rFonts w:ascii="Times New Roman" w:hAnsi="Times New Roman"/>
          <w:b w:val="false"/>
          <w:i w:val="false"/>
          <w:color w:val="000000"/>
          <w:sz w:val="24"/>
        </w:rPr>
        <w:t> </w:t>
      </w:r>
      <w:r>
        <w:rPr>
          <w:rFonts w:ascii="Times New Roman" w:hAnsi="Times New Roman"/>
          <w:b w:val="false"/>
          <w:i w:val="false"/>
          <w:color w:val="000000"/>
          <w:sz w:val="24"/>
        </w:rPr>
        <w:t>The department may revoke an SWA for cause at any time. Such cause may include but is not limited to evidence that indicates that the characteristics of the authorized quality of the waste vary from the authorized values, evidence that the continued disposal of the waste as authorized may pose a threat to the public health or the environment, or failure to comply with any condition in the SWA or the MSWLF’s SWAC.</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102.504(6)</w:t>
      </w:r>
      <w:r>
        <w:rPr>
          <w:rFonts w:ascii="Times New Roman" w:hAnsi="Times New Roman"/>
          <w:b w:val="false"/>
          <w:i w:val="false"/>
          <w:color w:val="000000"/>
          <w:sz w:val="24"/>
        </w:rPr>
        <w:t> </w:t>
      </w:r>
      <w:r>
        <w:rPr>
          <w:rFonts w:ascii="Times New Roman" w:hAnsi="Times New Roman"/>
          <w:b w:val="false"/>
          <w:i w:val="false"/>
          <w:color w:val="000000"/>
          <w:sz w:val="24"/>
        </w:rPr>
        <w:t>The issuance of an SWA does not obligate any waste disposal facility to accept the waste nor does it preclude the facility from imposing conditions or restrictions other than those listed in the SWA.</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102.504(7)</w:t>
      </w:r>
      <w:r>
        <w:rPr>
          <w:rFonts w:ascii="Times New Roman" w:hAnsi="Times New Roman"/>
          <w:b w:val="false"/>
          <w:i w:val="false"/>
          <w:color w:val="000000"/>
          <w:sz w:val="24"/>
        </w:rPr>
        <w:t> </w:t>
      </w:r>
      <w:r>
        <w:rPr>
          <w:rFonts w:ascii="Times New Roman" w:hAnsi="Times New Roman"/>
          <w:b w:val="false"/>
          <w:i w:val="false"/>
          <w:color w:val="000000"/>
          <w:sz w:val="24"/>
        </w:rPr>
        <w:t>The issuance of an SWA does not exempt the waste generator or the MSWLF from any local, state, or federal laws or regulations.</w:t>
      </w:r>
    </w:p>
    <w:p>
      <w:pPr>
        <w:spacing w:before="0" w:after="0" w:line="480"/>
        <w:ind w:left="120"/>
        <w:jc w:val="both"/>
      </w:pPr>
      <w:r>
        <w:rPr>
          <w:rFonts w:ascii="Times New Roman" w:hAnsi="Times New Roman"/>
          <w:b/>
          <w:i w:val="false"/>
          <w:color w:val="000000"/>
          <w:sz w:val="24"/>
        </w:rPr>
        <w:t>567—102.505</w:t>
      </w:r>
      <w:r>
        <w:rPr>
          <w:rFonts w:ascii="Times New Roman" w:hAnsi="Times New Roman"/>
          <w:b/>
          <w:i w:val="false"/>
          <w:color w:val="000000"/>
          <w:sz w:val="24"/>
        </w:rPr>
        <w:t xml:space="preserve">(455B,455D) </w:t>
      </w:r>
      <w:r>
        <w:rPr>
          <w:rFonts w:ascii="Times New Roman" w:hAnsi="Times New Roman"/>
          <w:b/>
          <w:i w:val="false"/>
          <w:color w:val="000000"/>
          <w:sz w:val="24"/>
        </w:rPr>
        <w:t xml:space="preserve">MSWLF responsibilities.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102.505(1)</w:t>
      </w:r>
      <w:r>
        <w:rPr>
          <w:rFonts w:ascii="Times New Roman" w:hAnsi="Times New Roman"/>
          <w:b w:val="false"/>
          <w:i w:val="false"/>
          <w:color w:val="000000"/>
          <w:sz w:val="24"/>
        </w:rPr>
        <w:t> </w:t>
      </w:r>
      <w:r>
        <w:rPr>
          <w:rFonts w:ascii="Times New Roman" w:hAnsi="Times New Roman"/>
          <w:b w:val="false"/>
          <w:i w:val="false"/>
          <w:color w:val="000000"/>
          <w:sz w:val="24"/>
        </w:rPr>
        <w:t>MSWLFs shall submit special waste acceptance criteria to the department with each special waste request.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102.505(2)</w:t>
      </w:r>
      <w:r>
        <w:rPr>
          <w:rFonts w:ascii="Times New Roman" w:hAnsi="Times New Roman"/>
          <w:b w:val="false"/>
          <w:i w:val="false"/>
          <w:color w:val="000000"/>
          <w:sz w:val="24"/>
        </w:rPr>
        <w:t> </w:t>
      </w:r>
      <w:r>
        <w:rPr>
          <w:rFonts w:ascii="Times New Roman" w:hAnsi="Times New Roman"/>
          <w:b w:val="false"/>
          <w:i w:val="false"/>
          <w:color w:val="000000"/>
          <w:sz w:val="24"/>
        </w:rPr>
        <w:t>MSWLFs are required to ensure that special wastes delivered to the facility conform to the SWAC on file with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102.505(3)</w:t>
      </w:r>
      <w:r>
        <w:rPr>
          <w:rFonts w:ascii="Times New Roman" w:hAnsi="Times New Roman"/>
          <w:b w:val="false"/>
          <w:i w:val="false"/>
          <w:color w:val="000000"/>
          <w:sz w:val="24"/>
        </w:rPr>
        <w:t> </w:t>
      </w:r>
      <w:r>
        <w:rPr>
          <w:rFonts w:ascii="Times New Roman" w:hAnsi="Times New Roman"/>
          <w:b w:val="false"/>
          <w:i w:val="false"/>
          <w:color w:val="000000"/>
          <w:sz w:val="24"/>
        </w:rPr>
        <w:t>Each MSWLF shall provide to the department, on a quarterly basis, a report of SWA activity including each SWA number and the quantities of waste disposed of during the reporting period. This information shall be submitted on a form prescribed by the department.</w:t>
      </w:r>
    </w:p>
    <w:p>
      <w:pPr>
        <w:spacing w:before="0" w:after="0" w:line="480"/>
        <w:ind w:left="120"/>
        <w:jc w:val="both"/>
      </w:pPr>
      <w:r>
        <w:rPr>
          <w:rFonts w:ascii="Times New Roman" w:hAnsi="Times New Roman"/>
          <w:b/>
          <w:i w:val="false"/>
          <w:color w:val="000000"/>
          <w:sz w:val="24"/>
        </w:rPr>
        <w:t>567—102.506</w:t>
      </w:r>
      <w:r>
        <w:rPr>
          <w:rFonts w:ascii="Times New Roman" w:hAnsi="Times New Roman"/>
          <w:b/>
          <w:i w:val="false"/>
          <w:color w:val="000000"/>
          <w:sz w:val="24"/>
        </w:rPr>
        <w:t xml:space="preserve">(455B,455D) </w:t>
      </w:r>
      <w:r>
        <w:rPr>
          <w:rFonts w:ascii="Times New Roman" w:hAnsi="Times New Roman"/>
          <w:b/>
          <w:i w:val="false"/>
          <w:color w:val="000000"/>
          <w:sz w:val="24"/>
        </w:rPr>
        <w:t xml:space="preserve">Special waste generator responsibilities. </w:t>
      </w:r>
      <w:r>
        <w:rPr>
          <w:rFonts w:ascii="Times New Roman" w:hAnsi="Times New Roman"/>
          <w:b w:val="false"/>
          <w:i w:val="false"/>
          <w:color w:val="000000"/>
          <w:sz w:val="24"/>
        </w:rPr>
        <w:t>Special waste generator responsibilities shall include the following in addition to any requirements in the SWA or SWAC.</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102.506(1)</w:t>
      </w:r>
      <w:r>
        <w:rPr>
          <w:rFonts w:ascii="Times New Roman" w:hAnsi="Times New Roman"/>
          <w:b w:val="false"/>
          <w:i w:val="false"/>
          <w:color w:val="000000"/>
          <w:sz w:val="24"/>
        </w:rPr>
        <w:t> </w:t>
      </w:r>
      <w:r>
        <w:rPr>
          <w:rFonts w:ascii="Times New Roman" w:hAnsi="Times New Roman"/>
          <w:b w:val="false"/>
          <w:i w:val="false"/>
          <w:color w:val="000000"/>
          <w:sz w:val="24"/>
        </w:rPr>
        <w:t>The generator shall adhere to the solid waste management hierarchy unless otherwise approved in an SWA. Alternatives include volume reduction at the source; recycling and reuse, including composting and land application; and other approved techniques of solid waste management including but not limited to combustion with energy recovery and combustion for waste disposal.</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102.506(2)</w:t>
      </w:r>
      <w:r>
        <w:rPr>
          <w:rFonts w:ascii="Times New Roman" w:hAnsi="Times New Roman"/>
          <w:b w:val="false"/>
          <w:i w:val="false"/>
          <w:color w:val="000000"/>
          <w:sz w:val="24"/>
        </w:rPr>
        <w:t> </w:t>
      </w:r>
      <w:r>
        <w:rPr>
          <w:rFonts w:ascii="Times New Roman" w:hAnsi="Times New Roman"/>
          <w:b w:val="false"/>
          <w:i w:val="false"/>
          <w:color w:val="000000"/>
          <w:sz w:val="24"/>
        </w:rPr>
        <w:t>The generator shall ensure that waste regulated by a SWA arrives at the receiving MSWLF as a separate load and is not commingled with any other waste.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102.506(3)</w:t>
      </w:r>
      <w:r>
        <w:rPr>
          <w:rFonts w:ascii="Times New Roman" w:hAnsi="Times New Roman"/>
          <w:b w:val="false"/>
          <w:i w:val="false"/>
          <w:color w:val="000000"/>
          <w:sz w:val="24"/>
        </w:rPr>
        <w:t> </w:t>
      </w:r>
      <w:r>
        <w:rPr>
          <w:rFonts w:ascii="Times New Roman" w:hAnsi="Times New Roman"/>
          <w:b w:val="false"/>
          <w:i w:val="false"/>
          <w:color w:val="000000"/>
          <w:sz w:val="24"/>
        </w:rPr>
        <w:t>The generator shall make a waste determination as required by federal regulations and submit it and analytical results supporting an SWA to the MSWLF at a frequency to be determined by the MSWLF.</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102.506(4)</w:t>
      </w:r>
      <w:r>
        <w:rPr>
          <w:rFonts w:ascii="Times New Roman" w:hAnsi="Times New Roman"/>
          <w:b w:val="false"/>
          <w:i w:val="false"/>
          <w:color w:val="000000"/>
          <w:sz w:val="24"/>
        </w:rPr>
        <w:t> </w:t>
      </w:r>
      <w:r>
        <w:rPr>
          <w:rFonts w:ascii="Times New Roman" w:hAnsi="Times New Roman"/>
          <w:b w:val="false"/>
          <w:i w:val="false"/>
          <w:color w:val="000000"/>
          <w:sz w:val="24"/>
        </w:rPr>
        <w:t>The generator must contact the designated MSWLF for instructions on delivering the waste and instructions for adhering to the MSWLF’s SWAC.</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102.506(5)</w:t>
      </w:r>
      <w:r>
        <w:rPr>
          <w:rFonts w:ascii="Times New Roman" w:hAnsi="Times New Roman"/>
          <w:b w:val="false"/>
          <w:i w:val="false"/>
          <w:color w:val="000000"/>
          <w:sz w:val="24"/>
        </w:rPr>
        <w:t> </w:t>
      </w:r>
      <w:r>
        <w:rPr>
          <w:rFonts w:ascii="Times New Roman" w:hAnsi="Times New Roman"/>
          <w:b w:val="false"/>
          <w:i w:val="false"/>
          <w:color w:val="000000"/>
          <w:sz w:val="24"/>
        </w:rPr>
        <w:t>The generator shall notify the department and MSWLF, prior to disposal, of any change in the characteristics of the special wastes being disposed.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102.506(6)</w:t>
      </w:r>
      <w:r>
        <w:rPr>
          <w:rFonts w:ascii="Times New Roman" w:hAnsi="Times New Roman"/>
          <w:b w:val="false"/>
          <w:i w:val="false"/>
          <w:color w:val="000000"/>
          <w:sz w:val="24"/>
        </w:rPr>
        <w:t> </w:t>
      </w:r>
      <w:r>
        <w:rPr>
          <w:rFonts w:ascii="Times New Roman" w:hAnsi="Times New Roman"/>
          <w:b w:val="false"/>
          <w:i w:val="false"/>
          <w:color w:val="000000"/>
          <w:sz w:val="24"/>
        </w:rPr>
        <w:t>Generators shall notify the MSWLF in writing when a one-time disposal under an SWA has been completed. This requirement is for one-time disposals only.</w:t>
      </w:r>
    </w:p>
    <w:p>
      <w:pPr>
        <w:spacing w:before="0" w:after="0" w:line="480"/>
        <w:ind w:left="120"/>
        <w:jc w:val="both"/>
      </w:pPr>
      <w:r>
        <w:rPr>
          <w:rFonts w:ascii="Times New Roman" w:hAnsi="Times New Roman"/>
          <w:b/>
          <w:i w:val="false"/>
          <w:color w:val="000000"/>
          <w:sz w:val="24"/>
        </w:rPr>
        <w:t>567—102.507</w:t>
      </w:r>
      <w:r>
        <w:rPr>
          <w:rFonts w:ascii="Times New Roman" w:hAnsi="Times New Roman"/>
          <w:b/>
          <w:i w:val="false"/>
          <w:color w:val="000000"/>
          <w:sz w:val="24"/>
        </w:rPr>
        <w:t xml:space="preserve">(455B,455D) </w:t>
      </w:r>
      <w:r>
        <w:rPr>
          <w:rFonts w:ascii="Times New Roman" w:hAnsi="Times New Roman"/>
          <w:b/>
          <w:i w:val="false"/>
          <w:color w:val="000000"/>
          <w:sz w:val="24"/>
        </w:rPr>
        <w:t xml:space="preserve">Additional requirements for specific types of special wastes.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102.507(1)</w:t>
      </w:r>
      <w:r>
        <w:rPr>
          <w:rFonts w:ascii="Times New Roman" w:hAnsi="Times New Roman"/>
          <w:b w:val="false"/>
          <w:i w:val="false"/>
          <w:color w:val="000000"/>
          <w:sz w:val="24"/>
        </w:rPr>
        <w:t> </w:t>
      </w:r>
      <w:r>
        <w:rPr>
          <w:rFonts w:ascii="Times New Roman" w:hAnsi="Times New Roman"/>
          <w:b w:val="false"/>
          <w:i/>
          <w:color w:val="000000"/>
          <w:sz w:val="24"/>
        </w:rPr>
        <w:t xml:space="preserve">Sewage sludge. </w:t>
      </w:r>
      <w:r>
        <w:rPr>
          <w:rFonts w:ascii="Times New Roman" w:hAnsi="Times New Roman"/>
          <w:b w:val="false"/>
          <w:i w:val="false"/>
          <w:color w:val="000000"/>
          <w:sz w:val="24"/>
        </w:rPr>
        <w:t xml:space="preserve">Sewage sludge, including stabilized septic tank pumpings, shall not be disposed of in a MSWLF if it meets the criteria for Class I or II sewage sludge in </w:t>
      </w:r>
      <w:hyperlink r:id="rId236">
        <w:r>
          <w:rPr>
            <w:rStyle w:val="Hyperlink"/>
            <w:rFonts w:ascii="Times New Roman" w:hAnsi="Times New Roman"/>
            <w:b w:val="false"/>
            <w:i w:val="false"/>
            <w:color w:val="000000"/>
            <w:sz w:val="24"/>
          </w:rPr>
          <w:t>567—Chapter 67</w:t>
        </w:r>
      </w:hyperlink>
      <w:r>
        <w:rPr>
          <w:rFonts w:ascii="Times New Roman" w:hAnsi="Times New Roman"/>
          <w:b w:val="false"/>
          <w:i w:val="false"/>
          <w:color w:val="000000"/>
          <w:sz w:val="24"/>
        </w:rPr>
        <w:t xml:space="preserve">, except for use in daily, interim, or final cover according to the approved plan for the landfill. Class III sewage sludge may be disposed of at a MSWLF if stabilized according to </w:t>
      </w:r>
      <w:hyperlink r:id="rId237">
        <w:r>
          <w:rPr>
            <w:rStyle w:val="Hyperlink"/>
            <w:rFonts w:ascii="Times New Roman" w:hAnsi="Times New Roman"/>
            <w:b w:val="false"/>
            <w:i w:val="false"/>
            <w:color w:val="000000"/>
            <w:sz w:val="24"/>
          </w:rPr>
          <w:t>567—Chapter 67</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102.507(2)</w:t>
      </w:r>
      <w:r>
        <w:rPr>
          <w:rFonts w:ascii="Times New Roman" w:hAnsi="Times New Roman"/>
          <w:b w:val="false"/>
          <w:i w:val="false"/>
          <w:color w:val="000000"/>
          <w:sz w:val="24"/>
        </w:rPr>
        <w:t> </w:t>
      </w:r>
      <w:r>
        <w:rPr>
          <w:rFonts w:ascii="Times New Roman" w:hAnsi="Times New Roman"/>
          <w:b w:val="false"/>
          <w:i/>
          <w:color w:val="000000"/>
          <w:sz w:val="24"/>
        </w:rPr>
        <w:t xml:space="preserve">Infectious waste. </w:t>
      </w:r>
      <w:r>
        <w:rPr>
          <w:rFonts w:ascii="Times New Roman" w:hAnsi="Times New Roman"/>
          <w:b w:val="false"/>
          <w:i w:val="false"/>
          <w:color w:val="000000"/>
          <w:sz w:val="24"/>
        </w:rPr>
        <w:t>Infectious waste may be placed with municipal solid waste if it is rendered nonpathological; it does not contain free liquids; and sharps are shredded, blunted, granulated, incinerated, or mechanically destroyed. The generator of the infectious waste must notify the waste hauler and the MSWLF that infectious waste is being placed with the regular municipal solid waste and, with the notice, certify that the infectious waste is properly treated in accordance with the requirements of this rule.</w:t>
      </w:r>
    </w:p>
    <w:p>
      <w:pPr>
        <w:spacing w:before="0" w:after="0" w:line="480"/>
        <w:ind w:left="120"/>
        <w:jc w:val="both"/>
      </w:pPr>
      <w:r>
        <w:rPr>
          <w:rFonts w:ascii="Times New Roman" w:hAnsi="Times New Roman"/>
          <w:b/>
          <w:i w:val="false"/>
          <w:color w:val="000000"/>
          <w:sz w:val="24"/>
        </w:rPr>
        <w:t>567—102.508</w:t>
      </w:r>
      <w:r>
        <w:rPr>
          <w:rFonts w:ascii="Times New Roman" w:hAnsi="Times New Roman"/>
          <w:b/>
          <w:i w:val="false"/>
          <w:color w:val="000000"/>
          <w:sz w:val="24"/>
        </w:rPr>
        <w:t xml:space="preserve">(455B,455D) </w:t>
      </w:r>
      <w:r>
        <w:rPr>
          <w:rFonts w:ascii="Times New Roman" w:hAnsi="Times New Roman"/>
          <w:b/>
          <w:i w:val="false"/>
          <w:color w:val="000000"/>
          <w:sz w:val="24"/>
        </w:rPr>
        <w:t xml:space="preserve">Conditions and requirements for the disposal of general special wastes. </w:t>
      </w:r>
      <w:r>
        <w:rPr>
          <w:rFonts w:ascii="Times New Roman" w:hAnsi="Times New Roman"/>
          <w:b w:val="false"/>
          <w:i w:val="false"/>
          <w:color w:val="000000"/>
          <w:sz w:val="24"/>
        </w:rPr>
        <w:t>Disposal of general special waste shall be in accordance this rule. An SWA is not required for general special wastes. The following wastes are approved as general special wastes: asbestos-containing material (ACM), stabilized grit, bar screenings, and grease skimmings.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102.508(1)</w:t>
      </w:r>
      <w:r>
        <w:rPr>
          <w:rFonts w:ascii="Times New Roman" w:hAnsi="Times New Roman"/>
          <w:b w:val="false"/>
          <w:i w:val="false"/>
          <w:color w:val="000000"/>
          <w:sz w:val="24"/>
        </w:rPr>
        <w:t> </w:t>
      </w:r>
      <w:r>
        <w:rPr>
          <w:rFonts w:ascii="Times New Roman" w:hAnsi="Times New Roman"/>
          <w:b w:val="false"/>
          <w:i/>
          <w:color w:val="000000"/>
          <w:sz w:val="24"/>
        </w:rPr>
        <w:t xml:space="preserve">Asbestos-containing material. </w:t>
      </w:r>
      <w:r>
        <w:rPr>
          <w:rFonts w:ascii="Times New Roman" w:hAnsi="Times New Roman"/>
          <w:b w:val="false"/>
          <w:i w:val="false"/>
          <w:color w:val="000000"/>
          <w:sz w:val="24"/>
        </w:rPr>
        <w:t>The MSWLF permit holder shall comply with the following conditions and requirements whenever asbestos-containing waste materials are accepted and disposed of in an MSWLF.</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ACM wastes with 1 percent or less asbestos can be disposed of at the working face.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ACM wastes that contain greater than 1 percent asbestos are regulated under federal asbestos National Emission Standards for Hazardous Air Pollutants (NESHAP) and shall be managed in accordance with federal regulations defined in </w:t>
      </w:r>
      <w:r>
        <w:rPr>
          <w:rFonts w:ascii="Times New Roman" w:hAnsi="Times New Roman"/>
          <w:b w:val="false"/>
          <w:i w:val="false"/>
          <w:color w:val="000000"/>
          <w:sz w:val="24"/>
        </w:rPr>
        <w:t>40 CFR Part 61</w:t>
      </w:r>
      <w:r>
        <w:rPr>
          <w:rFonts w:ascii="Times New Roman" w:hAnsi="Times New Roman"/>
          <w:b w:val="false"/>
          <w:i w:val="false"/>
          <w:color w:val="000000"/>
          <w:sz w:val="24"/>
        </w:rPr>
        <w:t xml:space="preserve">, Subpart M. Testing to determine asbestos content shall utilize the method specified in </w:t>
      </w:r>
      <w:r>
        <w:rPr>
          <w:rFonts w:ascii="Times New Roman" w:hAnsi="Times New Roman"/>
          <w:b w:val="false"/>
          <w:i w:val="false"/>
          <w:color w:val="000000"/>
          <w:sz w:val="24"/>
        </w:rPr>
        <w:t>40 CFR Part 763</w:t>
      </w:r>
      <w:r>
        <w:rPr>
          <w:rFonts w:ascii="Times New Roman" w:hAnsi="Times New Roman"/>
          <w:b w:val="false"/>
          <w:i w:val="false"/>
          <w:color w:val="000000"/>
          <w:sz w:val="24"/>
        </w:rPr>
        <w:t>, Section 1, Subpart F, Appendix 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Upon arrival at the MSWLF, the transporter shall present to the landfill operator the ACM waste shipment records, which shall include a determination whether the ACM waste is friable or nonfriable, if known. The landfill operator must through visual inspection or testing verify whether the ACM waste is friable or nonfriable. If the waste is friable or the inspection or testing cannot verify that the ACM is nonfriable, the waste must be handled as friable ACM waste.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Any federal NESHAP-regulated ACM waste shipments that show evidence of visible dust emissions or that are not properly containerized, wrapped, wetted, and covered shall be rejected upon arrival at the landfill.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ACM wastes with greater than 1 percent asbestos content that are nonfriable when received at the landfill may be disposed of at the working face. Care shall be taken when unloading and covering the waste so that it does not become friable at the working face.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ACM wastes with greater than 1 percent asbestos content that are confirmed as friable when received at the landfill shall be disposed of in an area separate from the regular working face. The wastes shall be covered carefully with a minimum of six inches of soil cover and compacted by no later than the end of the operating day. Care shall be taken at all times during disposal and covering to prevent rupture of asbestos-containing containers and wrapped waste systems. Covered ACM waste areas shall be protected from erosion at all times.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Upon delivery, friable ACM wastes must be wet and contained in labeled, leak-tight containers or wrapping that prevents asbestos from becoming airborne. Bulk demolition wastes with friable ACM need not be placed in leak-tight containers but must remain wet at all times and be properly labeled and wrapped to prevent asbestos from becoming airborne during transport and disposal and covering at the landfill.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Care shall be taken at all times when transporting, depositing, and covering federal NESHAP-regulated ACM waste to control the evolution of dust and airborne asbestos fibers and to not allow the rupture of asbestos containers and wraps.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w:t>
      </w:r>
      <w:r>
        <w:rPr>
          <w:rFonts w:ascii="Times New Roman" w:hAnsi="Times New Roman"/>
          <w:b w:val="false"/>
          <w:i w:val="false"/>
          <w:color w:val="000000"/>
          <w:sz w:val="24"/>
        </w:rPr>
        <w:t>  </w:t>
      </w:r>
      <w:r>
        <w:rPr>
          <w:rFonts w:ascii="Times New Roman" w:hAnsi="Times New Roman"/>
          <w:b w:val="false"/>
          <w:i w:val="false"/>
          <w:color w:val="000000"/>
          <w:sz w:val="24"/>
        </w:rPr>
        <w:t>After landfill acceptance, if any federal NESHAP-regulated ACM waste becomes dry prior to disposal, rewetting or an approved alternative means of dust emissions control is mandatory. When disposed of, the wet ACM waste must be properly covered before it can dry again.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j.</w:t>
      </w:r>
      <w:r>
        <w:rPr>
          <w:rFonts w:ascii="Times New Roman" w:hAnsi="Times New Roman"/>
          <w:b w:val="false"/>
          <w:i w:val="false"/>
          <w:color w:val="000000"/>
          <w:sz w:val="24"/>
        </w:rPr>
        <w:t>  </w:t>
      </w:r>
      <w:r>
        <w:rPr>
          <w:rFonts w:ascii="Times New Roman" w:hAnsi="Times New Roman"/>
          <w:b w:val="false"/>
          <w:i w:val="false"/>
          <w:color w:val="000000"/>
          <w:sz w:val="24"/>
        </w:rPr>
        <w:t>In the event that any visible dust emissions from federal NESHAP-regulated ACM waste occur, protective safety equipment, consistent with federal NESHAP and OSHA regulations, shall be immediately utilized by landfill operating staff.</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k.</w:t>
      </w:r>
      <w:r>
        <w:rPr>
          <w:rFonts w:ascii="Times New Roman" w:hAnsi="Times New Roman"/>
          <w:b w:val="false"/>
          <w:i w:val="false"/>
          <w:color w:val="000000"/>
          <w:sz w:val="24"/>
        </w:rPr>
        <w:t>  </w:t>
      </w:r>
      <w:r>
        <w:rPr>
          <w:rFonts w:ascii="Times New Roman" w:hAnsi="Times New Roman"/>
          <w:b w:val="false"/>
          <w:i w:val="false"/>
          <w:color w:val="000000"/>
          <w:sz w:val="24"/>
        </w:rPr>
        <w:t>Daily records of the acceptance and disposal of all ACM wastes shall be maintained. Landfill records for each NESHAP-regulated ACM waste shipment shall include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date of ACM waste receipt.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names, addresses, and telephone numbers of the originating waste generation site, facility owner, agent responsible for performing removal and the waste transporter.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description of ACM wastes, quantity in cubic yards, weight and the number and type of containers or systems received.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The waste shipment record and any accompanying asbestos content laboratory test and friable status documentation.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The operational log notation relative to the landfill operator’s visual confirmation of waste type compared to waste shipment records and the friable or nonfriable status for each federal NESHAP-regulated ACM waste shipment.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The operational log notation of any rejected ACM waste and the reasons for rejection by landfill staff.</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The site operational area, coordinates location, and vertical elevation keyed to site mapping and the quantity of buried waste in cubic yards for each federal NESHAP-regulated waste shipment disposed of within the disposal site.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l.</w:t>
      </w:r>
      <w:r>
        <w:rPr>
          <w:rFonts w:ascii="Times New Roman" w:hAnsi="Times New Roman"/>
          <w:b w:val="false"/>
          <w:i w:val="false"/>
          <w:color w:val="000000"/>
          <w:sz w:val="24"/>
        </w:rPr>
        <w:t>  </w:t>
      </w:r>
      <w:r>
        <w:rPr>
          <w:rFonts w:ascii="Times New Roman" w:hAnsi="Times New Roman"/>
          <w:b w:val="false"/>
          <w:i w:val="false"/>
          <w:color w:val="000000"/>
          <w:sz w:val="24"/>
        </w:rPr>
        <w:t xml:space="preserve">Records for all federal NESHAP-regulated ACM wastes accepted at the landfill in accordance with </w:t>
      </w:r>
      <w:r>
        <w:rPr>
          <w:rFonts w:ascii="Times New Roman" w:hAnsi="Times New Roman"/>
          <w:b w:val="false"/>
          <w:i w:val="false"/>
          <w:color w:val="000000"/>
          <w:sz w:val="24"/>
        </w:rPr>
        <w:t>40 CFR Part 61</w:t>
      </w:r>
      <w:r>
        <w:rPr>
          <w:rFonts w:ascii="Times New Roman" w:hAnsi="Times New Roman"/>
          <w:b w:val="false"/>
          <w:i w:val="false"/>
          <w:color w:val="000000"/>
          <w:sz w:val="24"/>
        </w:rPr>
        <w:t>, including required federal and state asbestos NESHAP program operational and site closure reports, shall be maintained. All records, except for waste shipment records, shall be maintained through site closure. Waste shipment records shall be retained for at least two years.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m.</w:t>
      </w:r>
      <w:r>
        <w:rPr>
          <w:rFonts w:ascii="Times New Roman" w:hAnsi="Times New Roman"/>
          <w:b w:val="false"/>
          <w:i w:val="false"/>
          <w:color w:val="000000"/>
          <w:sz w:val="24"/>
        </w:rPr>
        <w:t>  </w:t>
      </w:r>
      <w:r>
        <w:rPr>
          <w:rFonts w:ascii="Times New Roman" w:hAnsi="Times New Roman"/>
          <w:b w:val="false"/>
          <w:i w:val="false"/>
          <w:color w:val="000000"/>
          <w:sz w:val="24"/>
        </w:rPr>
        <w:t>A copy of an Affidavit Explanatory of Title that has been file stamped by the county recorder shall be submitted to the department within 60 days of site closure. The affidavit shall appear at part of the property deed record and shall indicate that: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landfill has been used for the disposal of ACM waste.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survey plot and all records of the location and quantity of regulated ACM wastes have been filed with federal and state NESHAP program officials. Such documentation must be filed with the department, along with the notification.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 xml:space="preserve">The site is subject to the regulations under </w:t>
      </w:r>
      <w:r>
        <w:rPr>
          <w:rFonts w:ascii="Times New Roman" w:hAnsi="Times New Roman"/>
          <w:b w:val="false"/>
          <w:i w:val="false"/>
          <w:color w:val="000000"/>
          <w:sz w:val="24"/>
        </w:rPr>
        <w:t>40 CFR Part 61</w:t>
      </w:r>
      <w:r>
        <w:rPr>
          <w:rFonts w:ascii="Times New Roman" w:hAnsi="Times New Roman"/>
          <w:b w:val="false"/>
          <w:i w:val="false"/>
          <w:color w:val="000000"/>
          <w:sz w:val="24"/>
        </w:rPr>
        <w:t>, Subpart M, and the site closure permit requirements issued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n.</w:t>
      </w:r>
      <w:r>
        <w:rPr>
          <w:rFonts w:ascii="Times New Roman" w:hAnsi="Times New Roman"/>
          <w:b w:val="false"/>
          <w:i w:val="false"/>
          <w:color w:val="000000"/>
          <w:sz w:val="24"/>
        </w:rPr>
        <w:t>  </w:t>
      </w:r>
      <w:r>
        <w:rPr>
          <w:rFonts w:ascii="Times New Roman" w:hAnsi="Times New Roman"/>
          <w:b w:val="false"/>
          <w:i w:val="false"/>
          <w:color w:val="000000"/>
          <w:sz w:val="24"/>
        </w:rPr>
        <w:t xml:space="preserve">Strict adherence to federal NESHAP asbestos regulations under </w:t>
      </w:r>
      <w:r>
        <w:rPr>
          <w:rFonts w:ascii="Times New Roman" w:hAnsi="Times New Roman"/>
          <w:b w:val="false"/>
          <w:i w:val="false"/>
          <w:color w:val="000000"/>
          <w:sz w:val="24"/>
        </w:rPr>
        <w:t>40 CFR Part 61</w:t>
      </w:r>
      <w:r>
        <w:rPr>
          <w:rFonts w:ascii="Times New Roman" w:hAnsi="Times New Roman"/>
          <w:b w:val="false"/>
          <w:i w:val="false"/>
          <w:color w:val="000000"/>
          <w:sz w:val="24"/>
        </w:rPr>
        <w:t xml:space="preserve"> is mandatory for all federal regulated ACM wastes.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102.508(2)</w:t>
      </w:r>
      <w:r>
        <w:rPr>
          <w:rFonts w:ascii="Times New Roman" w:hAnsi="Times New Roman"/>
          <w:b w:val="false"/>
          <w:i w:val="false"/>
          <w:color w:val="000000"/>
          <w:sz w:val="24"/>
        </w:rPr>
        <w:t> </w:t>
      </w:r>
      <w:r>
        <w:rPr>
          <w:rFonts w:ascii="Times New Roman" w:hAnsi="Times New Roman"/>
          <w:b w:val="false"/>
          <w:i/>
          <w:color w:val="000000"/>
          <w:sz w:val="24"/>
        </w:rPr>
        <w:t xml:space="preserve">Stabilized grit, bar screenings, and grease skimmings. </w:t>
      </w:r>
      <w:r>
        <w:rPr>
          <w:rFonts w:ascii="Times New Roman" w:hAnsi="Times New Roman"/>
          <w:b w:val="false"/>
          <w:i w:val="false"/>
          <w:color w:val="000000"/>
          <w:sz w:val="24"/>
        </w:rPr>
        <w:t>The MSWLF operator, the generator, and the hauler shall comply with the following conditions and requirements whenever stabilized grit, bar screenings, or grease skimmings are disposed of in a MSWLF.</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generator shall stabilize the grit, bar screenings, and grease skimmings prior to their disposal at the landfill in order to destroy any pathogenic organisms. Stabilization shall be done by addition of lime to raise the pH to at least 12 for two hours. In lieu of stabilization for bar screenings, a system that flushes organic matter then dewaters and bags the screenings may be utilized.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generator shall prearrange a delivery schedule with the landfill operator.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Upon arrival at the landfill, the hauler shall identify the waste to the landfill attendant.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The landfill operator shall direct the hauler to the working face.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The waste shall be deposited at the working face, covered with regular refuse or soil and compacted.</w:t>
      </w:r>
    </w:p>
    <w:p>
      <w:pPr>
        <w:spacing w:before="210" w:after="0" w:line="480"/>
        <w:ind w:left="120"/>
        <w:jc w:val="both"/>
      </w:pPr>
      <w:r>
        <w:rPr>
          <w:rFonts w:ascii="Times New Roman" w:hAnsi="Times New Roman"/>
          <w:b/>
          <w:i w:val="false"/>
          <w:color w:val="000000"/>
          <w:sz w:val="24"/>
        </w:rPr>
        <w:t>567—102.509</w:t>
      </w:r>
      <w:r>
        <w:rPr>
          <w:rFonts w:ascii="Times New Roman" w:hAnsi="Times New Roman"/>
          <w:b w:val="false"/>
          <w:i w:val="false"/>
          <w:color w:val="000000"/>
          <w:sz w:val="24"/>
        </w:rPr>
        <w:t xml:space="preserve"> to </w:t>
      </w:r>
      <w:r>
        <w:rPr>
          <w:rFonts w:ascii="Times New Roman" w:hAnsi="Times New Roman"/>
          <w:b/>
          <w:i w:val="false"/>
          <w:color w:val="000000"/>
          <w:sz w:val="24"/>
        </w:rPr>
        <w:t>102.599</w:t>
      </w:r>
      <w:r>
        <w:rPr>
          <w:rFonts w:ascii="Times New Roman" w:hAnsi="Times New Roman"/>
          <w:b w:val="false"/>
          <w:i w:val="false"/>
          <w:color w:val="000000"/>
          <w:sz w:val="24"/>
        </w:rPr>
        <w:t>Reserved.</w:t>
      </w:r>
    </w:p>
    <w:p>
      <w:pPr>
        <w:spacing w:before="0" w:after="0" w:line="480"/>
        <w:ind w:left="120"/>
        <w:jc w:val="both"/>
      </w:pPr>
      <w:r>
        <w:rPr>
          <w:rFonts w:ascii="Times New Roman" w:hAnsi="Times New Roman"/>
          <w:b w:val="false"/>
          <w:i w:val="false"/>
          <w:color w:val="000000"/>
          <w:sz w:val="24"/>
        </w:rPr>
        <w:t xml:space="preserve">These rules are intended to implement Iowa Code section </w:t>
      </w:r>
      <w:hyperlink r:id="rId238">
        <w:r>
          <w:rPr>
            <w:rStyle w:val="Hyperlink"/>
            <w:rFonts w:ascii="Times New Roman" w:hAnsi="Times New Roman"/>
            <w:b w:val="false"/>
            <w:i w:val="false"/>
            <w:color w:val="000000"/>
            <w:sz w:val="24"/>
          </w:rPr>
          <w:t>455B.304</w:t>
        </w:r>
      </w:hyperlink>
      <w:r>
        <w:rPr>
          <w:rFonts w:ascii="Times New Roman" w:hAnsi="Times New Roman"/>
          <w:b w:val="false"/>
          <w:i w:val="false"/>
          <w:color w:val="000000"/>
          <w:sz w:val="24"/>
        </w:rPr>
        <w:t>.</w:t>
      </w:r>
    </w:p>
    <w:p>
      <w:pPr>
        <w:pBdr>
          <w:top w:space="10"/>
        </w:pBdr>
        <w:spacing w:before="0" w:after="0" w:line="480"/>
        <w:ind w:left="120"/>
        <w:jc w:val="center"/>
      </w:pPr>
      <w:r>
        <w:rPr>
          <w:rFonts w:ascii="Times New Roman" w:hAnsi="Times New Roman"/>
          <w:b w:val="false"/>
          <w:i w:val="false"/>
          <w:color w:val="000000"/>
          <w:sz w:val="16"/>
        </w:rPr>
        <w:t>DIVISION VII</w:t>
      </w:r>
    </w:p>
    <w:p>
      <w:pPr>
        <w:pBdr>
          <w:bottom w:space="10"/>
        </w:pBdr>
        <w:spacing w:before="0" w:after="0" w:line="480"/>
        <w:ind w:left="120"/>
        <w:jc w:val="center"/>
      </w:pPr>
      <w:r>
        <w:rPr>
          <w:rFonts w:ascii="Times New Roman" w:hAnsi="Times New Roman"/>
          <w:b w:val="false"/>
          <w:i w:val="false"/>
          <w:color w:val="000000"/>
          <w:sz w:val="16"/>
        </w:rPr>
        <w:t>DISCARDED APPLIANCE DEMANUFACTURING</w:t>
      </w:r>
    </w:p>
    <w:p>
      <w:pPr>
        <w:spacing w:before="0" w:after="0" w:line="480"/>
        <w:ind w:left="120"/>
        <w:jc w:val="both"/>
      </w:pPr>
      <w:r>
        <w:rPr>
          <w:rFonts w:ascii="Times New Roman" w:hAnsi="Times New Roman"/>
          <w:b/>
          <w:i w:val="false"/>
          <w:color w:val="000000"/>
          <w:sz w:val="24"/>
        </w:rPr>
        <w:t>567—102.600</w:t>
      </w:r>
      <w:r>
        <w:rPr>
          <w:rFonts w:ascii="Times New Roman" w:hAnsi="Times New Roman"/>
          <w:b/>
          <w:i w:val="false"/>
          <w:color w:val="000000"/>
          <w:sz w:val="24"/>
        </w:rPr>
        <w:t xml:space="preserve">(455D) </w:t>
      </w:r>
      <w:r>
        <w:rPr>
          <w:rFonts w:ascii="Times New Roman" w:hAnsi="Times New Roman"/>
          <w:b/>
          <w:i w:val="false"/>
          <w:color w:val="000000"/>
          <w:sz w:val="24"/>
        </w:rPr>
        <w:t xml:space="preserve">Purpose; applicability; compliance. </w:t>
      </w:r>
      <w:r>
        <w:rPr>
          <w:rFonts w:ascii="Times New Roman" w:hAnsi="Times New Roman"/>
          <w:b w:val="false"/>
          <w:i w:val="false"/>
          <w:color w:val="000000"/>
          <w:sz w:val="24"/>
        </w:rPr>
        <w:t>This division is to ensure the proper removal and disposal of electrical parts containing polychlorinated biphenyls (PCBs), components containing mercury, and refrigerants (e.g., CFCs and HCFCs) from discarded appliances.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102.600(1)</w:t>
      </w:r>
      <w:r>
        <w:rPr>
          <w:rFonts w:ascii="Times New Roman" w:hAnsi="Times New Roman"/>
          <w:b w:val="false"/>
          <w:i w:val="false"/>
          <w:color w:val="000000"/>
          <w:sz w:val="24"/>
        </w:rPr>
        <w:t> </w:t>
      </w:r>
      <w:r>
        <w:rPr>
          <w:rFonts w:ascii="Times New Roman" w:hAnsi="Times New Roman"/>
          <w:b w:val="false"/>
          <w:i w:val="false"/>
          <w:color w:val="000000"/>
          <w:sz w:val="24"/>
        </w:rPr>
        <w:t>All discarded appliances must be demanufactured pursuant to this division before being disposed of or recycled. This division does not apply to the service, repair, reuse, or rebuilding of appliances or components for their original purpose. These rules do not apply to the removal of capacitors, refrigerants, or components containing mercury during the maintenance or service of equipment containing such items.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102.600(2)</w:t>
      </w:r>
      <w:r>
        <w:rPr>
          <w:rFonts w:ascii="Times New Roman" w:hAnsi="Times New Roman"/>
          <w:b w:val="false"/>
          <w:i w:val="false"/>
          <w:color w:val="000000"/>
          <w:sz w:val="24"/>
        </w:rPr>
        <w:t> </w:t>
      </w:r>
      <w:r>
        <w:rPr>
          <w:rFonts w:ascii="Times New Roman" w:hAnsi="Times New Roman"/>
          <w:b w:val="false"/>
          <w:i w:val="false"/>
          <w:color w:val="000000"/>
          <w:sz w:val="24"/>
        </w:rPr>
        <w:t>Compliance with this division in no way relieves the appliance demanufacturer of the responsibility of complying with all other local, state, or federal statutes, ordinances, and rules and other applicable requirements.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102.600(3)</w:t>
      </w:r>
      <w:r>
        <w:rPr>
          <w:rFonts w:ascii="Times New Roman" w:hAnsi="Times New Roman"/>
          <w:b w:val="false"/>
          <w:i w:val="false"/>
          <w:color w:val="000000"/>
          <w:sz w:val="24"/>
        </w:rPr>
        <w:t> </w:t>
      </w:r>
      <w:r>
        <w:rPr>
          <w:rFonts w:ascii="Times New Roman" w:hAnsi="Times New Roman"/>
          <w:b w:val="false"/>
          <w:i w:val="false"/>
          <w:color w:val="000000"/>
          <w:sz w:val="24"/>
        </w:rPr>
        <w:t>All rules, standards, technical guidance, and other similar legal or technical documents referenced in this division shall be the version of those documents in effect on August 1, 2025, unless otherwise noted in these rules, and except for references to the Iowa Code and Iowa Administrative Code, which shall always be the most recent version unless otherwise noted in these rules.</w:t>
      </w:r>
    </w:p>
    <w:p>
      <w:pPr>
        <w:spacing w:before="210" w:after="0" w:line="480"/>
        <w:ind w:left="120"/>
        <w:jc w:val="both"/>
      </w:pPr>
      <w:r>
        <w:rPr>
          <w:rFonts w:ascii="Times New Roman" w:hAnsi="Times New Roman"/>
          <w:b/>
          <w:i w:val="false"/>
          <w:color w:val="000000"/>
          <w:sz w:val="24"/>
        </w:rPr>
        <w:t>567—102.601</w:t>
      </w:r>
      <w:r>
        <w:rPr>
          <w:rFonts w:ascii="Times New Roman" w:hAnsi="Times New Roman"/>
          <w:b/>
          <w:i w:val="false"/>
          <w:color w:val="000000"/>
          <w:sz w:val="24"/>
        </w:rPr>
        <w:t xml:space="preserve">(455B,455D) </w:t>
      </w:r>
      <w:r>
        <w:rPr>
          <w:rFonts w:ascii="Times New Roman" w:hAnsi="Times New Roman"/>
          <w:b/>
          <w:i w:val="false"/>
          <w:color w:val="000000"/>
          <w:sz w:val="24"/>
        </w:rPr>
        <w:t xml:space="preserve">Definitions. </w:t>
      </w:r>
      <w:r>
        <w:rPr>
          <w:rFonts w:ascii="Times New Roman" w:hAnsi="Times New Roman"/>
          <w:b w:val="false"/>
          <w:i w:val="false"/>
          <w:color w:val="000000"/>
          <w:sz w:val="24"/>
        </w:rPr>
        <w:t xml:space="preserve">The definitions in Iowa Code section </w:t>
      </w:r>
      <w:hyperlink r:id="rId239">
        <w:r>
          <w:rPr>
            <w:rStyle w:val="Hyperlink"/>
            <w:rFonts w:ascii="Times New Roman" w:hAnsi="Times New Roman"/>
            <w:b w:val="false"/>
            <w:i w:val="false"/>
            <w:color w:val="000000"/>
            <w:sz w:val="24"/>
          </w:rPr>
          <w:t>455B.301</w:t>
        </w:r>
      </w:hyperlink>
      <w:r>
        <w:rPr>
          <w:rFonts w:ascii="Times New Roman" w:hAnsi="Times New Roman"/>
          <w:b w:val="false"/>
          <w:i w:val="false"/>
          <w:color w:val="000000"/>
          <w:sz w:val="24"/>
        </w:rPr>
        <w:t xml:space="preserve"> and </w:t>
      </w:r>
      <w:hyperlink r:id="rId240">
        <w:r>
          <w:rPr>
            <w:rStyle w:val="Hyperlink"/>
            <w:rFonts w:ascii="Times New Roman" w:hAnsi="Times New Roman"/>
            <w:b w:val="false"/>
            <w:i w:val="false"/>
            <w:color w:val="000000"/>
            <w:sz w:val="24"/>
          </w:rPr>
          <w:t>567—Chapter 100</w:t>
        </w:r>
      </w:hyperlink>
      <w:r>
        <w:rPr>
          <w:rFonts w:ascii="Times New Roman" w:hAnsi="Times New Roman"/>
          <w:b w:val="false"/>
          <w:i w:val="false"/>
          <w:color w:val="000000"/>
          <w:sz w:val="24"/>
        </w:rPr>
        <w:t xml:space="preserve"> apply to this division.</w:t>
      </w:r>
    </w:p>
    <w:p>
      <w:pPr>
        <w:spacing w:before="0" w:after="0" w:line="480"/>
        <w:ind w:left="120"/>
        <w:jc w:val="both"/>
      </w:pPr>
      <w:r>
        <w:rPr>
          <w:rFonts w:ascii="Times New Roman" w:hAnsi="Times New Roman"/>
          <w:b/>
          <w:i w:val="false"/>
          <w:color w:val="000000"/>
          <w:sz w:val="24"/>
        </w:rPr>
        <w:t>567—102.602</w:t>
      </w:r>
      <w:r>
        <w:rPr>
          <w:rFonts w:ascii="Times New Roman" w:hAnsi="Times New Roman"/>
          <w:b/>
          <w:i w:val="false"/>
          <w:color w:val="000000"/>
          <w:sz w:val="24"/>
        </w:rPr>
        <w:t xml:space="preserve">(455D) </w:t>
      </w:r>
      <w:r>
        <w:rPr>
          <w:rFonts w:ascii="Times New Roman" w:hAnsi="Times New Roman"/>
          <w:b/>
          <w:i w:val="false"/>
          <w:color w:val="000000"/>
          <w:sz w:val="24"/>
        </w:rPr>
        <w:t xml:space="preserve">Storage and handling of appliances prior to demanufacturing.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102.602(1)</w:t>
      </w:r>
      <w:r>
        <w:rPr>
          <w:rFonts w:ascii="Times New Roman" w:hAnsi="Times New Roman"/>
          <w:b w:val="false"/>
          <w:i w:val="false"/>
          <w:color w:val="000000"/>
          <w:sz w:val="24"/>
        </w:rPr>
        <w:t> </w:t>
      </w:r>
      <w:r>
        <w:rPr>
          <w:rFonts w:ascii="Times New Roman" w:hAnsi="Times New Roman"/>
          <w:b w:val="false"/>
          <w:i w:val="false"/>
          <w:color w:val="000000"/>
          <w:sz w:val="24"/>
        </w:rPr>
        <w:t>Any person collecting and storing discarded appliances must store the appliances so as to prevent electrical capacitors, refrigerant lines and compressors, and mercury-containing components from being damaged and allowing a release into the environment.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102.602(2)</w:t>
      </w:r>
      <w:r>
        <w:rPr>
          <w:rFonts w:ascii="Times New Roman" w:hAnsi="Times New Roman"/>
          <w:b w:val="false"/>
          <w:i w:val="false"/>
          <w:color w:val="000000"/>
          <w:sz w:val="24"/>
        </w:rPr>
        <w:t> </w:t>
      </w:r>
      <w:r>
        <w:rPr>
          <w:rFonts w:ascii="Times New Roman" w:hAnsi="Times New Roman"/>
          <w:b w:val="false"/>
          <w:i w:val="false"/>
          <w:color w:val="000000"/>
          <w:sz w:val="24"/>
        </w:rPr>
        <w:t>No method of handling discarded appliances may be used that in any way damages, cuts, or breaks refrigerant lines; crushes compressors, capacitors, or mercury-containing components; or may cause a release of refrigerant, PCBs, or mercury into the environment.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102.602(3)</w:t>
      </w:r>
      <w:r>
        <w:rPr>
          <w:rFonts w:ascii="Times New Roman" w:hAnsi="Times New Roman"/>
          <w:b w:val="false"/>
          <w:i w:val="false"/>
          <w:color w:val="000000"/>
          <w:sz w:val="24"/>
        </w:rPr>
        <w:t> </w:t>
      </w:r>
      <w:r>
        <w:rPr>
          <w:rFonts w:ascii="Times New Roman" w:hAnsi="Times New Roman"/>
          <w:b w:val="false"/>
          <w:i w:val="false"/>
          <w:color w:val="000000"/>
          <w:sz w:val="24"/>
        </w:rPr>
        <w:t>No more than 1,000 discarded appliances may be stored at a location prior to demanufacturing.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102.602(4)</w:t>
      </w:r>
      <w:r>
        <w:rPr>
          <w:rFonts w:ascii="Times New Roman" w:hAnsi="Times New Roman"/>
          <w:b w:val="false"/>
          <w:i w:val="false"/>
          <w:color w:val="000000"/>
          <w:sz w:val="24"/>
        </w:rPr>
        <w:t> </w:t>
      </w:r>
      <w:r>
        <w:rPr>
          <w:rFonts w:ascii="Times New Roman" w:hAnsi="Times New Roman"/>
          <w:b w:val="false"/>
          <w:i w:val="false"/>
          <w:color w:val="000000"/>
          <w:sz w:val="24"/>
        </w:rPr>
        <w:t>Discarded appliances may not be stored for more than 270 days before being demanufactured.</w:t>
      </w:r>
    </w:p>
    <w:p>
      <w:pPr>
        <w:spacing w:before="0" w:after="0" w:line="480"/>
        <w:ind w:left="120"/>
        <w:jc w:val="both"/>
      </w:pPr>
      <w:r>
        <w:rPr>
          <w:rFonts w:ascii="Times New Roman" w:hAnsi="Times New Roman"/>
          <w:b/>
          <w:i w:val="false"/>
          <w:color w:val="000000"/>
          <w:sz w:val="24"/>
        </w:rPr>
        <w:t>567—102.603</w:t>
      </w:r>
      <w:r>
        <w:rPr>
          <w:rFonts w:ascii="Times New Roman" w:hAnsi="Times New Roman"/>
          <w:b/>
          <w:i w:val="false"/>
          <w:color w:val="000000"/>
          <w:sz w:val="24"/>
        </w:rPr>
        <w:t xml:space="preserve">(455D) </w:t>
      </w:r>
      <w:r>
        <w:rPr>
          <w:rFonts w:ascii="Times New Roman" w:hAnsi="Times New Roman"/>
          <w:b/>
          <w:i w:val="false"/>
          <w:color w:val="000000"/>
          <w:sz w:val="24"/>
        </w:rPr>
        <w:t xml:space="preserve">Appliance demanufacturing permits.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102.603(1)</w:t>
      </w:r>
      <w:r>
        <w:rPr>
          <w:rFonts w:ascii="Times New Roman" w:hAnsi="Times New Roman"/>
          <w:b w:val="false"/>
          <w:i w:val="false"/>
          <w:color w:val="000000"/>
          <w:sz w:val="24"/>
        </w:rPr>
        <w:t> </w:t>
      </w:r>
      <w:r>
        <w:rPr>
          <w:rFonts w:ascii="Times New Roman" w:hAnsi="Times New Roman"/>
          <w:b w:val="false"/>
          <w:i/>
          <w:color w:val="000000"/>
          <w:sz w:val="24"/>
        </w:rPr>
        <w:t xml:space="preserve">Permit required. </w:t>
      </w:r>
      <w:r>
        <w:rPr>
          <w:rFonts w:ascii="Times New Roman" w:hAnsi="Times New Roman"/>
          <w:b w:val="false"/>
          <w:i w:val="false"/>
          <w:color w:val="000000"/>
          <w:sz w:val="24"/>
        </w:rPr>
        <w:t xml:space="preserve">A person must obtain a Solid Waste Management permit pursuant to </w:t>
      </w:r>
      <w:hyperlink r:id="rId241">
        <w:r>
          <w:rPr>
            <w:rStyle w:val="Hyperlink"/>
            <w:rFonts w:ascii="Times New Roman" w:hAnsi="Times New Roman"/>
            <w:b w:val="false"/>
            <w:i w:val="false"/>
            <w:color w:val="000000"/>
            <w:sz w:val="24"/>
          </w:rPr>
          <w:t>567—subrule 100.4(2)</w:t>
        </w:r>
      </w:hyperlink>
      <w:r>
        <w:rPr>
          <w:rFonts w:ascii="Times New Roman" w:hAnsi="Times New Roman"/>
          <w:b w:val="false"/>
          <w:i w:val="false"/>
          <w:color w:val="000000"/>
          <w:sz w:val="24"/>
        </w:rPr>
        <w:t xml:space="preserve"> for appliance demanufacturing from the department before conducting any demanufacturing activities.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102.603(2)</w:t>
      </w:r>
      <w:r>
        <w:rPr>
          <w:rFonts w:ascii="Times New Roman" w:hAnsi="Times New Roman"/>
          <w:b w:val="false"/>
          <w:i w:val="false"/>
          <w:color w:val="000000"/>
          <w:sz w:val="24"/>
        </w:rPr>
        <w:t> </w:t>
      </w:r>
      <w:r>
        <w:rPr>
          <w:rFonts w:ascii="Times New Roman" w:hAnsi="Times New Roman"/>
          <w:b w:val="false"/>
          <w:i/>
          <w:color w:val="000000"/>
          <w:sz w:val="24"/>
        </w:rPr>
        <w:t xml:space="preserve">Types of permits.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 person may request a permit that excludes appliances that contain a particular type of material (e.g., refrigerants, sodium chromate, PCBs, or mercury switches). Persons may not demanufacture or place their unique mark on an appliance that once contained a material that is excluded from their permit. An appliance demanufacturing facility must clearly post the types of appliances the facility does not accept.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Permits may be issued for both fixed facilities and mobile operations.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102.603(3)</w:t>
      </w:r>
      <w:r>
        <w:rPr>
          <w:rFonts w:ascii="Times New Roman" w:hAnsi="Times New Roman"/>
          <w:b w:val="false"/>
          <w:i w:val="false"/>
          <w:color w:val="000000"/>
          <w:sz w:val="24"/>
        </w:rPr>
        <w:t> </w:t>
      </w:r>
      <w:r>
        <w:rPr>
          <w:rFonts w:ascii="Times New Roman" w:hAnsi="Times New Roman"/>
          <w:b w:val="false"/>
          <w:i/>
          <w:color w:val="000000"/>
          <w:sz w:val="24"/>
        </w:rPr>
        <w:t xml:space="preserve">Factors in permit issuance decisions. </w:t>
      </w:r>
      <w:r>
        <w:rPr>
          <w:rFonts w:ascii="Times New Roman" w:hAnsi="Times New Roman"/>
          <w:b w:val="false"/>
          <w:i w:val="false"/>
          <w:color w:val="000000"/>
          <w:sz w:val="24"/>
        </w:rPr>
        <w:t xml:space="preserve">The department may request that additional information be submitted for review to make a permit issuance decision. The department may review and inspect the facility, its agents and operators, and compliance history. The department may review whether a good-faith effort to maintain compliance and protect human health and the environment is being made and whether a compliance schedule is being followed. The department may issue a permit on a trial basis. After review of the permit application or a trial period, the department may require financial assurance as a condition of a permit. Any such condition will be consistent with those types detailed in Iowa Code section </w:t>
      </w:r>
      <w:hyperlink r:id="rId242">
        <w:r>
          <w:rPr>
            <w:rStyle w:val="Hyperlink"/>
            <w:rFonts w:ascii="Times New Roman" w:hAnsi="Times New Roman"/>
            <w:b w:val="false"/>
            <w:i w:val="false"/>
            <w:color w:val="000000"/>
            <w:sz w:val="24"/>
          </w:rPr>
          <w:t>455B.301(9)</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567—102.604</w:t>
      </w:r>
      <w:r>
        <w:rPr>
          <w:rFonts w:ascii="Times New Roman" w:hAnsi="Times New Roman"/>
          <w:b/>
          <w:i w:val="false"/>
          <w:color w:val="000000"/>
          <w:sz w:val="24"/>
        </w:rPr>
        <w:t>(</w:t>
      </w:r>
      <w:hyperlink r:id="rId243">
        <w:r>
          <w:rPr>
            <w:rStyle w:val="Hyperlink"/>
            <w:rFonts w:ascii="Times New Roman" w:hAnsi="Times New Roman"/>
            <w:b/>
            <w:i w:val="false"/>
            <w:color w:val="000000"/>
            <w:sz w:val="24"/>
          </w:rPr>
          <w:t>455D</w:t>
        </w:r>
      </w:hyperlink>
      <w:r>
        <w:rPr>
          <w:rFonts w:ascii="Times New Roman" w:hAnsi="Times New Roman"/>
          <w:b/>
          <w:i w:val="false"/>
          <w:color w:val="000000"/>
          <w:sz w:val="24"/>
        </w:rPr>
        <w:t xml:space="preserve">) </w:t>
      </w:r>
      <w:r>
        <w:rPr>
          <w:rFonts w:ascii="Times New Roman" w:hAnsi="Times New Roman"/>
          <w:b/>
          <w:i w:val="false"/>
          <w:color w:val="000000"/>
          <w:sz w:val="24"/>
        </w:rPr>
        <w:t xml:space="preserve">Appliance demanufacturing permit application requirements. </w:t>
      </w:r>
      <w:r>
        <w:rPr>
          <w:rFonts w:ascii="Times New Roman" w:hAnsi="Times New Roman"/>
          <w:b w:val="false"/>
          <w:i w:val="false"/>
          <w:color w:val="000000"/>
          <w:sz w:val="24"/>
        </w:rPr>
        <w:t xml:space="preserve">In addition to the permit application requirements in </w:t>
      </w:r>
      <w:hyperlink r:id="rId244">
        <w:r>
          <w:rPr>
            <w:rStyle w:val="Hyperlink"/>
            <w:rFonts w:ascii="Times New Roman" w:hAnsi="Times New Roman"/>
            <w:b w:val="false"/>
            <w:i w:val="false"/>
            <w:color w:val="000000"/>
            <w:sz w:val="24"/>
          </w:rPr>
          <w:t>567—100.5</w:t>
        </w:r>
      </w:hyperlink>
      <w:r>
        <w:rPr>
          <w:rFonts w:ascii="Times New Roman" w:hAnsi="Times New Roman"/>
          <w:b w:val="false"/>
          <w:i w:val="false"/>
          <w:color w:val="000000"/>
          <w:sz w:val="24"/>
        </w:rPr>
        <w:t>(455B,455D), the applicant shall submit the following:</w:t>
      </w:r>
    </w:p>
    <w:p>
      <w:pPr>
        <w:spacing w:before="0" w:after="0" w:line="480"/>
        <w:ind w:left="120"/>
        <w:jc w:val="both"/>
      </w:pPr>
      <w:r>
        <w:rPr>
          <w:rFonts w:ascii="Times New Roman" w:hAnsi="Times New Roman"/>
          <w:b w:val="false"/>
          <w:i w:val="false"/>
          <w:color w:val="000000"/>
          <w:sz w:val="24"/>
        </w:rPr>
        <w:t>    1.   </w:t>
      </w:r>
      <w:r>
        <w:rPr>
          <w:rFonts w:ascii="Times New Roman" w:hAnsi="Times New Roman"/>
          <w:b w:val="false"/>
          <w:i w:val="false"/>
          <w:color w:val="000000"/>
          <w:sz w:val="24"/>
        </w:rPr>
        <w:t>Type, source and expected number or weight of appliances to be handled per year.</w:t>
      </w:r>
    </w:p>
    <w:p>
      <w:pPr>
        <w:spacing w:before="0" w:after="0" w:line="480"/>
        <w:ind w:left="120"/>
        <w:jc w:val="both"/>
      </w:pPr>
      <w:r>
        <w:rPr>
          <w:rFonts w:ascii="Times New Roman" w:hAnsi="Times New Roman"/>
          <w:b w:val="false"/>
          <w:i w:val="false"/>
          <w:color w:val="000000"/>
          <w:sz w:val="24"/>
        </w:rPr>
        <w:t>    2.   </w:t>
      </w:r>
      <w:r>
        <w:rPr>
          <w:rFonts w:ascii="Times New Roman" w:hAnsi="Times New Roman"/>
          <w:b w:val="false"/>
          <w:i w:val="false"/>
          <w:color w:val="000000"/>
          <w:sz w:val="24"/>
        </w:rPr>
        <w:t>For a fixed facility, schematic site plans of the facility, including the schematic floor plans of any buildings showing where activities will take place and where waste is stored.</w:t>
      </w:r>
    </w:p>
    <w:p>
      <w:pPr>
        <w:spacing w:before="0" w:after="0" w:line="480"/>
        <w:ind w:left="120"/>
        <w:jc w:val="both"/>
      </w:pPr>
      <w:r>
        <w:rPr>
          <w:rFonts w:ascii="Times New Roman" w:hAnsi="Times New Roman"/>
          <w:b w:val="false"/>
          <w:i w:val="false"/>
          <w:color w:val="000000"/>
          <w:sz w:val="24"/>
        </w:rPr>
        <w:t>    3.   </w:t>
      </w:r>
      <w:r>
        <w:rPr>
          <w:rFonts w:ascii="Times New Roman" w:hAnsi="Times New Roman"/>
          <w:b w:val="false"/>
          <w:i w:val="false"/>
          <w:color w:val="000000"/>
          <w:sz w:val="24"/>
        </w:rPr>
        <w:t>For mobile operations, schematic plans, or a description and photographs of the mobile van or trailer.</w:t>
      </w:r>
    </w:p>
    <w:p>
      <w:pPr>
        <w:spacing w:before="0" w:after="0" w:line="480"/>
        <w:ind w:left="120"/>
        <w:jc w:val="both"/>
      </w:pPr>
      <w:r>
        <w:rPr>
          <w:rFonts w:ascii="Times New Roman" w:hAnsi="Times New Roman"/>
          <w:b w:val="false"/>
          <w:i w:val="false"/>
          <w:color w:val="000000"/>
          <w:sz w:val="24"/>
        </w:rPr>
        <w:t>    4.   </w:t>
      </w:r>
      <w:r>
        <w:rPr>
          <w:rFonts w:ascii="Times New Roman" w:hAnsi="Times New Roman"/>
          <w:b w:val="false"/>
          <w:i w:val="false"/>
          <w:color w:val="000000"/>
          <w:sz w:val="24"/>
        </w:rPr>
        <w:t>The EPA-approved refrigerant removal equipment that will be used.</w:t>
      </w:r>
    </w:p>
    <w:p>
      <w:pPr>
        <w:spacing w:before="0" w:after="0" w:line="480"/>
        <w:ind w:left="120"/>
        <w:jc w:val="both"/>
      </w:pPr>
      <w:r>
        <w:rPr>
          <w:rFonts w:ascii="Times New Roman" w:hAnsi="Times New Roman"/>
          <w:b w:val="false"/>
          <w:i w:val="false"/>
          <w:color w:val="000000"/>
          <w:sz w:val="24"/>
        </w:rPr>
        <w:t>    5.   </w:t>
      </w:r>
      <w:r>
        <w:rPr>
          <w:rFonts w:ascii="Times New Roman" w:hAnsi="Times New Roman"/>
          <w:b w:val="false"/>
          <w:i w:val="false"/>
          <w:color w:val="000000"/>
          <w:sz w:val="24"/>
        </w:rPr>
        <w:t>Operation plan: a detailed summary of the activities that will be performed on each type of appliance considered for demanufacturing. This summary must include step-by-step activities of the demanufacturing process.</w:t>
      </w:r>
    </w:p>
    <w:p>
      <w:pPr>
        <w:spacing w:before="0" w:after="0" w:line="480"/>
        <w:ind w:left="120"/>
        <w:jc w:val="both"/>
      </w:pPr>
      <w:r>
        <w:rPr>
          <w:rFonts w:ascii="Times New Roman" w:hAnsi="Times New Roman"/>
          <w:b w:val="false"/>
          <w:i w:val="false"/>
          <w:color w:val="000000"/>
          <w:sz w:val="24"/>
        </w:rPr>
        <w:t>    6.   </w:t>
      </w:r>
      <w:r>
        <w:rPr>
          <w:rFonts w:ascii="Times New Roman" w:hAnsi="Times New Roman"/>
          <w:b w:val="false"/>
          <w:i w:val="false"/>
          <w:color w:val="000000"/>
          <w:sz w:val="24"/>
        </w:rPr>
        <w:t>A contingency plan detailing the specific procedures to be used in case of equipment breakdown or fire, including methods to be used to remove or dispose of accumulated waste.</w:t>
      </w:r>
    </w:p>
    <w:p>
      <w:pPr>
        <w:spacing w:before="0" w:after="0" w:line="480"/>
        <w:ind w:left="120"/>
        <w:jc w:val="both"/>
      </w:pPr>
      <w:r>
        <w:rPr>
          <w:rFonts w:ascii="Times New Roman" w:hAnsi="Times New Roman"/>
          <w:b w:val="false"/>
          <w:i w:val="false"/>
          <w:color w:val="000000"/>
          <w:sz w:val="24"/>
        </w:rPr>
        <w:t>    7.   </w:t>
      </w:r>
      <w:r>
        <w:rPr>
          <w:rFonts w:ascii="Times New Roman" w:hAnsi="Times New Roman"/>
          <w:b w:val="false"/>
          <w:i w:val="false"/>
          <w:color w:val="000000"/>
          <w:sz w:val="24"/>
        </w:rPr>
        <w:t>A copy of the NPDES Stormwater General Permit Authorization number, if applicable.</w:t>
      </w:r>
    </w:p>
    <w:p>
      <w:pPr>
        <w:spacing w:before="0" w:after="0" w:line="480"/>
        <w:ind w:left="120"/>
        <w:jc w:val="both"/>
      </w:pPr>
      <w:r>
        <w:rPr>
          <w:rFonts w:ascii="Times New Roman" w:hAnsi="Times New Roman"/>
          <w:b w:val="false"/>
          <w:i w:val="false"/>
          <w:color w:val="000000"/>
          <w:sz w:val="24"/>
        </w:rPr>
        <w:t>    8.   </w:t>
      </w:r>
      <w:r>
        <w:rPr>
          <w:rFonts w:ascii="Times New Roman" w:hAnsi="Times New Roman"/>
          <w:b w:val="false"/>
          <w:i w:val="false"/>
          <w:color w:val="000000"/>
          <w:sz w:val="24"/>
        </w:rPr>
        <w:t>A copy of EPA Notification of PCB Activity Form 7710-53 and a return response from EPA.</w:t>
      </w:r>
    </w:p>
    <w:p>
      <w:pPr>
        <w:spacing w:before="0" w:after="0" w:line="480"/>
        <w:ind w:left="120"/>
        <w:jc w:val="both"/>
      </w:pPr>
      <w:r>
        <w:rPr>
          <w:rFonts w:ascii="Times New Roman" w:hAnsi="Times New Roman"/>
          <w:b w:val="false"/>
          <w:i w:val="false"/>
          <w:color w:val="000000"/>
          <w:sz w:val="24"/>
        </w:rPr>
        <w:t>    9.   </w:t>
      </w:r>
      <w:r>
        <w:rPr>
          <w:rFonts w:ascii="Times New Roman" w:hAnsi="Times New Roman"/>
          <w:b w:val="false"/>
          <w:i w:val="false"/>
          <w:color w:val="000000"/>
          <w:sz w:val="24"/>
        </w:rPr>
        <w:t xml:space="preserve">Documentation showing compliance with </w:t>
      </w:r>
      <w:hyperlink r:id="rId245">
        <w:r>
          <w:rPr>
            <w:rStyle w:val="Hyperlink"/>
            <w:rFonts w:ascii="Times New Roman" w:hAnsi="Times New Roman"/>
            <w:b w:val="false"/>
            <w:i w:val="false"/>
            <w:color w:val="000000"/>
            <w:sz w:val="24"/>
          </w:rPr>
          <w:t>567—102.606</w:t>
        </w:r>
      </w:hyperlink>
      <w:r>
        <w:rPr>
          <w:rFonts w:ascii="Times New Roman" w:hAnsi="Times New Roman"/>
          <w:b w:val="false"/>
          <w:i w:val="false"/>
          <w:color w:val="000000"/>
          <w:sz w:val="24"/>
        </w:rPr>
        <w:t>(455D).</w:t>
      </w:r>
    </w:p>
    <w:p>
      <w:pPr>
        <w:spacing w:before="0" w:after="0" w:line="480"/>
        <w:ind w:left="120"/>
        <w:jc w:val="both"/>
      </w:pPr>
      <w:r>
        <w:rPr>
          <w:rFonts w:ascii="Times New Roman" w:hAnsi="Times New Roman"/>
          <w:b w:val="false"/>
          <w:i w:val="false"/>
          <w:color w:val="000000"/>
          <w:sz w:val="24"/>
        </w:rPr>
        <w:t>    10.   </w:t>
      </w:r>
      <w:r>
        <w:rPr>
          <w:rFonts w:ascii="Times New Roman" w:hAnsi="Times New Roman"/>
          <w:b w:val="false"/>
          <w:i w:val="false"/>
          <w:color w:val="000000"/>
          <w:sz w:val="24"/>
        </w:rPr>
        <w:t>A copy of the unique mark to be applied to each discarded appliance after demanufacturing.</w:t>
      </w:r>
    </w:p>
    <w:p>
      <w:pPr>
        <w:spacing w:before="0" w:after="0" w:line="480"/>
        <w:ind w:left="120"/>
        <w:jc w:val="both"/>
      </w:pPr>
      <w:r>
        <w:rPr>
          <w:rFonts w:ascii="Times New Roman" w:hAnsi="Times New Roman"/>
          <w:b w:val="false"/>
          <w:i w:val="false"/>
          <w:color w:val="000000"/>
          <w:sz w:val="24"/>
        </w:rPr>
        <w:t>    11.   </w:t>
      </w:r>
      <w:r>
        <w:rPr>
          <w:rFonts w:ascii="Times New Roman" w:hAnsi="Times New Roman"/>
          <w:b w:val="false"/>
          <w:i w:val="false"/>
          <w:color w:val="000000"/>
          <w:sz w:val="24"/>
        </w:rPr>
        <w:t>Documentation that a permanent appliance demanufacturing facility meets local zoning requirements.</w:t>
      </w:r>
    </w:p>
    <w:p>
      <w:pPr>
        <w:spacing w:before="0" w:after="0" w:line="480"/>
        <w:ind w:left="120"/>
        <w:jc w:val="both"/>
      </w:pPr>
      <w:r>
        <w:rPr>
          <w:rFonts w:ascii="Times New Roman" w:hAnsi="Times New Roman"/>
          <w:b/>
          <w:i w:val="false"/>
          <w:color w:val="000000"/>
          <w:sz w:val="24"/>
        </w:rPr>
        <w:t>567—102.605</w:t>
      </w:r>
      <w:r>
        <w:rPr>
          <w:rFonts w:ascii="Times New Roman" w:hAnsi="Times New Roman"/>
          <w:b/>
          <w:i w:val="false"/>
          <w:color w:val="000000"/>
          <w:sz w:val="24"/>
        </w:rPr>
        <w:t xml:space="preserve">(455D) </w:t>
      </w:r>
      <w:r>
        <w:rPr>
          <w:rFonts w:ascii="Times New Roman" w:hAnsi="Times New Roman"/>
          <w:b/>
          <w:i w:val="false"/>
          <w:color w:val="000000"/>
          <w:sz w:val="24"/>
        </w:rPr>
        <w:t xml:space="preserve">Operations. </w:t>
      </w:r>
      <w:r>
        <w:rPr>
          <w:rFonts w:ascii="Times New Roman" w:hAnsi="Times New Roman"/>
          <w:b w:val="false"/>
          <w:i w:val="false"/>
          <w:color w:val="000000"/>
          <w:sz w:val="24"/>
        </w:rPr>
        <w:t>The following removal and disposal requirements must be met by both fixed facilities and mobile operations.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102.605(1)</w:t>
      </w:r>
      <w:r>
        <w:rPr>
          <w:rFonts w:ascii="Times New Roman" w:hAnsi="Times New Roman"/>
          <w:b w:val="false"/>
          <w:i w:val="false"/>
          <w:color w:val="000000"/>
          <w:sz w:val="24"/>
        </w:rPr>
        <w:t> </w:t>
      </w:r>
      <w:r>
        <w:rPr>
          <w:rFonts w:ascii="Times New Roman" w:hAnsi="Times New Roman"/>
          <w:b w:val="false"/>
          <w:i w:val="false"/>
          <w:color w:val="000000"/>
          <w:sz w:val="24"/>
        </w:rPr>
        <w:t>Demanufacturing of appliances must take place on an impervious floor, including but not limited to concrete, ceramic tile, or metal, but not including wood. Any spills must be contained and picked up with proper equipment and procedures and be disposed of properly.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102.605(2)</w:t>
      </w:r>
      <w:r>
        <w:rPr>
          <w:rFonts w:ascii="Times New Roman" w:hAnsi="Times New Roman"/>
          <w:b w:val="false"/>
          <w:i w:val="false"/>
          <w:color w:val="000000"/>
          <w:sz w:val="24"/>
        </w:rPr>
        <w:t> </w:t>
      </w:r>
      <w:r>
        <w:rPr>
          <w:rFonts w:ascii="Times New Roman" w:hAnsi="Times New Roman"/>
          <w:b w:val="false"/>
          <w:i w:val="false"/>
          <w:color w:val="000000"/>
          <w:sz w:val="24"/>
        </w:rPr>
        <w:t>The point of demanufacturing must be located at least 50 feet from a well and any water of the state.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102.605(3)</w:t>
      </w:r>
      <w:r>
        <w:rPr>
          <w:rFonts w:ascii="Times New Roman" w:hAnsi="Times New Roman"/>
          <w:b w:val="false"/>
          <w:i w:val="false"/>
          <w:color w:val="000000"/>
          <w:sz w:val="24"/>
        </w:rPr>
        <w:t> </w:t>
      </w:r>
      <w:r>
        <w:rPr>
          <w:rFonts w:ascii="Times New Roman" w:hAnsi="Times New Roman"/>
          <w:b w:val="false"/>
          <w:i w:val="false"/>
          <w:color w:val="000000"/>
          <w:sz w:val="24"/>
        </w:rPr>
        <w:t>The facility must be located above the 100-year floodwater elevation.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102.605(4)</w:t>
      </w:r>
      <w:r>
        <w:rPr>
          <w:rFonts w:ascii="Times New Roman" w:hAnsi="Times New Roman"/>
          <w:b w:val="false"/>
          <w:i w:val="false"/>
          <w:color w:val="000000"/>
          <w:sz w:val="24"/>
        </w:rPr>
        <w:t> </w:t>
      </w:r>
      <w:r>
        <w:rPr>
          <w:rFonts w:ascii="Times New Roman" w:hAnsi="Times New Roman"/>
          <w:b w:val="false"/>
          <w:i w:val="false"/>
          <w:color w:val="000000"/>
          <w:sz w:val="24"/>
        </w:rPr>
        <w:t>A permanent facility must meet local zoning requirements.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102.605(5)</w:t>
      </w:r>
      <w:r>
        <w:rPr>
          <w:rFonts w:ascii="Times New Roman" w:hAnsi="Times New Roman"/>
          <w:b w:val="false"/>
          <w:i w:val="false"/>
          <w:color w:val="000000"/>
          <w:sz w:val="24"/>
        </w:rPr>
        <w:t> </w:t>
      </w:r>
      <w:r>
        <w:rPr>
          <w:rFonts w:ascii="Times New Roman" w:hAnsi="Times New Roman"/>
          <w:b w:val="false"/>
          <w:i w:val="false"/>
          <w:color w:val="000000"/>
          <w:sz w:val="24"/>
        </w:rPr>
        <w:t>Every operation must have a unique mark that signifies all refrigerants, PCB-containing articles, and mercury-containing components have been removed. The unique mark must be a minimum of nine inches by nine inches. The unique mark must be applied to appliances after demanufacturing.</w:t>
      </w:r>
    </w:p>
    <w:p>
      <w:pPr>
        <w:spacing w:before="0" w:after="0" w:line="480"/>
        <w:ind w:left="120"/>
        <w:jc w:val="both"/>
      </w:pPr>
      <w:r>
        <w:rPr>
          <w:rFonts w:ascii="Times New Roman" w:hAnsi="Times New Roman"/>
          <w:b/>
          <w:i w:val="false"/>
          <w:color w:val="000000"/>
          <w:sz w:val="24"/>
        </w:rPr>
        <w:t>567—102.606</w:t>
      </w:r>
      <w:r>
        <w:rPr>
          <w:rFonts w:ascii="Times New Roman" w:hAnsi="Times New Roman"/>
          <w:b/>
          <w:i w:val="false"/>
          <w:color w:val="000000"/>
          <w:sz w:val="24"/>
        </w:rPr>
        <w:t xml:space="preserve">(455D) </w:t>
      </w:r>
      <w:r>
        <w:rPr>
          <w:rFonts w:ascii="Times New Roman" w:hAnsi="Times New Roman"/>
          <w:b/>
          <w:i w:val="false"/>
          <w:color w:val="000000"/>
          <w:sz w:val="24"/>
        </w:rPr>
        <w:t xml:space="preserve">Training.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102.606(1)</w:t>
      </w:r>
      <w:r>
        <w:rPr>
          <w:rFonts w:ascii="Times New Roman" w:hAnsi="Times New Roman"/>
          <w:b w:val="false"/>
          <w:i w:val="false"/>
          <w:color w:val="000000"/>
          <w:sz w:val="24"/>
        </w:rPr>
        <w:t> </w:t>
      </w:r>
      <w:r>
        <w:rPr>
          <w:rFonts w:ascii="Times New Roman" w:hAnsi="Times New Roman"/>
          <w:b w:val="false"/>
          <w:i w:val="false"/>
          <w:color w:val="000000"/>
          <w:sz w:val="24"/>
        </w:rPr>
        <w:t>At least one owner or employee of an appliance demanufacturing facility must have a training certificate from a department-approved demanufacturer training course. A person who has completed the department-approved training course must be on site at all times when discarded appliances are being demanufactured.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102.606(2)</w:t>
      </w:r>
      <w:r>
        <w:rPr>
          <w:rFonts w:ascii="Times New Roman" w:hAnsi="Times New Roman"/>
          <w:b w:val="false"/>
          <w:i w:val="false"/>
          <w:color w:val="000000"/>
          <w:sz w:val="24"/>
        </w:rPr>
        <w:t> </w:t>
      </w:r>
      <w:r>
        <w:rPr>
          <w:rFonts w:ascii="Times New Roman" w:hAnsi="Times New Roman"/>
          <w:b w:val="false"/>
          <w:i w:val="false"/>
          <w:color w:val="000000"/>
          <w:sz w:val="24"/>
        </w:rPr>
        <w:t>To be approved by the department, the training must, at a minimum, cover the following topics.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State and federal regulations for the removal, storage, transportation, and disposal of refrigerant, PCB-containing articles, and mercury-containing components from appliances.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Recordkeeping requirements.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Safety precautions for handling appliances and hazardous materials.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Spill prevention and cleanup procedures appropriate for appliance demanufacturing.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The proper methods of loading and unloading discarded appliances.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General demanufacturing procedures.</w:t>
      </w:r>
    </w:p>
    <w:p>
      <w:pPr>
        <w:spacing w:before="0" w:after="0" w:line="480"/>
        <w:ind w:left="120"/>
        <w:jc w:val="both"/>
      </w:pPr>
      <w:r>
        <w:rPr>
          <w:rFonts w:ascii="Times New Roman" w:hAnsi="Times New Roman"/>
          <w:b/>
          <w:i w:val="false"/>
          <w:color w:val="000000"/>
          <w:sz w:val="24"/>
        </w:rPr>
        <w:t>567—102.607</w:t>
      </w:r>
      <w:r>
        <w:rPr>
          <w:rFonts w:ascii="Times New Roman" w:hAnsi="Times New Roman"/>
          <w:b/>
          <w:i w:val="false"/>
          <w:color w:val="000000"/>
          <w:sz w:val="24"/>
        </w:rPr>
        <w:t xml:space="preserve">(455D) </w:t>
      </w:r>
      <w:r>
        <w:rPr>
          <w:rFonts w:ascii="Times New Roman" w:hAnsi="Times New Roman"/>
          <w:b/>
          <w:i w:val="false"/>
          <w:color w:val="000000"/>
          <w:sz w:val="24"/>
        </w:rPr>
        <w:t xml:space="preserve">Refrigerant removal requirements.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102.607(1)</w:t>
      </w:r>
      <w:r>
        <w:rPr>
          <w:rFonts w:ascii="Times New Roman" w:hAnsi="Times New Roman"/>
          <w:b w:val="false"/>
          <w:i w:val="false"/>
          <w:color w:val="000000"/>
          <w:sz w:val="24"/>
        </w:rPr>
        <w:t> </w:t>
      </w:r>
      <w:r>
        <w:rPr>
          <w:rFonts w:ascii="Times New Roman" w:hAnsi="Times New Roman"/>
          <w:b w:val="false"/>
          <w:i w:val="false"/>
          <w:color w:val="000000"/>
          <w:sz w:val="24"/>
        </w:rPr>
        <w:t xml:space="preserve">All demanufacturers of refrigerant containing appliances shall comply with </w:t>
      </w:r>
      <w:r>
        <w:rPr>
          <w:rFonts w:ascii="Times New Roman" w:hAnsi="Times New Roman"/>
          <w:b w:val="false"/>
          <w:i w:val="false"/>
          <w:color w:val="000000"/>
          <w:sz w:val="24"/>
        </w:rPr>
        <w:t>40 CFR 82.155</w:t>
      </w:r>
      <w:r>
        <w:rPr>
          <w:rFonts w:ascii="Times New Roman" w:hAnsi="Times New Roman"/>
          <w:b w:val="false"/>
          <w:i w:val="false"/>
          <w:color w:val="000000"/>
          <w:sz w:val="24"/>
        </w:rPr>
        <w:t xml:space="preserve"> as amended March 7, 2025.</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102.607(2)</w:t>
      </w:r>
      <w:r>
        <w:rPr>
          <w:rFonts w:ascii="Times New Roman" w:hAnsi="Times New Roman"/>
          <w:b w:val="false"/>
          <w:i w:val="false"/>
          <w:color w:val="000000"/>
          <w:sz w:val="24"/>
        </w:rPr>
        <w:t> </w:t>
      </w:r>
      <w:r>
        <w:rPr>
          <w:rFonts w:ascii="Times New Roman" w:hAnsi="Times New Roman"/>
          <w:b w:val="false"/>
          <w:i w:val="false"/>
          <w:color w:val="000000"/>
          <w:sz w:val="24"/>
        </w:rPr>
        <w:t>The removal of refrigerant from refrigeration appliances must take place in an area where the temperature of the surrounding air and of the appliance being demanufactured is 45°F or greater.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102.607(3)</w:t>
      </w:r>
      <w:r>
        <w:rPr>
          <w:rFonts w:ascii="Times New Roman" w:hAnsi="Times New Roman"/>
          <w:b w:val="false"/>
          <w:i w:val="false"/>
          <w:color w:val="000000"/>
          <w:sz w:val="24"/>
        </w:rPr>
        <w:t> </w:t>
      </w:r>
      <w:r>
        <w:rPr>
          <w:rFonts w:ascii="Times New Roman" w:hAnsi="Times New Roman"/>
          <w:b w:val="false"/>
          <w:i w:val="false"/>
          <w:color w:val="000000"/>
          <w:sz w:val="24"/>
        </w:rPr>
        <w:t>Facilities that are not EPA-certified refrigerant reclaimers must transport recovered refrigerant to an EPA-certified reclamation facility or properly dispose of the refrigerant at an EPA-permitted facility. Reclamation may take place on site only if the appliance demanufacturing facility is certified as a reclaimer by the EPA.</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102.607(4)</w:t>
      </w:r>
      <w:r>
        <w:rPr>
          <w:rFonts w:ascii="Times New Roman" w:hAnsi="Times New Roman"/>
          <w:b w:val="false"/>
          <w:i w:val="false"/>
          <w:color w:val="000000"/>
          <w:sz w:val="24"/>
        </w:rPr>
        <w:t> </w:t>
      </w:r>
      <w:r>
        <w:rPr>
          <w:rFonts w:ascii="Times New Roman" w:hAnsi="Times New Roman"/>
          <w:b w:val="false"/>
          <w:i w:val="false"/>
          <w:color w:val="000000"/>
          <w:sz w:val="24"/>
        </w:rPr>
        <w:t>The following rules apply to the demanufacturing of appliances containing compressor oil.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Compressor oil from refrigeration unit compressors may be removed during the demanufacturing process, and any oil removed must be stored in accordance with </w:t>
      </w:r>
      <w:r>
        <w:rPr>
          <w:rFonts w:ascii="Times New Roman" w:hAnsi="Times New Roman"/>
          <w:b w:val="false"/>
          <w:i w:val="false"/>
          <w:color w:val="000000"/>
          <w:sz w:val="24"/>
        </w:rPr>
        <w:t>40 CFR 279.22</w:t>
      </w:r>
      <w:r>
        <w:rPr>
          <w:rFonts w:ascii="Times New Roman" w:hAnsi="Times New Roman"/>
          <w:b w:val="false"/>
          <w:i w:val="false"/>
          <w:color w:val="000000"/>
          <w:sz w:val="24"/>
        </w:rPr>
        <w:t xml:space="preserve"> as amended March 3, 2025.</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Compressor oil is not hazardous and may be burned in used oil-fired space heaters, provided the heaters have a capacity of 0.5 British thermal units (BTUs) per hour or more.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Compressor oil may be sold to a marketer of used oil.</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102.607(5)</w:t>
      </w:r>
      <w:r>
        <w:rPr>
          <w:rFonts w:ascii="Times New Roman" w:hAnsi="Times New Roman"/>
          <w:b w:val="false"/>
          <w:i w:val="false"/>
          <w:color w:val="000000"/>
          <w:sz w:val="24"/>
        </w:rPr>
        <w:t> </w:t>
      </w:r>
      <w:r>
        <w:rPr>
          <w:rFonts w:ascii="Times New Roman" w:hAnsi="Times New Roman"/>
          <w:b w:val="false"/>
          <w:i w:val="false"/>
          <w:color w:val="000000"/>
          <w:sz w:val="24"/>
        </w:rPr>
        <w:t>The following rules apply to the demanufacturing of ammonia gas-operated refrigerators and air conditioners.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Ammonia gas must be vented into water.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Sodium chromate must be removed from refrigeration equipment containing sodium chromate.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Sodium chromate liquid is a hazardous waste and must be disposed of at an EPA-permitted facility.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Removal of sodium chromate liquid must take place on an impervious surface. In case of a spill, the spilled liquid and the material used as absorbent must be handled as a hazardous waste and disposed of as a hazardous waste.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 xml:space="preserve">Sodium chromate must be stored in a department of transportation-approved (DOT-approved) container that shows no sign of damage. The container must be labeled with a proper EPA-approved chromium label stating “chromium” or “hazardous waste” as required by </w:t>
      </w:r>
      <w:r>
        <w:rPr>
          <w:rFonts w:ascii="Times New Roman" w:hAnsi="Times New Roman"/>
          <w:b w:val="false"/>
          <w:i w:val="false"/>
          <w:color w:val="000000"/>
          <w:sz w:val="24"/>
        </w:rPr>
        <w:t>40 CFR 262.32</w:t>
      </w:r>
      <w:r>
        <w:rPr>
          <w:rFonts w:ascii="Times New Roman" w:hAnsi="Times New Roman"/>
          <w:b w:val="false"/>
          <w:i w:val="false"/>
          <w:color w:val="000000"/>
          <w:sz w:val="24"/>
        </w:rPr>
        <w:t xml:space="preserve"> as amended March 3, 2025, and </w:t>
      </w:r>
      <w:r>
        <w:rPr>
          <w:rFonts w:ascii="Times New Roman" w:hAnsi="Times New Roman"/>
          <w:b w:val="false"/>
          <w:i w:val="false"/>
          <w:color w:val="000000"/>
          <w:sz w:val="24"/>
        </w:rPr>
        <w:t>49 CFR 172.304</w:t>
      </w:r>
      <w:r>
        <w:rPr>
          <w:rFonts w:ascii="Times New Roman" w:hAnsi="Times New Roman"/>
          <w:b w:val="false"/>
          <w:i w:val="false"/>
          <w:color w:val="000000"/>
          <w:sz w:val="24"/>
        </w:rPr>
        <w:t xml:space="preserve"> as amended March 3, 2025, in both English and the predominant language of any non-English-reading workers.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Prior to shipment, sodium chromate must be packaged to prevent leakage and all containers must be sealed.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A person generating sodium chromate waste must maintain records to determine if the person is a very small quantity generator (VSQG), small quantity generator (SQG), or large quantity generator (LQG) of hazardous waste.</w:t>
      </w:r>
    </w:p>
    <w:p>
      <w:pPr>
        <w:spacing w:before="0" w:after="0" w:line="480"/>
        <w:ind w:left="120"/>
        <w:jc w:val="both"/>
      </w:pPr>
      <w:r>
        <w:rPr>
          <w:rFonts w:ascii="Times New Roman" w:hAnsi="Times New Roman"/>
          <w:b/>
          <w:i w:val="false"/>
          <w:color w:val="000000"/>
          <w:sz w:val="24"/>
        </w:rPr>
        <w:t>567—102.608</w:t>
      </w:r>
      <w:r>
        <w:rPr>
          <w:rFonts w:ascii="Times New Roman" w:hAnsi="Times New Roman"/>
          <w:b/>
          <w:i w:val="false"/>
          <w:color w:val="000000"/>
          <w:sz w:val="24"/>
        </w:rPr>
        <w:t xml:space="preserve">(455D) </w:t>
      </w:r>
      <w:r>
        <w:rPr>
          <w:rFonts w:ascii="Times New Roman" w:hAnsi="Times New Roman"/>
          <w:b/>
          <w:i w:val="false"/>
          <w:color w:val="000000"/>
          <w:sz w:val="24"/>
        </w:rPr>
        <w:t xml:space="preserve">Mercury-containing component removal and disposal requirements.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102.608(1)</w:t>
      </w:r>
      <w:r>
        <w:rPr>
          <w:rFonts w:ascii="Times New Roman" w:hAnsi="Times New Roman"/>
          <w:b w:val="false"/>
          <w:i w:val="false"/>
          <w:color w:val="000000"/>
          <w:sz w:val="24"/>
        </w:rPr>
        <w:t> </w:t>
      </w:r>
      <w:r>
        <w:rPr>
          <w:rFonts w:ascii="Times New Roman" w:hAnsi="Times New Roman"/>
          <w:b w:val="false"/>
          <w:i w:val="false"/>
          <w:color w:val="000000"/>
          <w:sz w:val="24"/>
        </w:rPr>
        <w:t>All components containing mercury shall be removed from appliances. Precautions shall be taken to prevent breakage of the mercury-containing components and the release of mercury.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102.608(2)</w:t>
      </w:r>
      <w:r>
        <w:rPr>
          <w:rFonts w:ascii="Times New Roman" w:hAnsi="Times New Roman"/>
          <w:b w:val="false"/>
          <w:i w:val="false"/>
          <w:color w:val="000000"/>
          <w:sz w:val="24"/>
        </w:rPr>
        <w:t> </w:t>
      </w:r>
      <w:r>
        <w:rPr>
          <w:rFonts w:ascii="Times New Roman" w:hAnsi="Times New Roman"/>
          <w:b w:val="false"/>
          <w:i w:val="false"/>
          <w:color w:val="000000"/>
          <w:sz w:val="24"/>
        </w:rPr>
        <w:t>All mercury-containing component storage containers must be labeled with the proper EPA-approved mercury label stating: “Universal Waste—Mercury Containing Equipment” or “Waste Mercury-Containing Equipment” or “Used Mercury-Containing Equipment” in both English and the predominant language of any non-English-reading workers.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102.608(3)</w:t>
      </w:r>
      <w:r>
        <w:rPr>
          <w:rFonts w:ascii="Times New Roman" w:hAnsi="Times New Roman"/>
          <w:b w:val="false"/>
          <w:i w:val="false"/>
          <w:color w:val="000000"/>
          <w:sz w:val="24"/>
        </w:rPr>
        <w:t> </w:t>
      </w:r>
      <w:r>
        <w:rPr>
          <w:rFonts w:ascii="Times New Roman" w:hAnsi="Times New Roman"/>
          <w:b w:val="false"/>
          <w:i w:val="false"/>
          <w:color w:val="000000"/>
          <w:sz w:val="24"/>
        </w:rPr>
        <w:t>The date when the first mercury-containing component was placed in the container shall be affixed to the container.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102.608(4)</w:t>
      </w:r>
      <w:r>
        <w:rPr>
          <w:rFonts w:ascii="Times New Roman" w:hAnsi="Times New Roman"/>
          <w:b w:val="false"/>
          <w:i w:val="false"/>
          <w:color w:val="000000"/>
          <w:sz w:val="24"/>
        </w:rPr>
        <w:t> </w:t>
      </w:r>
      <w:r>
        <w:rPr>
          <w:rFonts w:ascii="Times New Roman" w:hAnsi="Times New Roman"/>
          <w:b w:val="false"/>
          <w:i w:val="false"/>
          <w:color w:val="000000"/>
          <w:sz w:val="24"/>
        </w:rPr>
        <w:t>Mercury-containing components may be stored for no longer than one year.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102.608(5)</w:t>
      </w:r>
      <w:r>
        <w:rPr>
          <w:rFonts w:ascii="Times New Roman" w:hAnsi="Times New Roman"/>
          <w:b w:val="false"/>
          <w:i w:val="false"/>
          <w:color w:val="000000"/>
          <w:sz w:val="24"/>
        </w:rPr>
        <w:t> </w:t>
      </w:r>
      <w:r>
        <w:rPr>
          <w:rFonts w:ascii="Times New Roman" w:hAnsi="Times New Roman"/>
          <w:b w:val="false"/>
          <w:i w:val="false"/>
          <w:color w:val="000000"/>
          <w:sz w:val="24"/>
        </w:rPr>
        <w:t>Accumulation of mercury-containing components shall not exceed 5,000 kg (11,025 lbs) at any time.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102.608(6)</w:t>
      </w:r>
      <w:r>
        <w:rPr>
          <w:rFonts w:ascii="Times New Roman" w:hAnsi="Times New Roman"/>
          <w:b w:val="false"/>
          <w:i w:val="false"/>
          <w:color w:val="000000"/>
          <w:sz w:val="24"/>
        </w:rPr>
        <w:t> </w:t>
      </w:r>
      <w:r>
        <w:rPr>
          <w:rFonts w:ascii="Times New Roman" w:hAnsi="Times New Roman"/>
          <w:b w:val="false"/>
          <w:i w:val="false"/>
          <w:color w:val="000000"/>
          <w:sz w:val="24"/>
        </w:rPr>
        <w:t>All mercury containers must be sealed prior to shipment.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102.608(7)</w:t>
      </w:r>
      <w:r>
        <w:rPr>
          <w:rFonts w:ascii="Times New Roman" w:hAnsi="Times New Roman"/>
          <w:b w:val="false"/>
          <w:i w:val="false"/>
          <w:color w:val="000000"/>
          <w:sz w:val="24"/>
        </w:rPr>
        <w:t> </w:t>
      </w:r>
      <w:r>
        <w:rPr>
          <w:rFonts w:ascii="Times New Roman" w:hAnsi="Times New Roman"/>
          <w:b w:val="false"/>
          <w:i w:val="false"/>
          <w:color w:val="000000"/>
          <w:sz w:val="24"/>
        </w:rPr>
        <w:t>All components containing mercury must be disposed of at an EPA-approved mercury recycling/recovery facility.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102.608(8)</w:t>
      </w:r>
      <w:r>
        <w:rPr>
          <w:rFonts w:ascii="Times New Roman" w:hAnsi="Times New Roman"/>
          <w:b w:val="false"/>
          <w:i w:val="false"/>
          <w:color w:val="000000"/>
          <w:sz w:val="24"/>
        </w:rPr>
        <w:t> </w:t>
      </w:r>
      <w:r>
        <w:rPr>
          <w:rFonts w:ascii="Times New Roman" w:hAnsi="Times New Roman"/>
          <w:b w:val="false"/>
          <w:i w:val="false"/>
          <w:color w:val="000000"/>
          <w:sz w:val="24"/>
        </w:rPr>
        <w:t>Fluorescent tubes, lamps, bulbs, and similar items must be placed in a container and packaged to prevent breakage for shipment to an EPA-approved recycler or must be processed in a manner that complies with state and federal regulations.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102.608(9)</w:t>
      </w:r>
      <w:r>
        <w:rPr>
          <w:rFonts w:ascii="Times New Roman" w:hAnsi="Times New Roman"/>
          <w:b w:val="false"/>
          <w:i w:val="false"/>
          <w:color w:val="000000"/>
          <w:sz w:val="24"/>
        </w:rPr>
        <w:t> </w:t>
      </w:r>
      <w:r>
        <w:rPr>
          <w:rFonts w:ascii="Times New Roman" w:hAnsi="Times New Roman"/>
          <w:b w:val="false"/>
          <w:i w:val="false"/>
          <w:color w:val="000000"/>
          <w:sz w:val="24"/>
        </w:rPr>
        <w:t>All mercury-containing components must be managed in accordance with 40 CFR 273 as amended March 3, 2025, and all state and federal regulations.</w:t>
      </w:r>
    </w:p>
    <w:p>
      <w:pPr>
        <w:spacing w:before="0" w:after="0" w:line="480"/>
        <w:ind w:left="120"/>
        <w:jc w:val="both"/>
      </w:pPr>
      <w:r>
        <w:rPr>
          <w:rFonts w:ascii="Times New Roman" w:hAnsi="Times New Roman"/>
          <w:b/>
          <w:i w:val="false"/>
          <w:color w:val="000000"/>
          <w:sz w:val="24"/>
        </w:rPr>
        <w:t>567—102.609</w:t>
      </w:r>
      <w:r>
        <w:rPr>
          <w:rFonts w:ascii="Times New Roman" w:hAnsi="Times New Roman"/>
          <w:b/>
          <w:i w:val="false"/>
          <w:color w:val="000000"/>
          <w:sz w:val="24"/>
        </w:rPr>
        <w:t xml:space="preserve">(455D) </w:t>
      </w:r>
      <w:r>
        <w:rPr>
          <w:rFonts w:ascii="Times New Roman" w:hAnsi="Times New Roman"/>
          <w:b/>
          <w:i w:val="false"/>
          <w:color w:val="000000"/>
          <w:sz w:val="24"/>
        </w:rPr>
        <w:t xml:space="preserve">Capacitor removal requirements.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102.609(1)</w:t>
      </w:r>
      <w:r>
        <w:rPr>
          <w:rFonts w:ascii="Times New Roman" w:hAnsi="Times New Roman"/>
          <w:b w:val="false"/>
          <w:i w:val="false"/>
          <w:color w:val="000000"/>
          <w:sz w:val="24"/>
        </w:rPr>
        <w:t> </w:t>
      </w:r>
      <w:r>
        <w:rPr>
          <w:rFonts w:ascii="Times New Roman" w:hAnsi="Times New Roman"/>
          <w:b w:val="false"/>
          <w:i w:val="false"/>
          <w:color w:val="000000"/>
          <w:sz w:val="24"/>
        </w:rPr>
        <w:t>All capacitors must be removed from discarded appliances unless the appliance manufacturer certifies in writing that no PCBs were used in the manufacture of the appliance.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102.609(2)</w:t>
      </w:r>
      <w:r>
        <w:rPr>
          <w:rFonts w:ascii="Times New Roman" w:hAnsi="Times New Roman"/>
          <w:b w:val="false"/>
          <w:i w:val="false"/>
          <w:color w:val="000000"/>
          <w:sz w:val="24"/>
        </w:rPr>
        <w:t> </w:t>
      </w:r>
      <w:r>
        <w:rPr>
          <w:rFonts w:ascii="Times New Roman" w:hAnsi="Times New Roman"/>
          <w:b w:val="false"/>
          <w:i w:val="false"/>
          <w:color w:val="000000"/>
          <w:sz w:val="24"/>
        </w:rPr>
        <w:t>Capacitors that meet one or more of the following criteria may be disposed of or recycled as solid waste. The capacitor: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Is proven to be free of PCBs by an approved laboratory.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Is imprinted by the manufacturer with the words “No PCBs” on the body of the capacitor.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Is certified in writing by the manufacturer of the capacitor not to contain PCBs.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Does not contain dielectric fluid.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102.609(3)</w:t>
      </w:r>
      <w:r>
        <w:rPr>
          <w:rFonts w:ascii="Times New Roman" w:hAnsi="Times New Roman"/>
          <w:b w:val="false"/>
          <w:i w:val="false"/>
          <w:color w:val="000000"/>
          <w:sz w:val="24"/>
        </w:rPr>
        <w:t> </w:t>
      </w:r>
      <w:r>
        <w:rPr>
          <w:rFonts w:ascii="Times New Roman" w:hAnsi="Times New Roman"/>
          <w:b w:val="false"/>
          <w:i w:val="false"/>
          <w:color w:val="000000"/>
          <w:sz w:val="24"/>
        </w:rPr>
        <w:t>The following rules apply to the storage and disposal of PCB-containing items. PCB-containing items must be stored and transported according to the Toxic Substances Control Act (TSCA) and 40 CFR 761 as amended March 3, 2025, and disposed of at a TSCA-permitted disposal facility. Facilities used for the storage of PCB-containing items designated for disposal must meet the following storage requirements: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Facilities shall register with the EPA and receive an EPA identification number.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PCB-containing items must be stored in a manner that provides adequate protection from the elements and adequate secondary containment. This storage must take place on an impervious material above the 100-year floodwater elevation.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point of demanufacturing must be located above the 100-year floodwater elevation.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All capacitors containing or suspected of containing PCBs must be placed in a DOT-approved container that shows no signs of damage. The bottom of the container must be filled to a depth of two inches with absorbent material such as sand, oil-dry, or kitty litter.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 xml:space="preserve">All DOT-approved containers must be affixed with the large PCB mark as described in </w:t>
      </w:r>
      <w:r>
        <w:rPr>
          <w:rFonts w:ascii="Times New Roman" w:hAnsi="Times New Roman"/>
          <w:b w:val="false"/>
          <w:i w:val="false"/>
          <w:color w:val="000000"/>
          <w:sz w:val="24"/>
        </w:rPr>
        <w:t>40 CFR 761.45</w:t>
      </w:r>
      <w:r>
        <w:rPr>
          <w:rFonts w:ascii="Times New Roman" w:hAnsi="Times New Roman"/>
          <w:b w:val="false"/>
          <w:i w:val="false"/>
          <w:color w:val="000000"/>
          <w:sz w:val="24"/>
        </w:rPr>
        <w:t xml:space="preserve"> as amended March 3, 2025.</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The date when the first PCB-containing item was placed in the container shall be placed on the container.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 xml:space="preserve">Nonleaking small PCB capacitors may be stored for up to 30 days from the date of removal in an area that does not comply with the requirements in </w:t>
      </w:r>
      <w:hyperlink r:id="rId246">
        <w:r>
          <w:rPr>
            <w:rStyle w:val="Hyperlink"/>
            <w:rFonts w:ascii="Times New Roman" w:hAnsi="Times New Roman"/>
            <w:b w:val="false"/>
            <w:i w:val="false"/>
            <w:color w:val="000000"/>
            <w:sz w:val="24"/>
          </w:rPr>
          <w:t>102.609(4)</w:t>
        </w:r>
      </w:hyperlink>
      <w:r>
        <w:rPr>
          <w:rFonts w:ascii="Times New Roman" w:hAnsi="Times New Roman"/>
          <w:b w:val="false"/>
          <w:i/>
          <w:color w:val="000000"/>
          <w:sz w:val="24"/>
        </w:rPr>
        <w:t>“a”</w:t>
      </w:r>
      <w:r>
        <w:rPr>
          <w:rFonts w:ascii="Times New Roman" w:hAnsi="Times New Roman"/>
          <w:b w:val="false"/>
          <w:i w:val="false"/>
          <w:color w:val="000000"/>
          <w:sz w:val="24"/>
        </w:rPr>
        <w:t xml:space="preserve"> through </w:t>
      </w:r>
      <w:r>
        <w:rPr>
          <w:rFonts w:ascii="Times New Roman" w:hAnsi="Times New Roman"/>
          <w:b w:val="false"/>
          <w:i/>
          <w:color w:val="000000"/>
          <w:sz w:val="24"/>
        </w:rPr>
        <w:t>“f”</w:t>
      </w:r>
      <w:r>
        <w:rPr>
          <w:rFonts w:ascii="Times New Roman" w:hAnsi="Times New Roman"/>
          <w:b w:val="false"/>
          <w:i w:val="false"/>
          <w:color w:val="000000"/>
          <w:sz w:val="24"/>
        </w:rPr>
        <w:t xml:space="preserve"> provided a notation is placed on the PCB capacitor indicating the date the item was removed from the appliance.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PCB-containing items may be stored for no more than 270 days. The storage area must be labeled with the PCB M</w:t>
      </w:r>
      <w:r>
        <w:rPr>
          <w:rFonts w:ascii="Times New Roman" w:hAnsi="Times New Roman"/>
          <w:b w:val="false"/>
          <w:i w:val="false"/>
          <w:color w:val="000000"/>
          <w:sz w:val="24"/>
          <w:vertAlign w:val="subscript"/>
        </w:rPr>
        <w:t>L</w:t>
      </w:r>
      <w:r>
        <w:rPr>
          <w:rFonts w:ascii="Times New Roman" w:hAnsi="Times New Roman"/>
          <w:b w:val="false"/>
          <w:i w:val="false"/>
          <w:color w:val="000000"/>
          <w:sz w:val="24"/>
        </w:rPr>
        <w:t>mark. The storage area must be inspected every 30 days, and the inspection must be documented.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w:t>
      </w:r>
      <w:r>
        <w:rPr>
          <w:rFonts w:ascii="Times New Roman" w:hAnsi="Times New Roman"/>
          <w:b w:val="false"/>
          <w:i w:val="false"/>
          <w:color w:val="000000"/>
          <w:sz w:val="24"/>
        </w:rPr>
        <w:t>  </w:t>
      </w:r>
      <w:r>
        <w:rPr>
          <w:rFonts w:ascii="Times New Roman" w:hAnsi="Times New Roman"/>
          <w:b w:val="false"/>
          <w:i w:val="false"/>
          <w:color w:val="000000"/>
          <w:sz w:val="24"/>
        </w:rPr>
        <w:t xml:space="preserve">If a demanufacturer stores more than 45 kg (99.4 lbs) at any one time, the demanufacturer must maintain annual written records and the annual document log as required by </w:t>
      </w:r>
      <w:r>
        <w:rPr>
          <w:rFonts w:ascii="Times New Roman" w:hAnsi="Times New Roman"/>
          <w:b w:val="false"/>
          <w:i w:val="false"/>
          <w:color w:val="000000"/>
          <w:sz w:val="24"/>
        </w:rPr>
        <w:t>40 CFR 761.180</w:t>
      </w:r>
      <w:r>
        <w:rPr>
          <w:rFonts w:ascii="Times New Roman" w:hAnsi="Times New Roman"/>
          <w:b w:val="false"/>
          <w:i w:val="false"/>
          <w:color w:val="000000"/>
          <w:sz w:val="24"/>
        </w:rPr>
        <w:t xml:space="preserve"> as amended March 3, 2025.</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102.609(4)</w:t>
      </w:r>
      <w:r>
        <w:rPr>
          <w:rFonts w:ascii="Times New Roman" w:hAnsi="Times New Roman"/>
          <w:b w:val="false"/>
          <w:i w:val="false"/>
          <w:color w:val="000000"/>
          <w:sz w:val="24"/>
        </w:rPr>
        <w:t> </w:t>
      </w:r>
      <w:r>
        <w:rPr>
          <w:rFonts w:ascii="Times New Roman" w:hAnsi="Times New Roman"/>
          <w:b w:val="false"/>
          <w:i w:val="false"/>
          <w:color w:val="000000"/>
          <w:sz w:val="24"/>
        </w:rPr>
        <w:t xml:space="preserve">All capacitors not meeting the criteria in </w:t>
      </w:r>
      <w:hyperlink r:id="rId247">
        <w:r>
          <w:rPr>
            <w:rStyle w:val="Hyperlink"/>
            <w:rFonts w:ascii="Times New Roman" w:hAnsi="Times New Roman"/>
            <w:b w:val="false"/>
            <w:i w:val="false"/>
            <w:color w:val="000000"/>
            <w:sz w:val="24"/>
          </w:rPr>
          <w:t>102.609(2)</w:t>
        </w:r>
      </w:hyperlink>
      <w:r>
        <w:rPr>
          <w:rFonts w:ascii="Times New Roman" w:hAnsi="Times New Roman"/>
          <w:b w:val="false"/>
          <w:i w:val="false"/>
          <w:color w:val="000000"/>
          <w:sz w:val="24"/>
        </w:rPr>
        <w:t xml:space="preserve"> must be disposed of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Appliance demanufacturers may dispose of PCB capacitors by one of two means. If the facility is a VSQG, the demanufacturer may send the properly marked and dated container of capacitors to a regional collection center (RCC) licensed under </w:t>
      </w:r>
      <w:hyperlink r:id="rId248">
        <w:r>
          <w:rPr>
            <w:rStyle w:val="Hyperlink"/>
            <w:rFonts w:ascii="Times New Roman" w:hAnsi="Times New Roman"/>
            <w:b w:val="false"/>
            <w:i w:val="false"/>
            <w:color w:val="000000"/>
            <w:sz w:val="24"/>
          </w:rPr>
          <w:t>567—Chapter 103</w:t>
        </w:r>
      </w:hyperlink>
      <w:r>
        <w:rPr>
          <w:rFonts w:ascii="Times New Roman" w:hAnsi="Times New Roman"/>
          <w:b w:val="false"/>
          <w:i w:val="false"/>
          <w:color w:val="000000"/>
          <w:sz w:val="24"/>
        </w:rPr>
        <w:t xml:space="preserve"> for disposal. If the facility is not a VSQG, the capacitors must be manifested and shipped for disposal in accordance with </w:t>
      </w:r>
      <w:r>
        <w:rPr>
          <w:rFonts w:ascii="Times New Roman" w:hAnsi="Times New Roman"/>
          <w:b w:val="false"/>
          <w:i w:val="false"/>
          <w:color w:val="000000"/>
          <w:sz w:val="24"/>
        </w:rPr>
        <w:t>40 CFR 761.65</w:t>
      </w:r>
      <w:r>
        <w:rPr>
          <w:rFonts w:ascii="Times New Roman" w:hAnsi="Times New Roman"/>
          <w:b w:val="false"/>
          <w:i w:val="false"/>
          <w:color w:val="000000"/>
          <w:sz w:val="24"/>
        </w:rPr>
        <w:t xml:space="preserve"> as amended March 3, 2025.</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Disposal through an RCC. Shipments from a VSQG to an RCC shall be considered equivalent to disposal as municipal solid waste for the purposes of </w:t>
      </w:r>
      <w:r>
        <w:rPr>
          <w:rFonts w:ascii="Times New Roman" w:hAnsi="Times New Roman"/>
          <w:b w:val="false"/>
          <w:i w:val="false"/>
          <w:color w:val="000000"/>
          <w:sz w:val="24"/>
        </w:rPr>
        <w:t>40 CFR 761.60(b)</w:t>
      </w:r>
      <w:r>
        <w:rPr>
          <w:rFonts w:ascii="Times New Roman" w:hAnsi="Times New Roman"/>
          <w:b w:val="false"/>
          <w:i w:val="false"/>
          <w:color w:val="000000"/>
          <w:sz w:val="24"/>
        </w:rPr>
        <w:t xml:space="preserve">(2)(iii) as amended March 3, 2025; capacitors may not be disposed of in a landfill. An RCC may accept PCB capacitors without having to provide a certificate of disposal. The RCC shall provide the appliance demanufacturer with a receipt specifying the name of the RCC, the appliance demanufacturer from which the capacitors were received, the weight or number of capacitors, and the date the capacitors were received. Copies of this document must be retained for three years at both locations. The date that capacitors are received shall be considered the date the capacitors are determined to be PCB-containing waste for the purposes of </w:t>
      </w:r>
      <w:r>
        <w:rPr>
          <w:rFonts w:ascii="Times New Roman" w:hAnsi="Times New Roman"/>
          <w:b w:val="false"/>
          <w:i w:val="false"/>
          <w:color w:val="000000"/>
          <w:sz w:val="24"/>
        </w:rPr>
        <w:t>40 CFR 761.65(a)</w:t>
      </w:r>
      <w:r>
        <w:rPr>
          <w:rFonts w:ascii="Times New Roman" w:hAnsi="Times New Roman"/>
          <w:b w:val="false"/>
          <w:i w:val="false"/>
          <w:color w:val="000000"/>
          <w:sz w:val="24"/>
        </w:rPr>
        <w:t>(1) as amended March 3, 2025. Capacitors may be consolidated in DOT-approved shipping containers for transport for disposal.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Disposal through EPA-approved facility for the disposal of PCB waste. The labeled and dated DOT-approved container must be transported by a transporter with a valid EPA identification number, using an EPA Uniform Hazardous Waste Manifest Form. All containers must be sealed prior to shipment. The demanufacturer has one year from the date the first PCB-containing item is placed in the container to properly dispose of the contents by incineration, recycling, or another approved method pursuant to </w:t>
      </w:r>
      <w:r>
        <w:rPr>
          <w:rFonts w:ascii="Times New Roman" w:hAnsi="Times New Roman"/>
          <w:b w:val="false"/>
          <w:i w:val="false"/>
          <w:color w:val="000000"/>
          <w:sz w:val="24"/>
        </w:rPr>
        <w:t>40 CFR 761.60(b)</w:t>
      </w:r>
      <w:r>
        <w:rPr>
          <w:rFonts w:ascii="Times New Roman" w:hAnsi="Times New Roman"/>
          <w:b w:val="false"/>
          <w:i w:val="false"/>
          <w:color w:val="000000"/>
          <w:sz w:val="24"/>
        </w:rPr>
        <w:t xml:space="preserve"> as amended March 3, 2025, or 761.60(c) as amended March 3, 2025. Disposal must be documented and the record kept by the demanufacturer for three years from the date the PCB-containing waste was accepted by the initial transporter.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 xml:space="preserve">PCB-containing items shall be properly disposed of within one year of removal from the appliance. The generator shall obtain a certificate of disposal within 30 days of the date that disposal of the PCB-containing items was completed at a PCB disposal facility. If a certificate of disposal is not obtained within 30 days, the EPA regional administrator must be notified pursuant to </w:t>
      </w:r>
      <w:r>
        <w:rPr>
          <w:rFonts w:ascii="Times New Roman" w:hAnsi="Times New Roman"/>
          <w:b w:val="false"/>
          <w:i w:val="false"/>
          <w:color w:val="000000"/>
          <w:sz w:val="24"/>
        </w:rPr>
        <w:t>40 CFR 761.218(d)</w:t>
      </w:r>
      <w:r>
        <w:rPr>
          <w:rFonts w:ascii="Times New Roman" w:hAnsi="Times New Roman"/>
          <w:b w:val="false"/>
          <w:i w:val="false"/>
          <w:color w:val="000000"/>
          <w:sz w:val="24"/>
        </w:rPr>
        <w:t xml:space="preserve"> as amended March 3, 2025.</w:t>
      </w:r>
    </w:p>
    <w:p>
      <w:pPr>
        <w:spacing w:before="0" w:after="0" w:line="480"/>
        <w:ind w:left="120"/>
        <w:jc w:val="both"/>
      </w:pPr>
      <w:r>
        <w:rPr>
          <w:rFonts w:ascii="Times New Roman" w:hAnsi="Times New Roman"/>
          <w:b/>
          <w:i w:val="false"/>
          <w:color w:val="000000"/>
          <w:sz w:val="24"/>
        </w:rPr>
        <w:t>567—102.610</w:t>
      </w:r>
      <w:r>
        <w:rPr>
          <w:rFonts w:ascii="Times New Roman" w:hAnsi="Times New Roman"/>
          <w:b/>
          <w:i w:val="false"/>
          <w:color w:val="000000"/>
          <w:sz w:val="24"/>
        </w:rPr>
        <w:t xml:space="preserve">(455D) </w:t>
      </w:r>
      <w:r>
        <w:rPr>
          <w:rFonts w:ascii="Times New Roman" w:hAnsi="Times New Roman"/>
          <w:b/>
          <w:i w:val="false"/>
          <w:color w:val="000000"/>
          <w:sz w:val="24"/>
        </w:rPr>
        <w:t xml:space="preserve">Spills.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102.610(1)</w:t>
      </w:r>
      <w:r>
        <w:rPr>
          <w:rFonts w:ascii="Times New Roman" w:hAnsi="Times New Roman"/>
          <w:b w:val="false"/>
          <w:i w:val="false"/>
          <w:color w:val="000000"/>
          <w:sz w:val="24"/>
        </w:rPr>
        <w:t> </w:t>
      </w:r>
      <w:r>
        <w:rPr>
          <w:rFonts w:ascii="Times New Roman" w:hAnsi="Times New Roman"/>
          <w:b w:val="false"/>
          <w:i w:val="false"/>
          <w:color w:val="000000"/>
          <w:sz w:val="24"/>
        </w:rPr>
        <w:t xml:space="preserve">Any spills from leaking or cracked capacitors must be handled by placing the capacitor and any contaminated rags, clothing, and soil into a container for shipment to an EPA-approved waste disposal facility. Spills of liquid PCBs that occur outside a DOT-approved container must be cleaned and the cleanup verified by sampling as described at </w:t>
      </w:r>
      <w:r>
        <w:rPr>
          <w:rFonts w:ascii="Times New Roman" w:hAnsi="Times New Roman"/>
          <w:b w:val="false"/>
          <w:i w:val="false"/>
          <w:color w:val="000000"/>
          <w:sz w:val="24"/>
        </w:rPr>
        <w:t>40 CFR 761.130</w:t>
      </w:r>
      <w:r>
        <w:rPr>
          <w:rFonts w:ascii="Times New Roman" w:hAnsi="Times New Roman"/>
          <w:b w:val="false"/>
          <w:i w:val="false"/>
          <w:color w:val="000000"/>
          <w:sz w:val="24"/>
        </w:rPr>
        <w:t xml:space="preserve"> as amended March 3, 2025. Detailed records of such cleanups and sampling must be maintained as described at </w:t>
      </w:r>
      <w:r>
        <w:rPr>
          <w:rFonts w:ascii="Times New Roman" w:hAnsi="Times New Roman"/>
          <w:b w:val="false"/>
          <w:i w:val="false"/>
          <w:color w:val="000000"/>
          <w:sz w:val="24"/>
        </w:rPr>
        <w:t>40 CFR 761.180</w:t>
      </w:r>
      <w:r>
        <w:rPr>
          <w:rFonts w:ascii="Times New Roman" w:hAnsi="Times New Roman"/>
          <w:b w:val="false"/>
          <w:i w:val="false"/>
          <w:color w:val="000000"/>
          <w:sz w:val="24"/>
        </w:rPr>
        <w:t xml:space="preserve"> as amended March 3, 2025.</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102.610(2)</w:t>
      </w:r>
      <w:r>
        <w:rPr>
          <w:rFonts w:ascii="Times New Roman" w:hAnsi="Times New Roman"/>
          <w:b w:val="false"/>
          <w:i w:val="false"/>
          <w:color w:val="000000"/>
          <w:sz w:val="24"/>
        </w:rPr>
        <w:t> </w:t>
      </w:r>
      <w:r>
        <w:rPr>
          <w:rFonts w:ascii="Times New Roman" w:hAnsi="Times New Roman"/>
          <w:b w:val="false"/>
          <w:i w:val="false"/>
          <w:color w:val="000000"/>
          <w:sz w:val="24"/>
        </w:rPr>
        <w:t>Mercury spill kits (with a mercury absorbent in the kits) must be on hand and used in the event of a mercury spill. Any waste from the cleanup of a mercury spill must be disposed of as a hazardous waste.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102.610(3)</w:t>
      </w:r>
      <w:r>
        <w:rPr>
          <w:rFonts w:ascii="Times New Roman" w:hAnsi="Times New Roman"/>
          <w:b w:val="false"/>
          <w:i w:val="false"/>
          <w:color w:val="000000"/>
          <w:sz w:val="24"/>
        </w:rPr>
        <w:t> </w:t>
      </w:r>
      <w:r>
        <w:rPr>
          <w:rFonts w:ascii="Times New Roman" w:hAnsi="Times New Roman"/>
          <w:b w:val="false"/>
          <w:i w:val="false"/>
          <w:color w:val="000000"/>
          <w:sz w:val="24"/>
        </w:rPr>
        <w:t xml:space="preserve">In the event a spill results in a hazardous condition, the facility must follow the requirements in </w:t>
      </w:r>
      <w:hyperlink r:id="rId249">
        <w:r>
          <w:rPr>
            <w:rStyle w:val="Hyperlink"/>
            <w:rFonts w:ascii="Times New Roman" w:hAnsi="Times New Roman"/>
            <w:b w:val="false"/>
            <w:i w:val="false"/>
            <w:color w:val="000000"/>
            <w:sz w:val="24"/>
          </w:rPr>
          <w:t>567—Chapter 105</w:t>
        </w:r>
      </w:hyperlink>
      <w:r>
        <w:rPr>
          <w:rFonts w:ascii="Times New Roman" w:hAnsi="Times New Roman"/>
          <w:b w:val="false"/>
          <w:i w:val="false"/>
          <w:color w:val="000000"/>
          <w:sz w:val="24"/>
        </w:rPr>
        <w:t>, Division I.</w:t>
      </w:r>
    </w:p>
    <w:p>
      <w:pPr>
        <w:spacing w:before="0" w:after="0" w:line="480"/>
        <w:ind w:left="120"/>
        <w:jc w:val="both"/>
      </w:pPr>
      <w:r>
        <w:rPr>
          <w:rFonts w:ascii="Times New Roman" w:hAnsi="Times New Roman"/>
          <w:b/>
          <w:i w:val="false"/>
          <w:color w:val="000000"/>
          <w:sz w:val="24"/>
        </w:rPr>
        <w:t>567—102.611</w:t>
      </w:r>
      <w:r>
        <w:rPr>
          <w:rFonts w:ascii="Times New Roman" w:hAnsi="Times New Roman"/>
          <w:b/>
          <w:i w:val="false"/>
          <w:color w:val="000000"/>
          <w:sz w:val="24"/>
        </w:rPr>
        <w:t xml:space="preserve">(455D) </w:t>
      </w:r>
      <w:r>
        <w:rPr>
          <w:rFonts w:ascii="Times New Roman" w:hAnsi="Times New Roman"/>
          <w:b/>
          <w:i w:val="false"/>
          <w:color w:val="000000"/>
          <w:sz w:val="24"/>
        </w:rPr>
        <w:t xml:space="preserve">Recordkeeping and reporting.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102.611(1)</w:t>
      </w:r>
      <w:r>
        <w:rPr>
          <w:rFonts w:ascii="Times New Roman" w:hAnsi="Times New Roman"/>
          <w:b w:val="false"/>
          <w:i w:val="false"/>
          <w:color w:val="000000"/>
          <w:sz w:val="24"/>
        </w:rPr>
        <w:t> </w:t>
      </w:r>
      <w:r>
        <w:rPr>
          <w:rFonts w:ascii="Times New Roman" w:hAnsi="Times New Roman"/>
          <w:b w:val="false"/>
          <w:i w:val="false"/>
          <w:color w:val="000000"/>
          <w:sz w:val="24"/>
        </w:rPr>
        <w:t xml:space="preserve">Annual reports with the information required in </w:t>
      </w:r>
      <w:hyperlink r:id="rId250">
        <w:r>
          <w:rPr>
            <w:rStyle w:val="Hyperlink"/>
            <w:rFonts w:ascii="Times New Roman" w:hAnsi="Times New Roman"/>
            <w:b w:val="false"/>
            <w:i w:val="false"/>
            <w:color w:val="000000"/>
            <w:sz w:val="24"/>
          </w:rPr>
          <w:t>102.611(2)</w:t>
        </w:r>
      </w:hyperlink>
      <w:r>
        <w:rPr>
          <w:rFonts w:ascii="Times New Roman" w:hAnsi="Times New Roman"/>
          <w:b w:val="false"/>
          <w:i w:val="false"/>
          <w:color w:val="000000"/>
          <w:sz w:val="24"/>
        </w:rPr>
        <w:t xml:space="preserve"> 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To be submitted to the solid waste and contaminated sites section of the department’s main office;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Due January 31 each year for the activities of the previous calendar year;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To be submitted on forms provided by the department;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To be retained by the permit holder for at least three years.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102.611(2)</w:t>
      </w:r>
      <w:r>
        <w:rPr>
          <w:rFonts w:ascii="Times New Roman" w:hAnsi="Times New Roman"/>
          <w:b w:val="false"/>
          <w:i w:val="false"/>
          <w:color w:val="000000"/>
          <w:sz w:val="24"/>
        </w:rPr>
        <w:t> </w:t>
      </w:r>
      <w:r>
        <w:rPr>
          <w:rFonts w:ascii="Times New Roman" w:hAnsi="Times New Roman"/>
          <w:b w:val="false"/>
          <w:i w:val="false"/>
          <w:color w:val="000000"/>
          <w:sz w:val="24"/>
        </w:rPr>
        <w:t>Annual reports shall contain the following information for the previous calendar year.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Number of appliances demanufactured in each of the following categories: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Refrigerators and freezers.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Commercial coolers.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Air-conditioning units.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Dehumidifiers.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Gas water heaters.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Furnaces.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Clothes washers and clothes dryers.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Dishwashers.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(9)</w:t>
      </w:r>
      <w:r>
        <w:rPr>
          <w:rFonts w:ascii="Times New Roman" w:hAnsi="Times New Roman"/>
          <w:b w:val="false"/>
          <w:i w:val="false"/>
          <w:color w:val="000000"/>
          <w:sz w:val="24"/>
        </w:rPr>
        <w:t>  </w:t>
      </w:r>
      <w:r>
        <w:rPr>
          <w:rFonts w:ascii="Times New Roman" w:hAnsi="Times New Roman"/>
          <w:b w:val="false"/>
          <w:i w:val="false"/>
          <w:color w:val="000000"/>
          <w:sz w:val="24"/>
        </w:rPr>
        <w:t>Microwave ovens.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(10)</w:t>
      </w:r>
      <w:r>
        <w:rPr>
          <w:rFonts w:ascii="Times New Roman" w:hAnsi="Times New Roman"/>
          <w:b w:val="false"/>
          <w:i w:val="false"/>
          <w:color w:val="000000"/>
          <w:sz w:val="24"/>
        </w:rPr>
        <w:t>  </w:t>
      </w:r>
      <w:r>
        <w:rPr>
          <w:rFonts w:ascii="Times New Roman" w:hAnsi="Times New Roman"/>
          <w:b w:val="false"/>
          <w:i w:val="false"/>
          <w:color w:val="000000"/>
          <w:sz w:val="24"/>
        </w:rPr>
        <w:t>Other items containing mercury, refrigerant or PCB-containing articles.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Number of mercury switches removed from appliances.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Number of mercury thermocouples removed from appliances.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Date the first item was placed in the mercury storage drum that is in use on December 31.</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Number of fluorescent tubes removed from appliances.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Number of sodium chromate-containing appliances shipped to another demanufacturer.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Amount of refrigerant removed.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Number of PCB capacitors removed.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w:t>
      </w:r>
      <w:r>
        <w:rPr>
          <w:rFonts w:ascii="Times New Roman" w:hAnsi="Times New Roman"/>
          <w:b w:val="false"/>
          <w:i w:val="false"/>
          <w:color w:val="000000"/>
          <w:sz w:val="24"/>
        </w:rPr>
        <w:t>  </w:t>
      </w:r>
      <w:r>
        <w:rPr>
          <w:rFonts w:ascii="Times New Roman" w:hAnsi="Times New Roman"/>
          <w:b w:val="false"/>
          <w:i w:val="false"/>
          <w:color w:val="000000"/>
          <w:sz w:val="24"/>
        </w:rPr>
        <w:t>Number of PCB ballasts removed.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j.</w:t>
      </w:r>
      <w:r>
        <w:rPr>
          <w:rFonts w:ascii="Times New Roman" w:hAnsi="Times New Roman"/>
          <w:b w:val="false"/>
          <w:i w:val="false"/>
          <w:color w:val="000000"/>
          <w:sz w:val="24"/>
        </w:rPr>
        <w:t>  </w:t>
      </w:r>
      <w:r>
        <w:rPr>
          <w:rFonts w:ascii="Times New Roman" w:hAnsi="Times New Roman"/>
          <w:b w:val="false"/>
          <w:i w:val="false"/>
          <w:color w:val="000000"/>
          <w:sz w:val="24"/>
        </w:rPr>
        <w:t>Date the first PCB-containing item was placed in the storage drum that is in use on December 31.</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102.611(3)</w:t>
      </w:r>
      <w:r>
        <w:rPr>
          <w:rFonts w:ascii="Times New Roman" w:hAnsi="Times New Roman"/>
          <w:b w:val="false"/>
          <w:i w:val="false"/>
          <w:color w:val="000000"/>
          <w:sz w:val="24"/>
        </w:rPr>
        <w:t> </w:t>
      </w:r>
      <w:r>
        <w:rPr>
          <w:rFonts w:ascii="Times New Roman" w:hAnsi="Times New Roman"/>
          <w:b w:val="false"/>
          <w:i w:val="false"/>
          <w:color w:val="000000"/>
          <w:sz w:val="24"/>
        </w:rPr>
        <w:t>A permitted appliance demanufacturing facility shall retain the following records on site for a minimum of three years.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All hazardous waste manifests and bills of lading for shipments of refrigerant, mercury switches, PCB-containing materials, and any hazardous waste.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Receipts for any sodium chromate-containing units that were sent to another facility for processing.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Documentation of destruction or receipt from a regional collection center for all PCB materials shipped.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Documentation of inspections of the PCB storage area as required by 102.607</w:t>
      </w:r>
      <w:r>
        <w:rPr>
          <w:rFonts w:ascii="Times New Roman" w:hAnsi="Times New Roman"/>
          <w:b w:val="false"/>
          <w:i/>
          <w:color w:val="000000"/>
          <w:sz w:val="24"/>
        </w:rPr>
        <w:t>“h.”</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 xml:space="preserve">Annual written records and annual document log if required by </w:t>
      </w:r>
      <w:hyperlink r:id="rId251">
        <w:r>
          <w:rPr>
            <w:rStyle w:val="Hyperlink"/>
            <w:rFonts w:ascii="Times New Roman" w:hAnsi="Times New Roman"/>
            <w:b w:val="false"/>
            <w:i w:val="false"/>
            <w:color w:val="000000"/>
            <w:sz w:val="24"/>
          </w:rPr>
          <w:t>102.607(4)</w:t>
        </w:r>
      </w:hyperlink>
      <w:r>
        <w:rPr>
          <w:rFonts w:ascii="Times New Roman" w:hAnsi="Times New Roman"/>
          <w:b w:val="false"/>
          <w:i/>
          <w:color w:val="000000"/>
          <w:sz w:val="24"/>
        </w:rPr>
        <w:t>“i.”</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 xml:space="preserve">Copy of the annual report as required in </w:t>
      </w:r>
      <w:hyperlink r:id="rId252">
        <w:r>
          <w:rPr>
            <w:rStyle w:val="Hyperlink"/>
            <w:rFonts w:ascii="Times New Roman" w:hAnsi="Times New Roman"/>
            <w:b w:val="false"/>
            <w:i w:val="false"/>
            <w:color w:val="000000"/>
            <w:sz w:val="24"/>
          </w:rPr>
          <w:t>102.609(1)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567—102.612</w:t>
      </w:r>
      <w:r>
        <w:rPr>
          <w:rFonts w:ascii="Times New Roman" w:hAnsi="Times New Roman"/>
          <w:b/>
          <w:i w:val="false"/>
          <w:color w:val="000000"/>
          <w:sz w:val="24"/>
        </w:rPr>
        <w:t xml:space="preserve">(455D) </w:t>
      </w:r>
      <w:r>
        <w:rPr>
          <w:rFonts w:ascii="Times New Roman" w:hAnsi="Times New Roman"/>
          <w:b/>
          <w:i w:val="false"/>
          <w:color w:val="000000"/>
          <w:sz w:val="24"/>
        </w:rPr>
        <w:t xml:space="preserve">Appliance demanufacturing facility closure requirements. </w:t>
      </w:r>
      <w:r>
        <w:rPr>
          <w:rFonts w:ascii="Times New Roman" w:hAnsi="Times New Roman"/>
          <w:b w:val="false"/>
          <w:i w:val="false"/>
          <w:color w:val="000000"/>
          <w:sz w:val="24"/>
        </w:rPr>
        <w:t xml:space="preserve">In addition to the requirements in </w:t>
      </w:r>
      <w:hyperlink r:id="rId253">
        <w:r>
          <w:rPr>
            <w:rStyle w:val="Hyperlink"/>
            <w:rFonts w:ascii="Times New Roman" w:hAnsi="Times New Roman"/>
            <w:b w:val="false"/>
            <w:i w:val="false"/>
            <w:color w:val="000000"/>
            <w:sz w:val="24"/>
          </w:rPr>
          <w:t>567—100.10</w:t>
        </w:r>
      </w:hyperlink>
      <w:r>
        <w:rPr>
          <w:rFonts w:ascii="Times New Roman" w:hAnsi="Times New Roman"/>
          <w:b w:val="false"/>
          <w:i w:val="false"/>
          <w:color w:val="000000"/>
          <w:sz w:val="24"/>
        </w:rPr>
        <w:t>(455B), an appliance demanufacturing facility shall do the following prior to closure:</w:t>
      </w:r>
    </w:p>
    <w:p>
      <w:pPr>
        <w:spacing w:before="0" w:after="0" w:line="480"/>
        <w:ind w:left="120"/>
        <w:jc w:val="both"/>
      </w:pPr>
      <w:r>
        <w:rPr>
          <w:rFonts w:ascii="Times New Roman" w:hAnsi="Times New Roman"/>
          <w:b w:val="false"/>
          <w:i w:val="false"/>
          <w:color w:val="000000"/>
          <w:sz w:val="24"/>
        </w:rPr>
        <w:t>    1.   </w:t>
      </w:r>
      <w:r>
        <w:rPr>
          <w:rFonts w:ascii="Times New Roman" w:hAnsi="Times New Roman"/>
          <w:b w:val="false"/>
          <w:i w:val="false"/>
          <w:color w:val="000000"/>
          <w:sz w:val="24"/>
        </w:rPr>
        <w:t>Remove all appliances that have not been demanufactured.</w:t>
      </w:r>
    </w:p>
    <w:p>
      <w:pPr>
        <w:spacing w:before="0" w:after="0" w:line="480"/>
        <w:ind w:left="120"/>
        <w:jc w:val="both"/>
      </w:pPr>
      <w:r>
        <w:rPr>
          <w:rFonts w:ascii="Times New Roman" w:hAnsi="Times New Roman"/>
          <w:b w:val="false"/>
          <w:i w:val="false"/>
          <w:color w:val="000000"/>
          <w:sz w:val="24"/>
        </w:rPr>
        <w:t>    2.   </w:t>
      </w:r>
      <w:r>
        <w:rPr>
          <w:rFonts w:ascii="Times New Roman" w:hAnsi="Times New Roman"/>
          <w:b w:val="false"/>
          <w:i w:val="false"/>
          <w:color w:val="000000"/>
          <w:sz w:val="24"/>
        </w:rPr>
        <w:t>Properly dispose of all refrigerant, PCBs, mercury, and all hazardous materials.</w:t>
      </w:r>
    </w:p>
    <w:p>
      <w:pPr>
        <w:spacing w:before="0" w:after="0" w:line="480"/>
        <w:ind w:left="120"/>
        <w:jc w:val="both"/>
      </w:pPr>
      <w:r>
        <w:rPr>
          <w:rFonts w:ascii="Times New Roman" w:hAnsi="Times New Roman"/>
          <w:b w:val="false"/>
          <w:i w:val="false"/>
          <w:color w:val="000000"/>
          <w:sz w:val="24"/>
        </w:rPr>
        <w:t>    3.   </w:t>
      </w:r>
      <w:r>
        <w:rPr>
          <w:rFonts w:ascii="Times New Roman" w:hAnsi="Times New Roman"/>
          <w:b w:val="false"/>
          <w:i w:val="false"/>
          <w:color w:val="000000"/>
          <w:sz w:val="24"/>
        </w:rPr>
        <w:t>Submit an annual report covering January 1, through the last disposal of hazardous materials, PCBs, and refrigerant.</w:t>
      </w:r>
    </w:p>
    <w:p>
      <w:pPr>
        <w:spacing w:before="0" w:after="0" w:line="480"/>
        <w:ind w:left="120"/>
        <w:jc w:val="both"/>
      </w:pPr>
      <w:r>
        <w:rPr>
          <w:rFonts w:ascii="Times New Roman" w:hAnsi="Times New Roman"/>
          <w:b/>
          <w:i w:val="false"/>
          <w:color w:val="000000"/>
          <w:sz w:val="24"/>
        </w:rPr>
        <w:t>567—102.613</w:t>
      </w:r>
      <w:r>
        <w:rPr>
          <w:rFonts w:ascii="Times New Roman" w:hAnsi="Times New Roman"/>
          <w:b/>
          <w:i w:val="false"/>
          <w:color w:val="000000"/>
          <w:sz w:val="24"/>
        </w:rPr>
        <w:t xml:space="preserve">(455D) </w:t>
      </w:r>
      <w:r>
        <w:rPr>
          <w:rFonts w:ascii="Times New Roman" w:hAnsi="Times New Roman"/>
          <w:b/>
          <w:i w:val="false"/>
          <w:color w:val="000000"/>
          <w:sz w:val="24"/>
        </w:rPr>
        <w:t xml:space="preserve">Shredding of appliances.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102.613(1)</w:t>
      </w:r>
      <w:r>
        <w:rPr>
          <w:rFonts w:ascii="Times New Roman" w:hAnsi="Times New Roman"/>
          <w:b w:val="false"/>
          <w:i w:val="false"/>
          <w:color w:val="000000"/>
          <w:sz w:val="24"/>
        </w:rPr>
        <w:t> </w:t>
      </w:r>
      <w:r>
        <w:rPr>
          <w:rFonts w:ascii="Times New Roman" w:hAnsi="Times New Roman"/>
          <w:b w:val="false"/>
          <w:i w:val="false"/>
          <w:color w:val="000000"/>
          <w:sz w:val="24"/>
        </w:rPr>
        <w:t xml:space="preserve">Facilities shredding demanufactured appliances shall sample the fluff from the shredding of demanufactured appliances at least quarterly and analyze the fluff for the presence of PCBs, and according to the TCLP for arsenic, barium, cadmium, chromium, lead, mercury, selenium, and silver. The waste shall be sampled once a day for seven consecutive working days to make a composite sample. If the concentrations of heavy metals do not exceed concentrations listed in </w:t>
      </w:r>
      <w:r>
        <w:rPr>
          <w:rFonts w:ascii="Times New Roman" w:hAnsi="Times New Roman"/>
          <w:b w:val="false"/>
          <w:i w:val="false"/>
          <w:color w:val="000000"/>
          <w:sz w:val="24"/>
        </w:rPr>
        <w:t>40 CFR 261.24</w:t>
      </w:r>
      <w:r>
        <w:rPr>
          <w:rFonts w:ascii="Times New Roman" w:hAnsi="Times New Roman"/>
          <w:b w:val="false"/>
          <w:i w:val="false"/>
          <w:color w:val="000000"/>
          <w:sz w:val="24"/>
        </w:rPr>
        <w:t xml:space="preserve"> as amended March 3, 2025, the fluff may be landfilled in Iowa. Results must be retained on site for a minimum of three years and be submitted to the department within 30 days of the end of each quarter.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102.613(2)</w:t>
      </w:r>
      <w:r>
        <w:rPr>
          <w:rFonts w:ascii="Times New Roman" w:hAnsi="Times New Roman"/>
          <w:b w:val="false"/>
          <w:i w:val="false"/>
          <w:color w:val="000000"/>
          <w:sz w:val="24"/>
        </w:rPr>
        <w:t> </w:t>
      </w:r>
      <w:r>
        <w:rPr>
          <w:rFonts w:ascii="Times New Roman" w:hAnsi="Times New Roman"/>
          <w:b w:val="false"/>
          <w:i w:val="false"/>
          <w:color w:val="000000"/>
          <w:sz w:val="24"/>
        </w:rPr>
        <w:t>Fluff from the shredding of demanufactured appliances may be sampled and tested by the department at any time.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102.613(3)</w:t>
      </w:r>
      <w:r>
        <w:rPr>
          <w:rFonts w:ascii="Times New Roman" w:hAnsi="Times New Roman"/>
          <w:b w:val="false"/>
          <w:i w:val="false"/>
          <w:color w:val="000000"/>
          <w:sz w:val="24"/>
        </w:rPr>
        <w:t> </w:t>
      </w:r>
      <w:r>
        <w:rPr>
          <w:rFonts w:ascii="Times New Roman" w:hAnsi="Times New Roman"/>
          <w:b w:val="false"/>
          <w:i w:val="false"/>
          <w:color w:val="000000"/>
          <w:sz w:val="24"/>
        </w:rPr>
        <w:t>A person or facility engaged in demanufacturing in the state may not shred, crush, or bale any appliances that have not been demanufactured. A person or facility located in Iowa that does not engage in demanufacturing but accepts appliances from demanufacturers for recycling or disposal may shred, crush, or bale only appliances that have been demanufactured in accordance with federal regulations and the laws of the state from which the appliances are received.</w:t>
      </w:r>
    </w:p>
    <w:p>
      <w:pPr>
        <w:spacing w:before="210" w:after="0" w:line="480"/>
        <w:ind w:left="120"/>
        <w:jc w:val="both"/>
      </w:pPr>
      <w:r>
        <w:rPr>
          <w:rFonts w:ascii="Times New Roman" w:hAnsi="Times New Roman"/>
          <w:b/>
          <w:i w:val="false"/>
          <w:color w:val="000000"/>
          <w:sz w:val="24"/>
        </w:rPr>
        <w:t>567—102.614</w:t>
      </w:r>
      <w:r>
        <w:rPr>
          <w:rFonts w:ascii="Times New Roman" w:hAnsi="Times New Roman"/>
          <w:b w:val="false"/>
          <w:i w:val="false"/>
          <w:color w:val="000000"/>
          <w:sz w:val="24"/>
        </w:rPr>
        <w:t xml:space="preserve"> to </w:t>
      </w:r>
      <w:r>
        <w:rPr>
          <w:rFonts w:ascii="Times New Roman" w:hAnsi="Times New Roman"/>
          <w:b/>
          <w:i w:val="false"/>
          <w:color w:val="000000"/>
          <w:sz w:val="24"/>
        </w:rPr>
        <w:t>102.699</w:t>
      </w:r>
      <w:r>
        <w:rPr>
          <w:rFonts w:ascii="Times New Roman" w:hAnsi="Times New Roman"/>
          <w:b w:val="false"/>
          <w:i w:val="false"/>
          <w:color w:val="000000"/>
          <w:sz w:val="24"/>
        </w:rPr>
        <w:t>Reserved.</w:t>
      </w:r>
    </w:p>
    <w:p>
      <w:pPr>
        <w:spacing w:before="0" w:after="0" w:line="480"/>
        <w:ind w:left="120"/>
        <w:jc w:val="both"/>
      </w:pPr>
      <w:r>
        <w:rPr>
          <w:rFonts w:ascii="Times New Roman" w:hAnsi="Times New Roman"/>
          <w:b w:val="false"/>
          <w:i w:val="false"/>
          <w:color w:val="000000"/>
          <w:sz w:val="24"/>
        </w:rPr>
        <w:t xml:space="preserve">These rules are intended to implement Iowa Code section </w:t>
      </w:r>
      <w:hyperlink r:id="rId254">
        <w:r>
          <w:rPr>
            <w:rStyle w:val="Hyperlink"/>
            <w:rFonts w:ascii="Times New Roman" w:hAnsi="Times New Roman"/>
            <w:b w:val="false"/>
            <w:i w:val="false"/>
            <w:color w:val="000000"/>
            <w:sz w:val="24"/>
          </w:rPr>
          <w:t>455D.6(4)</w:t>
        </w:r>
      </w:hyperlink>
      <w:r>
        <w:rPr>
          <w:rFonts w:ascii="Times New Roman" w:hAnsi="Times New Roman"/>
          <w:b w:val="false"/>
          <w:i w:val="false"/>
          <w:color w:val="000000"/>
          <w:sz w:val="24"/>
        </w:rPr>
        <w:t>.</w:t>
      </w:r>
    </w:p>
    <w:p>
      <w:pPr>
        <w:pBdr>
          <w:top w:space="10"/>
        </w:pBdr>
        <w:spacing w:before="0" w:after="0" w:line="480"/>
        <w:ind w:left="120"/>
        <w:jc w:val="center"/>
      </w:pPr>
      <w:r>
        <w:rPr>
          <w:rFonts w:ascii="Times New Roman" w:hAnsi="Times New Roman"/>
          <w:b w:val="false"/>
          <w:i w:val="false"/>
          <w:color w:val="000000"/>
          <w:sz w:val="16"/>
        </w:rPr>
        <w:t>DIVISION VIII</w:t>
      </w:r>
    </w:p>
    <w:p>
      <w:pPr>
        <w:pBdr>
          <w:bottom w:space="10"/>
        </w:pBdr>
        <w:spacing w:before="0" w:after="0" w:line="480"/>
        <w:ind w:left="120"/>
        <w:jc w:val="center"/>
      </w:pPr>
      <w:r>
        <w:rPr>
          <w:rFonts w:ascii="Times New Roman" w:hAnsi="Times New Roman"/>
          <w:b w:val="false"/>
          <w:i w:val="false"/>
          <w:color w:val="000000"/>
          <w:sz w:val="16"/>
        </w:rPr>
        <w:t>CATHODE RAY TUBE RECYCLING</w:t>
      </w:r>
    </w:p>
    <w:p>
      <w:pPr>
        <w:spacing w:before="210" w:after="0" w:line="480"/>
        <w:ind w:left="120"/>
        <w:jc w:val="both"/>
      </w:pPr>
      <w:r>
        <w:rPr>
          <w:rFonts w:ascii="Times New Roman" w:hAnsi="Times New Roman"/>
          <w:b/>
          <w:i w:val="false"/>
          <w:color w:val="000000"/>
          <w:sz w:val="24"/>
        </w:rPr>
        <w:t>567—102.700</w:t>
      </w:r>
      <w:r>
        <w:rPr>
          <w:rFonts w:ascii="Times New Roman" w:hAnsi="Times New Roman"/>
          <w:b/>
          <w:i w:val="false"/>
          <w:color w:val="000000"/>
          <w:sz w:val="24"/>
        </w:rPr>
        <w:t xml:space="preserve">(455D) </w:t>
      </w:r>
      <w:r>
        <w:rPr>
          <w:rFonts w:ascii="Times New Roman" w:hAnsi="Times New Roman"/>
          <w:b/>
          <w:i w:val="false"/>
          <w:color w:val="000000"/>
          <w:sz w:val="24"/>
        </w:rPr>
        <w:t xml:space="preserve">Purpose. </w:t>
      </w:r>
      <w:r>
        <w:rPr>
          <w:rFonts w:ascii="Times New Roman" w:hAnsi="Times New Roman"/>
          <w:b w:val="false"/>
          <w:i w:val="false"/>
          <w:color w:val="000000"/>
          <w:sz w:val="24"/>
        </w:rPr>
        <w:t>The purpose of this division is to implement rules for the recycling of discarded CRTs and the disassembly and removal of toxic parts from discarded CRTs in a manner that is safe for human health and the environment.</w:t>
      </w:r>
    </w:p>
    <w:p>
      <w:pPr>
        <w:spacing w:before="0" w:after="0" w:line="480"/>
        <w:ind w:left="120"/>
        <w:jc w:val="both"/>
      </w:pPr>
      <w:r>
        <w:rPr>
          <w:rFonts w:ascii="Times New Roman" w:hAnsi="Times New Roman"/>
          <w:b/>
          <w:i w:val="false"/>
          <w:color w:val="000000"/>
          <w:sz w:val="24"/>
        </w:rPr>
        <w:t>567—102.701</w:t>
      </w:r>
      <w:r>
        <w:rPr>
          <w:rFonts w:ascii="Times New Roman" w:hAnsi="Times New Roman"/>
          <w:b/>
          <w:i w:val="false"/>
          <w:color w:val="000000"/>
          <w:sz w:val="24"/>
        </w:rPr>
        <w:t xml:space="preserve">(455D) </w:t>
      </w:r>
      <w:r>
        <w:rPr>
          <w:rFonts w:ascii="Times New Roman" w:hAnsi="Times New Roman"/>
          <w:b/>
          <w:i w:val="false"/>
          <w:color w:val="000000"/>
          <w:sz w:val="24"/>
        </w:rPr>
        <w:t xml:space="preserve">Applicability and compliance. </w:t>
      </w:r>
      <w:r>
        <w:rPr>
          <w:rFonts w:ascii="Times New Roman" w:hAnsi="Times New Roman"/>
          <w:b w:val="false"/>
          <w:i w:val="false"/>
          <w:color w:val="000000"/>
          <w:sz w:val="24"/>
        </w:rPr>
        <w:t>This division applies to discarded CRTs that are collected for recycling and to CRT glass processed for recycling. This division does not apply to CRTs collected for disposal.</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102.701(1)</w:t>
      </w:r>
      <w:r>
        <w:rPr>
          <w:rFonts w:ascii="Times New Roman" w:hAnsi="Times New Roman"/>
          <w:b w:val="false"/>
          <w:i w:val="false"/>
          <w:color w:val="000000"/>
          <w:sz w:val="24"/>
        </w:rPr>
        <w:t> </w:t>
      </w:r>
      <w:r>
        <w:rPr>
          <w:rFonts w:ascii="Times New Roman" w:hAnsi="Times New Roman"/>
          <w:b w:val="false"/>
          <w:i w:val="false"/>
          <w:color w:val="000000"/>
          <w:sz w:val="24"/>
        </w:rPr>
        <w:t>This division applies to facilities and short-term CRT collection events that perform CRT recycling functions including but not limited to the collection, demanufacturing, and processing of discarded CRTs.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102.701(2)</w:t>
      </w:r>
      <w:r>
        <w:rPr>
          <w:rFonts w:ascii="Times New Roman" w:hAnsi="Times New Roman"/>
          <w:b w:val="false"/>
          <w:i w:val="false"/>
          <w:color w:val="000000"/>
          <w:sz w:val="24"/>
        </w:rPr>
        <w:t> </w:t>
      </w:r>
      <w:r>
        <w:rPr>
          <w:rFonts w:ascii="Times New Roman" w:hAnsi="Times New Roman"/>
          <w:b w:val="false"/>
          <w:i w:val="false"/>
          <w:color w:val="000000"/>
          <w:sz w:val="24"/>
        </w:rPr>
        <w:t>This division does not apply to CRT reuse activities, CRT service and repair activities, or CRT refurbishing activities that do not otherwise qualify as CRT recycling.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102.701(3)</w:t>
      </w:r>
      <w:r>
        <w:rPr>
          <w:rFonts w:ascii="Times New Roman" w:hAnsi="Times New Roman"/>
          <w:b w:val="false"/>
          <w:i w:val="false"/>
          <w:color w:val="000000"/>
          <w:sz w:val="24"/>
        </w:rPr>
        <w:t> </w:t>
      </w:r>
      <w:r>
        <w:rPr>
          <w:rFonts w:ascii="Times New Roman" w:hAnsi="Times New Roman"/>
          <w:b w:val="false"/>
          <w:i w:val="false"/>
          <w:color w:val="000000"/>
          <w:sz w:val="24"/>
        </w:rPr>
        <w:t>The issuance of a permit or registration by the department in no way relieves the applicant of the responsibility of complying with all other local, state, or federal statutes, ordinances, and rules or other requirements applicable to the construction, operation, and closure of a CRT collection facility or CRT recycling facility.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102.701(4)</w:t>
      </w:r>
      <w:r>
        <w:rPr>
          <w:rFonts w:ascii="Times New Roman" w:hAnsi="Times New Roman"/>
          <w:b w:val="false"/>
          <w:i w:val="false"/>
          <w:color w:val="000000"/>
          <w:sz w:val="24"/>
        </w:rPr>
        <w:t> </w:t>
      </w:r>
      <w:r>
        <w:rPr>
          <w:rFonts w:ascii="Times New Roman" w:hAnsi="Times New Roman"/>
          <w:b w:val="false"/>
          <w:i w:val="false"/>
          <w:color w:val="000000"/>
          <w:sz w:val="24"/>
        </w:rPr>
        <w:t xml:space="preserve">All discarded CRTs collected for recycling, including those generated by a household, once collected by a CRT collection facility or CRT recycling facility, shall be managed in accordance with </w:t>
      </w:r>
      <w:r>
        <w:rPr>
          <w:rFonts w:ascii="Times New Roman" w:hAnsi="Times New Roman"/>
          <w:b w:val="false"/>
          <w:i w:val="false"/>
          <w:color w:val="000000"/>
          <w:sz w:val="24"/>
        </w:rPr>
        <w:t>40 CFR 261.39</w:t>
      </w:r>
      <w:r>
        <w:rPr>
          <w:rFonts w:ascii="Times New Roman" w:hAnsi="Times New Roman"/>
          <w:b w:val="false"/>
          <w:i w:val="false"/>
          <w:color w:val="000000"/>
          <w:sz w:val="24"/>
        </w:rPr>
        <w:t xml:space="preserve"> and this division. If there is a conflict, the more stringent regulation applies.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102.701(5)</w:t>
      </w:r>
      <w:r>
        <w:rPr>
          <w:rFonts w:ascii="Times New Roman" w:hAnsi="Times New Roman"/>
          <w:b w:val="false"/>
          <w:i w:val="false"/>
          <w:color w:val="000000"/>
          <w:sz w:val="24"/>
        </w:rPr>
        <w:t> </w:t>
      </w:r>
      <w:r>
        <w:rPr>
          <w:rFonts w:ascii="Times New Roman" w:hAnsi="Times New Roman"/>
          <w:b w:val="false"/>
          <w:i w:val="false"/>
          <w:color w:val="000000"/>
          <w:sz w:val="24"/>
        </w:rPr>
        <w:t>All rules, standards, technical guidance, and other similar legal or technical documents referenced in this division shall be the version of those documents in effect on August 1, 2025, unless otherwise noted in these rules, and except for references to the Iowa Code and Iowa Administrative Code, which shall always be the most recent version unless otherwise noted in these rules.</w:t>
      </w:r>
    </w:p>
    <w:p>
      <w:pPr>
        <w:spacing w:before="210" w:after="0" w:line="480"/>
        <w:ind w:left="120"/>
        <w:jc w:val="both"/>
      </w:pPr>
      <w:r>
        <w:rPr>
          <w:rFonts w:ascii="Times New Roman" w:hAnsi="Times New Roman"/>
          <w:b/>
          <w:i w:val="false"/>
          <w:color w:val="000000"/>
          <w:sz w:val="24"/>
        </w:rPr>
        <w:t>567—102.702</w:t>
      </w:r>
      <w:r>
        <w:rPr>
          <w:rFonts w:ascii="Times New Roman" w:hAnsi="Times New Roman"/>
          <w:b/>
          <w:i w:val="false"/>
          <w:color w:val="000000"/>
          <w:sz w:val="24"/>
        </w:rPr>
        <w:t xml:space="preserve">(455D) </w:t>
      </w:r>
      <w:r>
        <w:rPr>
          <w:rFonts w:ascii="Times New Roman" w:hAnsi="Times New Roman"/>
          <w:b/>
          <w:i w:val="false"/>
          <w:color w:val="000000"/>
          <w:sz w:val="24"/>
        </w:rPr>
        <w:t xml:space="preserve">Definitions. </w:t>
      </w:r>
      <w:r>
        <w:rPr>
          <w:rFonts w:ascii="Times New Roman" w:hAnsi="Times New Roman"/>
          <w:b w:val="false"/>
          <w:i w:val="false"/>
          <w:color w:val="000000"/>
          <w:sz w:val="24"/>
        </w:rPr>
        <w:t xml:space="preserve">For the purposes of this division, the definitions in </w:t>
      </w:r>
      <w:hyperlink r:id="rId255">
        <w:r>
          <w:rPr>
            <w:rStyle w:val="Hyperlink"/>
            <w:rFonts w:ascii="Times New Roman" w:hAnsi="Times New Roman"/>
            <w:b w:val="false"/>
            <w:i w:val="false"/>
            <w:color w:val="000000"/>
            <w:sz w:val="24"/>
          </w:rPr>
          <w:t>567—Chapter 100</w:t>
        </w:r>
      </w:hyperlink>
      <w:r>
        <w:rPr>
          <w:rFonts w:ascii="Times New Roman" w:hAnsi="Times New Roman"/>
          <w:b w:val="false"/>
          <w:i w:val="false"/>
          <w:color w:val="000000"/>
          <w:sz w:val="24"/>
        </w:rPr>
        <w:t xml:space="preserve"> and Iowa Code section </w:t>
      </w:r>
      <w:hyperlink r:id="rId256">
        <w:r>
          <w:rPr>
            <w:rStyle w:val="Hyperlink"/>
            <w:rFonts w:ascii="Times New Roman" w:hAnsi="Times New Roman"/>
            <w:b w:val="false"/>
            <w:i w:val="false"/>
            <w:color w:val="000000"/>
            <w:sz w:val="24"/>
          </w:rPr>
          <w:t>455B.301</w:t>
        </w:r>
      </w:hyperlink>
      <w:r>
        <w:rPr>
          <w:rFonts w:ascii="Times New Roman" w:hAnsi="Times New Roman"/>
          <w:b w:val="false"/>
          <w:i w:val="false"/>
          <w:color w:val="000000"/>
          <w:sz w:val="24"/>
        </w:rPr>
        <w:t xml:space="preserve"> and chapter </w:t>
      </w:r>
      <w:hyperlink r:id="rId257">
        <w:r>
          <w:rPr>
            <w:rStyle w:val="Hyperlink"/>
            <w:rFonts w:ascii="Times New Roman" w:hAnsi="Times New Roman"/>
            <w:b w:val="false"/>
            <w:i w:val="false"/>
            <w:color w:val="000000"/>
            <w:sz w:val="24"/>
          </w:rPr>
          <w:t>455D</w:t>
        </w:r>
      </w:hyperlink>
      <w:r>
        <w:rPr>
          <w:rFonts w:ascii="Times New Roman" w:hAnsi="Times New Roman"/>
          <w:b w:val="false"/>
          <w:i w:val="false"/>
          <w:color w:val="000000"/>
          <w:sz w:val="24"/>
        </w:rPr>
        <w:t xml:space="preserve"> shall apply.</w:t>
      </w:r>
    </w:p>
    <w:p>
      <w:pPr>
        <w:spacing w:before="0" w:after="0" w:line="480"/>
        <w:ind w:left="120"/>
        <w:jc w:val="both"/>
      </w:pPr>
      <w:r>
        <w:rPr>
          <w:rFonts w:ascii="Times New Roman" w:hAnsi="Times New Roman"/>
          <w:b/>
          <w:i w:val="false"/>
          <w:color w:val="000000"/>
          <w:sz w:val="24"/>
        </w:rPr>
        <w:t>567—102.703</w:t>
      </w:r>
      <w:r>
        <w:rPr>
          <w:rFonts w:ascii="Times New Roman" w:hAnsi="Times New Roman"/>
          <w:b/>
          <w:i w:val="false"/>
          <w:color w:val="000000"/>
          <w:sz w:val="24"/>
        </w:rPr>
        <w:t xml:space="preserve">(455D) </w:t>
      </w:r>
      <w:r>
        <w:rPr>
          <w:rFonts w:ascii="Times New Roman" w:hAnsi="Times New Roman"/>
          <w:b/>
          <w:i w:val="false"/>
          <w:color w:val="000000"/>
          <w:sz w:val="24"/>
        </w:rPr>
        <w:t xml:space="preserve">Short-term CRT collection events. </w:t>
      </w:r>
      <w:r>
        <w:rPr>
          <w:rFonts w:ascii="Times New Roman" w:hAnsi="Times New Roman"/>
          <w:b w:val="false"/>
          <w:i w:val="false"/>
          <w:color w:val="000000"/>
          <w:sz w:val="24"/>
        </w:rPr>
        <w:t>All short-term CRT collection events shall be conducted in a manner that complies with this rule. Short-term CRT collection event organizers are not required to register the event as a CRT collection facility.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102.703(1)</w:t>
      </w:r>
      <w:r>
        <w:rPr>
          <w:rFonts w:ascii="Times New Roman" w:hAnsi="Times New Roman"/>
          <w:b w:val="false"/>
          <w:i w:val="false"/>
          <w:color w:val="000000"/>
          <w:sz w:val="24"/>
        </w:rPr>
        <w:t> </w:t>
      </w:r>
      <w:r>
        <w:rPr>
          <w:rFonts w:ascii="Times New Roman" w:hAnsi="Times New Roman"/>
          <w:b w:val="false"/>
          <w:i w:val="false"/>
          <w:color w:val="000000"/>
          <w:sz w:val="24"/>
        </w:rPr>
        <w:t>Within one week of collection, all discarded CRTs and CRT glass shall be transported to a properly permitted CRT recycling facility or registered CRT collection facility.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102.703(2)</w:t>
      </w:r>
      <w:r>
        <w:rPr>
          <w:rFonts w:ascii="Times New Roman" w:hAnsi="Times New Roman"/>
          <w:b w:val="false"/>
          <w:i w:val="false"/>
          <w:color w:val="000000"/>
          <w:sz w:val="24"/>
        </w:rPr>
        <w:t> </w:t>
      </w:r>
      <w:r>
        <w:rPr>
          <w:rFonts w:ascii="Times New Roman" w:hAnsi="Times New Roman"/>
          <w:b w:val="false"/>
          <w:i w:val="false"/>
          <w:color w:val="000000"/>
          <w:sz w:val="24"/>
        </w:rPr>
        <w:t>During the period between collection and transport, all broken CRTs and CRT glass shall be stored in one of the following ways: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In a fully enclosed building with a roof, floor, and walls,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In a container that is constructed, filled, and closed to minimize releases to the environment of CRT glass (including fine solid materials).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102.703(3)</w:t>
      </w:r>
      <w:r>
        <w:rPr>
          <w:rFonts w:ascii="Times New Roman" w:hAnsi="Times New Roman"/>
          <w:b w:val="false"/>
          <w:i w:val="false"/>
          <w:color w:val="000000"/>
          <w:sz w:val="24"/>
        </w:rPr>
        <w:t> </w:t>
      </w:r>
      <w:r>
        <w:rPr>
          <w:rFonts w:ascii="Times New Roman" w:hAnsi="Times New Roman"/>
          <w:b w:val="false"/>
          <w:i w:val="false"/>
          <w:color w:val="000000"/>
          <w:sz w:val="24"/>
        </w:rPr>
        <w:t>During the period between collection and transport, intact discarded CRTs shall be stored in one of the following ways: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In a fully enclosed building with a roof, floor, and walls,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In a secure container (e.g., package or vehicle) that is constructed and maintained to minimize breakage of electronic waste and to prevent releases of hazardous materials to the environment.</w:t>
      </w:r>
    </w:p>
    <w:p>
      <w:pPr>
        <w:spacing w:before="0" w:after="0" w:line="480"/>
        <w:ind w:left="120"/>
        <w:jc w:val="both"/>
      </w:pPr>
      <w:r>
        <w:rPr>
          <w:rFonts w:ascii="Times New Roman" w:hAnsi="Times New Roman"/>
          <w:b/>
          <w:i w:val="false"/>
          <w:color w:val="000000"/>
          <w:sz w:val="24"/>
        </w:rPr>
        <w:t>567—102.704</w:t>
      </w:r>
      <w:r>
        <w:rPr>
          <w:rFonts w:ascii="Times New Roman" w:hAnsi="Times New Roman"/>
          <w:b/>
          <w:i w:val="false"/>
          <w:color w:val="000000"/>
          <w:sz w:val="24"/>
        </w:rPr>
        <w:t xml:space="preserve">(455D) </w:t>
      </w:r>
      <w:r>
        <w:rPr>
          <w:rFonts w:ascii="Times New Roman" w:hAnsi="Times New Roman"/>
          <w:b/>
          <w:i w:val="false"/>
          <w:color w:val="000000"/>
          <w:sz w:val="24"/>
        </w:rPr>
        <w:t xml:space="preserve">Registration for CRT collection facilities. </w:t>
      </w:r>
      <w:r>
        <w:rPr>
          <w:rFonts w:ascii="Times New Roman" w:hAnsi="Times New Roman"/>
          <w:b w:val="false"/>
          <w:i w:val="false"/>
          <w:color w:val="000000"/>
          <w:sz w:val="24"/>
        </w:rPr>
        <w:t>A CRT collection facility shall register with the department using a form provided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102.704(1)</w:t>
      </w:r>
      <w:r>
        <w:rPr>
          <w:rFonts w:ascii="Times New Roman" w:hAnsi="Times New Roman"/>
          <w:b w:val="false"/>
          <w:i w:val="false"/>
          <w:color w:val="000000"/>
          <w:sz w:val="24"/>
        </w:rPr>
        <w:t> </w:t>
      </w:r>
      <w:r>
        <w:rPr>
          <w:rFonts w:ascii="Times New Roman" w:hAnsi="Times New Roman"/>
          <w:b w:val="false"/>
          <w:i w:val="false"/>
          <w:color w:val="000000"/>
          <w:sz w:val="24"/>
        </w:rPr>
        <w:t>The registration application shall include proof of the applicant’s ownership of the property or legal entitlement to use the property for CRT collection. If the facility is leased, the application shall also include a statement, signed by the property owner, stating that the property owner is aware that CRT collection is taking place at the site and that the property owner may be held liable for wastes abandoned at the property.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102.704(2)</w:t>
      </w:r>
      <w:r>
        <w:rPr>
          <w:rFonts w:ascii="Times New Roman" w:hAnsi="Times New Roman"/>
          <w:b w:val="false"/>
          <w:i w:val="false"/>
          <w:color w:val="000000"/>
          <w:sz w:val="24"/>
        </w:rPr>
        <w:t> </w:t>
      </w:r>
      <w:r>
        <w:rPr>
          <w:rFonts w:ascii="Times New Roman" w:hAnsi="Times New Roman"/>
          <w:b w:val="false"/>
          <w:i w:val="false"/>
          <w:color w:val="000000"/>
          <w:sz w:val="24"/>
        </w:rPr>
        <w:t>Registration will expire March 1 of each year if renewal has not been made and approved.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102.704(3)</w:t>
      </w:r>
      <w:r>
        <w:rPr>
          <w:rFonts w:ascii="Times New Roman" w:hAnsi="Times New Roman"/>
          <w:b w:val="false"/>
          <w:i w:val="false"/>
          <w:color w:val="000000"/>
          <w:sz w:val="24"/>
        </w:rPr>
        <w:t> </w:t>
      </w:r>
      <w:r>
        <w:rPr>
          <w:rFonts w:ascii="Times New Roman" w:hAnsi="Times New Roman"/>
          <w:b w:val="false"/>
          <w:i w:val="false"/>
          <w:color w:val="000000"/>
          <w:sz w:val="24"/>
        </w:rPr>
        <w:t xml:space="preserve">Annual registration renewal occurs by complying with the reporting requirements in </w:t>
      </w:r>
      <w:hyperlink r:id="rId258">
        <w:r>
          <w:rPr>
            <w:rStyle w:val="Hyperlink"/>
            <w:rFonts w:ascii="Times New Roman" w:hAnsi="Times New Roman"/>
            <w:b w:val="false"/>
            <w:i w:val="false"/>
            <w:color w:val="000000"/>
            <w:sz w:val="24"/>
          </w:rPr>
          <w:t>567—102.710</w:t>
        </w:r>
      </w:hyperlink>
      <w:r>
        <w:rPr>
          <w:rFonts w:ascii="Times New Roman" w:hAnsi="Times New Roman"/>
          <w:b w:val="false"/>
          <w:i w:val="false"/>
          <w:color w:val="000000"/>
          <w:sz w:val="24"/>
        </w:rPr>
        <w:t>(455D). Once a complete report is received and confirmed complete in writing by the department, the facility’s registration will be renewed until March 1 of the following year.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102.704(4)</w:t>
      </w:r>
      <w:r>
        <w:rPr>
          <w:rFonts w:ascii="Times New Roman" w:hAnsi="Times New Roman"/>
          <w:b w:val="false"/>
          <w:i w:val="false"/>
          <w:color w:val="000000"/>
          <w:sz w:val="24"/>
        </w:rPr>
        <w:t> </w:t>
      </w:r>
      <w:r>
        <w:rPr>
          <w:rFonts w:ascii="Times New Roman" w:hAnsi="Times New Roman"/>
          <w:b w:val="false"/>
          <w:i w:val="false"/>
          <w:color w:val="000000"/>
          <w:sz w:val="24"/>
        </w:rPr>
        <w:t>The department may deny or revoke CRT collection facility registration if one or more of the following is determined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registration application is incomplete.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There is a violation of a requirement of this division, including but not limited to failing to submit accurate and timely reports as required in </w:t>
      </w:r>
      <w:hyperlink r:id="rId259">
        <w:r>
          <w:rPr>
            <w:rStyle w:val="Hyperlink"/>
            <w:rFonts w:ascii="Times New Roman" w:hAnsi="Times New Roman"/>
            <w:b w:val="false"/>
            <w:i w:val="false"/>
            <w:color w:val="000000"/>
            <w:sz w:val="24"/>
          </w:rPr>
          <w:t>567—102.710</w:t>
        </w:r>
      </w:hyperlink>
      <w:r>
        <w:rPr>
          <w:rFonts w:ascii="Times New Roman" w:hAnsi="Times New Roman"/>
          <w:b w:val="false"/>
          <w:i w:val="false"/>
          <w:color w:val="000000"/>
          <w:sz w:val="24"/>
        </w:rPr>
        <w:t>(455D).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There is or was a misrepresentation made in obtaining a registration or registration renewal under this division.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The registrant fails to correct a condition as agreed to in an agreed order with the department or fails to come into compliance with this division within the time frame established in the agreed order.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The permittee has lost legal entitlement to use the property identified in the registration.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Upon notice to the department by the permittee that the permittee no longer wishes to retain the registration for future operation.</w:t>
      </w:r>
    </w:p>
    <w:p>
      <w:pPr>
        <w:spacing w:before="0" w:after="0" w:line="480"/>
        <w:ind w:left="120"/>
        <w:jc w:val="both"/>
      </w:pPr>
      <w:r>
        <w:rPr>
          <w:rFonts w:ascii="Times New Roman" w:hAnsi="Times New Roman"/>
          <w:b/>
          <w:i w:val="false"/>
          <w:color w:val="000000"/>
          <w:sz w:val="24"/>
        </w:rPr>
        <w:t>567—102.705</w:t>
      </w:r>
      <w:r>
        <w:rPr>
          <w:rFonts w:ascii="Times New Roman" w:hAnsi="Times New Roman"/>
          <w:b/>
          <w:i w:val="false"/>
          <w:color w:val="000000"/>
          <w:sz w:val="24"/>
        </w:rPr>
        <w:t xml:space="preserve">(455D) </w:t>
      </w:r>
      <w:r>
        <w:rPr>
          <w:rFonts w:ascii="Times New Roman" w:hAnsi="Times New Roman"/>
          <w:b/>
          <w:i w:val="false"/>
          <w:color w:val="000000"/>
          <w:sz w:val="24"/>
        </w:rPr>
        <w:t xml:space="preserve">CRT recycling facility permits.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102.705(1)</w:t>
      </w:r>
      <w:r>
        <w:rPr>
          <w:rFonts w:ascii="Times New Roman" w:hAnsi="Times New Roman"/>
          <w:b w:val="false"/>
          <w:i w:val="false"/>
          <w:color w:val="000000"/>
          <w:sz w:val="24"/>
        </w:rPr>
        <w:t> </w:t>
      </w:r>
      <w:r>
        <w:rPr>
          <w:rFonts w:ascii="Times New Roman" w:hAnsi="Times New Roman"/>
          <w:b w:val="false"/>
          <w:i/>
          <w:color w:val="000000"/>
          <w:sz w:val="24"/>
        </w:rPr>
        <w:t xml:space="preserve">Permit required. </w:t>
      </w:r>
      <w:r>
        <w:rPr>
          <w:rFonts w:ascii="Times New Roman" w:hAnsi="Times New Roman"/>
          <w:b w:val="false"/>
          <w:i w:val="false"/>
          <w:color w:val="000000"/>
          <w:sz w:val="24"/>
        </w:rPr>
        <w:t xml:space="preserve">A CRT recycling facility shall not be operated without a solid waste management permit for CRT recycling from the department as per </w:t>
      </w:r>
      <w:hyperlink r:id="rId260">
        <w:r>
          <w:rPr>
            <w:rStyle w:val="Hyperlink"/>
            <w:rFonts w:ascii="Times New Roman" w:hAnsi="Times New Roman"/>
            <w:b w:val="false"/>
            <w:i w:val="false"/>
            <w:color w:val="000000"/>
            <w:sz w:val="24"/>
          </w:rPr>
          <w:t>567—subrule 100.4(2)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102.705(2)</w:t>
      </w:r>
      <w:r>
        <w:rPr>
          <w:rFonts w:ascii="Times New Roman" w:hAnsi="Times New Roman"/>
          <w:b w:val="false"/>
          <w:i w:val="false"/>
          <w:color w:val="000000"/>
          <w:sz w:val="24"/>
        </w:rPr>
        <w:t> </w:t>
      </w:r>
      <w:r>
        <w:rPr>
          <w:rFonts w:ascii="Times New Roman" w:hAnsi="Times New Roman"/>
          <w:b w:val="false"/>
          <w:i/>
          <w:color w:val="000000"/>
          <w:sz w:val="24"/>
        </w:rPr>
        <w:t xml:space="preserve">Notification of change in status. </w:t>
      </w:r>
      <w:r>
        <w:rPr>
          <w:rFonts w:ascii="Times New Roman" w:hAnsi="Times New Roman"/>
          <w:b w:val="false"/>
          <w:i w:val="false"/>
          <w:color w:val="000000"/>
          <w:sz w:val="24"/>
        </w:rPr>
        <w:t>CRT recycling facilities must notify the department 30 days prior to any significant change of status of the operation, including any change in the ownership or operation of the facility or location of the facility.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102.705(3)</w:t>
      </w:r>
      <w:r>
        <w:rPr>
          <w:rFonts w:ascii="Times New Roman" w:hAnsi="Times New Roman"/>
          <w:b w:val="false"/>
          <w:i w:val="false"/>
          <w:color w:val="000000"/>
          <w:sz w:val="24"/>
        </w:rPr>
        <w:t> </w:t>
      </w:r>
      <w:r>
        <w:rPr>
          <w:rFonts w:ascii="Times New Roman" w:hAnsi="Times New Roman"/>
          <w:b w:val="false"/>
          <w:i/>
          <w:color w:val="000000"/>
          <w:sz w:val="24"/>
        </w:rPr>
        <w:t xml:space="preserve">Denial or revocation of permit. </w:t>
      </w:r>
      <w:r>
        <w:rPr>
          <w:rFonts w:ascii="Times New Roman" w:hAnsi="Times New Roman"/>
          <w:b w:val="false"/>
          <w:i w:val="false"/>
          <w:color w:val="000000"/>
          <w:sz w:val="24"/>
        </w:rPr>
        <w:t>The department may deny, revoke, or limit the length of a permit if one or more of the following is determined: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department has revoked the applicant’s previous permit under this division.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There is a violation of a requirement of this division or a condition of the permit.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There is a failure to disclose all relevant facts in obtaining a permit under this division.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There is a misrepresentation made in obtaining a permit under this division.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 xml:space="preserve">There is a misrepresentation in the annual report required in </w:t>
      </w:r>
      <w:hyperlink r:id="rId261">
        <w:r>
          <w:rPr>
            <w:rStyle w:val="Hyperlink"/>
            <w:rFonts w:ascii="Times New Roman" w:hAnsi="Times New Roman"/>
            <w:b w:val="false"/>
            <w:i w:val="false"/>
            <w:color w:val="000000"/>
            <w:sz w:val="24"/>
          </w:rPr>
          <w:t>567—102.710</w:t>
        </w:r>
      </w:hyperlink>
      <w:r>
        <w:rPr>
          <w:rFonts w:ascii="Times New Roman" w:hAnsi="Times New Roman"/>
          <w:b w:val="false"/>
          <w:i w:val="false"/>
          <w:color w:val="000000"/>
          <w:sz w:val="24"/>
        </w:rPr>
        <w:t>(455D).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The permittee fails to meet the requirements for a permit.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The permittee fails to correct a condition as agreed to in an agreed order with the department or fails to come into compliance with the permit or this division within the time frame established in the agreed order.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The permittee has lost legal entitlement to use the property identified in the permit.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w:t>
      </w:r>
      <w:r>
        <w:rPr>
          <w:rFonts w:ascii="Times New Roman" w:hAnsi="Times New Roman"/>
          <w:b w:val="false"/>
          <w:i w:val="false"/>
          <w:color w:val="000000"/>
          <w:sz w:val="24"/>
        </w:rPr>
        <w:t>  </w:t>
      </w:r>
      <w:r>
        <w:rPr>
          <w:rFonts w:ascii="Times New Roman" w:hAnsi="Times New Roman"/>
          <w:b w:val="false"/>
          <w:i w:val="false"/>
          <w:color w:val="000000"/>
          <w:sz w:val="24"/>
        </w:rPr>
        <w:t>Upon notice to the department by the permittee that the permittee no longer wishes to retain the permit for future operation.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102.705(4)</w:t>
      </w:r>
      <w:r>
        <w:rPr>
          <w:rFonts w:ascii="Times New Roman" w:hAnsi="Times New Roman"/>
          <w:b w:val="false"/>
          <w:i w:val="false"/>
          <w:color w:val="000000"/>
          <w:sz w:val="24"/>
        </w:rPr>
        <w:t> </w:t>
      </w:r>
      <w:r>
        <w:rPr>
          <w:rFonts w:ascii="Times New Roman" w:hAnsi="Times New Roman"/>
          <w:b w:val="false"/>
          <w:i/>
          <w:color w:val="000000"/>
          <w:sz w:val="24"/>
        </w:rPr>
        <w:t xml:space="preserve">Permit conditions. </w:t>
      </w:r>
      <w:r>
        <w:rPr>
          <w:rFonts w:ascii="Times New Roman" w:hAnsi="Times New Roman"/>
          <w:b w:val="false"/>
          <w:i w:val="false"/>
          <w:color w:val="000000"/>
          <w:sz w:val="24"/>
        </w:rPr>
        <w:t>The department may place conditions on any permit deemed necessary by the department to ensure compliance with this division and to protect human health and the environment.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102.705(5)</w:t>
      </w:r>
      <w:r>
        <w:rPr>
          <w:rFonts w:ascii="Times New Roman" w:hAnsi="Times New Roman"/>
          <w:b w:val="false"/>
          <w:i w:val="false"/>
          <w:color w:val="000000"/>
          <w:sz w:val="24"/>
        </w:rPr>
        <w:t> </w:t>
      </w:r>
      <w:r>
        <w:rPr>
          <w:rFonts w:ascii="Times New Roman" w:hAnsi="Times New Roman"/>
          <w:b w:val="false"/>
          <w:i/>
          <w:color w:val="000000"/>
          <w:sz w:val="24"/>
        </w:rPr>
        <w:t xml:space="preserve">Effect of revocation. </w:t>
      </w:r>
      <w:r>
        <w:rPr>
          <w:rFonts w:ascii="Times New Roman" w:hAnsi="Times New Roman"/>
          <w:b w:val="false"/>
          <w:i w:val="false"/>
          <w:color w:val="000000"/>
          <w:sz w:val="24"/>
        </w:rPr>
        <w:t>If a permit held by any public or private agency is revoked by the director, then no new permit shall be issued to that agency for that CRT recycling facility for a period of one year from the date of revocation. Such revocation shall not prohibit the issuance of a permit for the facility to another public or private agency.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102.705(6)</w:t>
      </w:r>
      <w:r>
        <w:rPr>
          <w:rFonts w:ascii="Times New Roman" w:hAnsi="Times New Roman"/>
          <w:b w:val="false"/>
          <w:i w:val="false"/>
          <w:color w:val="000000"/>
          <w:sz w:val="24"/>
        </w:rPr>
        <w:t> </w:t>
      </w:r>
      <w:r>
        <w:rPr>
          <w:rFonts w:ascii="Times New Roman" w:hAnsi="Times New Roman"/>
          <w:b w:val="false"/>
          <w:i/>
          <w:color w:val="000000"/>
          <w:sz w:val="24"/>
        </w:rPr>
        <w:t xml:space="preserve">Permits without expiration date. </w:t>
      </w:r>
      <w:r>
        <w:rPr>
          <w:rFonts w:ascii="Times New Roman" w:hAnsi="Times New Roman"/>
          <w:b w:val="false"/>
          <w:i w:val="false"/>
          <w:color w:val="000000"/>
          <w:sz w:val="24"/>
        </w:rPr>
        <w:t xml:space="preserve">CRT recycling permits that were issued prior to September 23, 2026, that do not have an expiration date will expire September 23, 2031. The permit holder shall file an application for renewal as per </w:t>
      </w:r>
      <w:hyperlink r:id="rId262">
        <w:r>
          <w:rPr>
            <w:rStyle w:val="Hyperlink"/>
            <w:rFonts w:ascii="Times New Roman" w:hAnsi="Times New Roman"/>
            <w:b w:val="false"/>
            <w:i w:val="false"/>
            <w:color w:val="000000"/>
            <w:sz w:val="24"/>
          </w:rPr>
          <w:t>567—paragraph 100.4(2)</w:t>
        </w:r>
      </w:hyperlink>
      <w:r>
        <w:rPr>
          <w:rFonts w:ascii="Times New Roman" w:hAnsi="Times New Roman"/>
          <w:b w:val="false"/>
          <w:i/>
          <w:color w:val="000000"/>
          <w:sz w:val="24"/>
        </w:rPr>
        <w:t>“a.”</w:t>
      </w:r>
    </w:p>
    <w:p>
      <w:pPr>
        <w:spacing w:before="0" w:after="0" w:line="480"/>
        <w:ind w:left="120"/>
        <w:jc w:val="both"/>
      </w:pPr>
      <w:r>
        <w:rPr>
          <w:rFonts w:ascii="Times New Roman" w:hAnsi="Times New Roman"/>
          <w:b/>
          <w:i w:val="false"/>
          <w:color w:val="000000"/>
          <w:sz w:val="24"/>
        </w:rPr>
        <w:t>567—102.706</w:t>
      </w:r>
      <w:r>
        <w:rPr>
          <w:rFonts w:ascii="Times New Roman" w:hAnsi="Times New Roman"/>
          <w:b/>
          <w:i w:val="false"/>
          <w:color w:val="000000"/>
          <w:sz w:val="24"/>
        </w:rPr>
        <w:t xml:space="preserve">(455D) </w:t>
      </w:r>
      <w:r>
        <w:rPr>
          <w:rFonts w:ascii="Times New Roman" w:hAnsi="Times New Roman"/>
          <w:b/>
          <w:i w:val="false"/>
          <w:color w:val="000000"/>
          <w:sz w:val="24"/>
        </w:rPr>
        <w:t xml:space="preserve">CRT recycling facility permit application requirements. </w:t>
      </w:r>
      <w:r>
        <w:rPr>
          <w:rFonts w:ascii="Times New Roman" w:hAnsi="Times New Roman"/>
          <w:b w:val="false"/>
          <w:i w:val="false"/>
          <w:color w:val="000000"/>
          <w:sz w:val="24"/>
        </w:rPr>
        <w:t xml:space="preserve">In addition to the requirements in </w:t>
      </w:r>
      <w:hyperlink r:id="rId263">
        <w:r>
          <w:rPr>
            <w:rStyle w:val="Hyperlink"/>
            <w:rFonts w:ascii="Times New Roman" w:hAnsi="Times New Roman"/>
            <w:b w:val="false"/>
            <w:i w:val="false"/>
            <w:color w:val="000000"/>
            <w:sz w:val="24"/>
          </w:rPr>
          <w:t>567—subrule 100.5(1)</w:t>
        </w:r>
      </w:hyperlink>
      <w:r>
        <w:rPr>
          <w:rFonts w:ascii="Times New Roman" w:hAnsi="Times New Roman"/>
          <w:b w:val="false"/>
          <w:i w:val="false"/>
          <w:color w:val="000000"/>
          <w:sz w:val="24"/>
        </w:rPr>
        <w:t>, a CRT recycling facility permit applicant shall submit the following information to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102.706(1)</w:t>
      </w:r>
      <w:r>
        <w:rPr>
          <w:rFonts w:ascii="Times New Roman" w:hAnsi="Times New Roman"/>
          <w:b w:val="false"/>
          <w:i w:val="false"/>
          <w:color w:val="000000"/>
          <w:sz w:val="24"/>
        </w:rPr>
        <w:t> </w:t>
      </w:r>
      <w:r>
        <w:rPr>
          <w:rFonts w:ascii="Times New Roman" w:hAnsi="Times New Roman"/>
          <w:b w:val="false"/>
          <w:i w:val="false"/>
          <w:color w:val="000000"/>
          <w:sz w:val="24"/>
        </w:rPr>
        <w:t>The physical location of any collection sites if separate from the main facility.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102.706(2)</w:t>
      </w:r>
      <w:r>
        <w:rPr>
          <w:rFonts w:ascii="Times New Roman" w:hAnsi="Times New Roman"/>
          <w:b w:val="false"/>
          <w:i w:val="false"/>
          <w:color w:val="000000"/>
          <w:sz w:val="24"/>
        </w:rPr>
        <w:t> </w:t>
      </w:r>
      <w:r>
        <w:rPr>
          <w:rFonts w:ascii="Times New Roman" w:hAnsi="Times New Roman"/>
          <w:b w:val="false"/>
          <w:i w:val="false"/>
          <w:color w:val="000000"/>
          <w:sz w:val="24"/>
        </w:rPr>
        <w:t>If the facility is leased, a signed statement from the property owner stating that the property owner is aware that CRT collection or recycling is taking place at the property and that the property owner may be held liable for wastes left at the property.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102.706(3)</w:t>
      </w:r>
      <w:r>
        <w:rPr>
          <w:rFonts w:ascii="Times New Roman" w:hAnsi="Times New Roman"/>
          <w:b w:val="false"/>
          <w:i w:val="false"/>
          <w:color w:val="000000"/>
          <w:sz w:val="24"/>
        </w:rPr>
        <w:t> </w:t>
      </w:r>
      <w:r>
        <w:rPr>
          <w:rFonts w:ascii="Times New Roman" w:hAnsi="Times New Roman"/>
          <w:b w:val="false"/>
          <w:i w:val="false"/>
          <w:color w:val="000000"/>
          <w:sz w:val="24"/>
        </w:rPr>
        <w:t>A brief description of the facility and the CRT processing that will take place.</w:t>
      </w:r>
    </w:p>
    <w:p>
      <w:pPr>
        <w:spacing w:before="0" w:after="0" w:line="480"/>
        <w:ind w:left="120"/>
        <w:jc w:val="both"/>
      </w:pPr>
      <w:r>
        <w:rPr>
          <w:rFonts w:ascii="Times New Roman" w:hAnsi="Times New Roman"/>
          <w:b/>
          <w:i w:val="false"/>
          <w:color w:val="000000"/>
          <w:sz w:val="24"/>
        </w:rPr>
        <w:t>567—102.707</w:t>
      </w:r>
      <w:r>
        <w:rPr>
          <w:rFonts w:ascii="Times New Roman" w:hAnsi="Times New Roman"/>
          <w:b/>
          <w:i w:val="false"/>
          <w:color w:val="000000"/>
          <w:sz w:val="24"/>
        </w:rPr>
        <w:t xml:space="preserve">(455D) </w:t>
      </w:r>
      <w:r>
        <w:rPr>
          <w:rFonts w:ascii="Times New Roman" w:hAnsi="Times New Roman"/>
          <w:b/>
          <w:i w:val="false"/>
          <w:color w:val="000000"/>
          <w:sz w:val="24"/>
        </w:rPr>
        <w:t xml:space="preserve">Discarded CRT management requirements. </w:t>
      </w:r>
      <w:r>
        <w:rPr>
          <w:rFonts w:ascii="Times New Roman" w:hAnsi="Times New Roman"/>
          <w:b w:val="false"/>
          <w:i w:val="false"/>
          <w:color w:val="000000"/>
          <w:sz w:val="24"/>
        </w:rPr>
        <w:t xml:space="preserve">CRT collection facilities and CRT recycling facilities shall manage all discarded CRTs in accordance with </w:t>
      </w:r>
      <w:r>
        <w:rPr>
          <w:rFonts w:ascii="Times New Roman" w:hAnsi="Times New Roman"/>
          <w:b w:val="false"/>
          <w:i w:val="false"/>
          <w:color w:val="000000"/>
          <w:sz w:val="24"/>
        </w:rPr>
        <w:t>40 CFR 261.39</w:t>
      </w:r>
      <w:r>
        <w:rPr>
          <w:rFonts w:ascii="Times New Roman" w:hAnsi="Times New Roman"/>
          <w:b w:val="false"/>
          <w:i w:val="false"/>
          <w:color w:val="000000"/>
          <w:sz w:val="24"/>
        </w:rPr>
        <w:t xml:space="preserve"> and </w:t>
      </w:r>
      <w:r>
        <w:rPr>
          <w:rFonts w:ascii="Times New Roman" w:hAnsi="Times New Roman"/>
          <w:b w:val="false"/>
          <w:i w:val="false"/>
          <w:color w:val="000000"/>
          <w:sz w:val="24"/>
        </w:rPr>
        <w:t>40 CFR 40</w:t>
      </w:r>
      <w:r>
        <w:rPr>
          <w:rFonts w:ascii="Times New Roman" w:hAnsi="Times New Roman"/>
          <w:b w:val="false"/>
          <w:i w:val="false"/>
          <w:color w:val="000000"/>
          <w:sz w:val="24"/>
        </w:rPr>
        <w:t xml:space="preserve"> CFR 260.43.</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102.707(1)</w:t>
      </w:r>
      <w:r>
        <w:rPr>
          <w:rFonts w:ascii="Times New Roman" w:hAnsi="Times New Roman"/>
          <w:b w:val="false"/>
          <w:i w:val="false"/>
          <w:color w:val="000000"/>
          <w:sz w:val="24"/>
        </w:rPr>
        <w:t> </w:t>
      </w:r>
      <w:r>
        <w:rPr>
          <w:rFonts w:ascii="Times New Roman" w:hAnsi="Times New Roman"/>
          <w:b w:val="false"/>
          <w:i w:val="false"/>
          <w:color w:val="000000"/>
          <w:sz w:val="24"/>
        </w:rPr>
        <w:t xml:space="preserve">Discarded CRTs and processed CRT glass shall not be speculatively accumulated pursuant to </w:t>
      </w:r>
      <w:r>
        <w:rPr>
          <w:rFonts w:ascii="Times New Roman" w:hAnsi="Times New Roman"/>
          <w:b w:val="false"/>
          <w:i w:val="false"/>
          <w:color w:val="000000"/>
          <w:sz w:val="24"/>
        </w:rPr>
        <w:t>40 CFR 261.1(c)</w:t>
      </w:r>
      <w:r>
        <w:rPr>
          <w:rFonts w:ascii="Times New Roman" w:hAnsi="Times New Roman"/>
          <w:b w:val="false"/>
          <w:i w:val="false"/>
          <w:color w:val="000000"/>
          <w:sz w:val="24"/>
        </w:rPr>
        <w:t>(8).</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102.707(2)</w:t>
      </w:r>
      <w:r>
        <w:rPr>
          <w:rFonts w:ascii="Times New Roman" w:hAnsi="Times New Roman"/>
          <w:b w:val="false"/>
          <w:i w:val="false"/>
          <w:color w:val="000000"/>
          <w:sz w:val="24"/>
        </w:rPr>
        <w:t> </w:t>
      </w:r>
      <w:r>
        <w:rPr>
          <w:rFonts w:ascii="Times New Roman" w:hAnsi="Times New Roman"/>
          <w:b w:val="false"/>
          <w:i w:val="false"/>
          <w:color w:val="000000"/>
          <w:sz w:val="24"/>
        </w:rPr>
        <w:t>Broken CRTs and processed CRT glass shall be stored either: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In a building with a roof, floor, and walls,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In a container (e.g., a package or a vehicle) that is constructed, filled, and closed to minimize releases to the environment of CRT glass (including fine solid materials).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102.707(3)</w:t>
      </w:r>
      <w:r>
        <w:rPr>
          <w:rFonts w:ascii="Times New Roman" w:hAnsi="Times New Roman"/>
          <w:b w:val="false"/>
          <w:i w:val="false"/>
          <w:color w:val="000000"/>
          <w:sz w:val="24"/>
        </w:rPr>
        <w:t> </w:t>
      </w:r>
      <w:r>
        <w:rPr>
          <w:rFonts w:ascii="Times New Roman" w:hAnsi="Times New Roman"/>
          <w:b w:val="false"/>
          <w:i w:val="false"/>
          <w:color w:val="000000"/>
          <w:sz w:val="24"/>
        </w:rPr>
        <w:t>Intact discarded CRTs shall be stored either: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In a building with a roof, floor, and walls, or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In a secure container (e.g., package or vehicle) that is constructed and maintained to minimize breakage of electronic waste and to prevent releases of hazardous materials to the environment.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102.707(4)</w:t>
      </w:r>
      <w:r>
        <w:rPr>
          <w:rFonts w:ascii="Times New Roman" w:hAnsi="Times New Roman"/>
          <w:b w:val="false"/>
          <w:i w:val="false"/>
          <w:color w:val="000000"/>
          <w:sz w:val="24"/>
        </w:rPr>
        <w:t> </w:t>
      </w:r>
      <w:r>
        <w:rPr>
          <w:rFonts w:ascii="Times New Roman" w:hAnsi="Times New Roman"/>
          <w:b w:val="false"/>
          <w:i w:val="false"/>
          <w:color w:val="000000"/>
          <w:sz w:val="24"/>
        </w:rPr>
        <w:t>Each container of broken CRTs or CRT glass must be labeled or marked clearly with one of the following phrases: “Used cathode ray tube(s)-contains leaded glass. Do not mix with other glass materials” or “Leaded glass from televisions or computers. Do not mix with other glass materials.” Each container shall also be labeled with the first date that material began to be accumulated in the container.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102.707(5)</w:t>
      </w:r>
      <w:r>
        <w:rPr>
          <w:rFonts w:ascii="Times New Roman" w:hAnsi="Times New Roman"/>
          <w:b w:val="false"/>
          <w:i w:val="false"/>
          <w:color w:val="000000"/>
          <w:sz w:val="24"/>
        </w:rPr>
        <w:t> </w:t>
      </w:r>
      <w:r>
        <w:rPr>
          <w:rFonts w:ascii="Times New Roman" w:hAnsi="Times New Roman"/>
          <w:b w:val="false"/>
          <w:i w:val="false"/>
          <w:color w:val="000000"/>
          <w:sz w:val="24"/>
        </w:rPr>
        <w:t>Each container or pallet of intact discarded CRTs shall be labeled with the first date that any material began to accumulate in the container or on the pallet.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102.707(6)</w:t>
      </w:r>
      <w:r>
        <w:rPr>
          <w:rFonts w:ascii="Times New Roman" w:hAnsi="Times New Roman"/>
          <w:b w:val="false"/>
          <w:i w:val="false"/>
          <w:color w:val="000000"/>
          <w:sz w:val="24"/>
        </w:rPr>
        <w:t> </w:t>
      </w:r>
      <w:r>
        <w:rPr>
          <w:rFonts w:ascii="Times New Roman" w:hAnsi="Times New Roman"/>
          <w:b w:val="false"/>
          <w:i w:val="false"/>
          <w:color w:val="000000"/>
          <w:sz w:val="24"/>
        </w:rPr>
        <w:t xml:space="preserve">Broken CRTs must be transported in a container meeting the requirements of </w:t>
      </w:r>
      <w:hyperlink r:id="rId264">
        <w:r>
          <w:rPr>
            <w:rStyle w:val="Hyperlink"/>
            <w:rFonts w:ascii="Times New Roman" w:hAnsi="Times New Roman"/>
            <w:b w:val="false"/>
            <w:i w:val="false"/>
            <w:color w:val="000000"/>
            <w:sz w:val="24"/>
          </w:rPr>
          <w:t>102.707(2)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102.707(7)</w:t>
      </w:r>
      <w:r>
        <w:rPr>
          <w:rFonts w:ascii="Times New Roman" w:hAnsi="Times New Roman"/>
          <w:b w:val="false"/>
          <w:i w:val="false"/>
          <w:color w:val="000000"/>
          <w:sz w:val="24"/>
        </w:rPr>
        <w:t> </w:t>
      </w:r>
      <w:r>
        <w:rPr>
          <w:rFonts w:ascii="Times New Roman" w:hAnsi="Times New Roman"/>
          <w:b w:val="false"/>
          <w:i w:val="false"/>
          <w:color w:val="000000"/>
          <w:sz w:val="24"/>
        </w:rPr>
        <w:t xml:space="preserve">CRT collection facilities or CRT recycling facilities that export broken CRTs shall also comply with </w:t>
      </w:r>
      <w:r>
        <w:rPr>
          <w:rFonts w:ascii="Times New Roman" w:hAnsi="Times New Roman"/>
          <w:b w:val="false"/>
          <w:i w:val="false"/>
          <w:color w:val="000000"/>
          <w:sz w:val="24"/>
        </w:rPr>
        <w:t>40 CFR 261.39(a)</w:t>
      </w:r>
      <w:r>
        <w:rPr>
          <w:rFonts w:ascii="Times New Roman" w:hAnsi="Times New Roman"/>
          <w:b w:val="false"/>
          <w:i w:val="false"/>
          <w:color w:val="000000"/>
          <w:sz w:val="24"/>
        </w:rPr>
        <w:t>(5).</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102.707(8)</w:t>
      </w:r>
      <w:r>
        <w:rPr>
          <w:rFonts w:ascii="Times New Roman" w:hAnsi="Times New Roman"/>
          <w:b w:val="false"/>
          <w:i w:val="false"/>
          <w:color w:val="000000"/>
          <w:sz w:val="24"/>
        </w:rPr>
        <w:t> </w:t>
      </w:r>
      <w:r>
        <w:rPr>
          <w:rFonts w:ascii="Times New Roman" w:hAnsi="Times New Roman"/>
          <w:b w:val="false"/>
          <w:i w:val="false"/>
          <w:color w:val="000000"/>
          <w:sz w:val="24"/>
        </w:rPr>
        <w:t xml:space="preserve">All processing of CRTs shall be processed according to </w:t>
      </w:r>
      <w:r>
        <w:rPr>
          <w:rFonts w:ascii="Times New Roman" w:hAnsi="Times New Roman"/>
          <w:b w:val="false"/>
          <w:i w:val="false"/>
          <w:color w:val="000000"/>
          <w:sz w:val="24"/>
        </w:rPr>
        <w:t>40 CFR 261.39(b)</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102.707(9)</w:t>
      </w:r>
      <w:r>
        <w:rPr>
          <w:rFonts w:ascii="Times New Roman" w:hAnsi="Times New Roman"/>
          <w:b w:val="false"/>
          <w:i w:val="false"/>
          <w:color w:val="000000"/>
          <w:sz w:val="24"/>
        </w:rPr>
        <w:t> </w:t>
      </w:r>
      <w:r>
        <w:rPr>
          <w:rFonts w:ascii="Times New Roman" w:hAnsi="Times New Roman"/>
          <w:b w:val="false"/>
          <w:i w:val="false"/>
          <w:color w:val="000000"/>
          <w:sz w:val="24"/>
        </w:rPr>
        <w:t>Failure to comply with this rule and the referenced CFR sections is grounds for termination of any permit or registration authorized by this rule.</w:t>
      </w:r>
    </w:p>
    <w:p>
      <w:pPr>
        <w:spacing w:before="0" w:after="0" w:line="480"/>
        <w:ind w:left="120"/>
        <w:jc w:val="both"/>
      </w:pPr>
      <w:r>
        <w:rPr>
          <w:rFonts w:ascii="Times New Roman" w:hAnsi="Times New Roman"/>
          <w:b/>
          <w:i w:val="false"/>
          <w:color w:val="000000"/>
          <w:sz w:val="24"/>
        </w:rPr>
        <w:t>567—102.708</w:t>
      </w:r>
      <w:r>
        <w:rPr>
          <w:rFonts w:ascii="Times New Roman" w:hAnsi="Times New Roman"/>
          <w:b/>
          <w:i w:val="false"/>
          <w:color w:val="000000"/>
          <w:sz w:val="24"/>
        </w:rPr>
        <w:t xml:space="preserve">(455D) </w:t>
      </w:r>
      <w:r>
        <w:rPr>
          <w:rFonts w:ascii="Times New Roman" w:hAnsi="Times New Roman"/>
          <w:b/>
          <w:i w:val="false"/>
          <w:color w:val="000000"/>
          <w:sz w:val="24"/>
        </w:rPr>
        <w:t xml:space="preserve">Recordkeeping requirements for CRT collection facilities.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102.708(1)</w:t>
      </w:r>
      <w:r>
        <w:rPr>
          <w:rFonts w:ascii="Times New Roman" w:hAnsi="Times New Roman"/>
          <w:b w:val="false"/>
          <w:i w:val="false"/>
          <w:color w:val="000000"/>
          <w:sz w:val="24"/>
        </w:rPr>
        <w:t> </w:t>
      </w:r>
      <w:r>
        <w:rPr>
          <w:rFonts w:ascii="Times New Roman" w:hAnsi="Times New Roman"/>
          <w:b w:val="false"/>
          <w:i w:val="false"/>
          <w:color w:val="000000"/>
          <w:sz w:val="24"/>
        </w:rPr>
        <w:t>All CRT collection facilities shall maintain the following records on a calendar year basis: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name and address of the facility receiving a shipment that left the CRT collection facility and contact information for the receiving facility.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type of service the receiving facility will provide to the CRT collection facility.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 description of the shipment contents.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All bills of lading.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All hazardous waste manifests.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102.708(2)</w:t>
      </w:r>
      <w:r>
        <w:rPr>
          <w:rFonts w:ascii="Times New Roman" w:hAnsi="Times New Roman"/>
          <w:b w:val="false"/>
          <w:i w:val="false"/>
          <w:color w:val="000000"/>
          <w:sz w:val="24"/>
        </w:rPr>
        <w:t> </w:t>
      </w:r>
      <w:r>
        <w:rPr>
          <w:rFonts w:ascii="Times New Roman" w:hAnsi="Times New Roman"/>
          <w:b w:val="false"/>
          <w:i w:val="false"/>
          <w:color w:val="000000"/>
          <w:sz w:val="24"/>
        </w:rPr>
        <w:t>Records must be maintained at the facility, must be submitted to the department upon request, and may be destroyed after three years.</w:t>
      </w:r>
    </w:p>
    <w:p>
      <w:pPr>
        <w:spacing w:before="0" w:after="0" w:line="480"/>
        <w:ind w:left="120"/>
        <w:jc w:val="both"/>
      </w:pPr>
      <w:r>
        <w:rPr>
          <w:rFonts w:ascii="Times New Roman" w:hAnsi="Times New Roman"/>
          <w:b/>
          <w:i w:val="false"/>
          <w:color w:val="000000"/>
          <w:sz w:val="24"/>
        </w:rPr>
        <w:t>567—102.709</w:t>
      </w:r>
      <w:r>
        <w:rPr>
          <w:rFonts w:ascii="Times New Roman" w:hAnsi="Times New Roman"/>
          <w:b/>
          <w:i w:val="false"/>
          <w:color w:val="000000"/>
          <w:sz w:val="24"/>
        </w:rPr>
        <w:t xml:space="preserve">(455D) </w:t>
      </w:r>
      <w:r>
        <w:rPr>
          <w:rFonts w:ascii="Times New Roman" w:hAnsi="Times New Roman"/>
          <w:b/>
          <w:i w:val="false"/>
          <w:color w:val="000000"/>
          <w:sz w:val="24"/>
        </w:rPr>
        <w:t xml:space="preserve">Recordkeeping requirements for CRT recycling facilities.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102.709(1)</w:t>
      </w:r>
      <w:r>
        <w:rPr>
          <w:rFonts w:ascii="Times New Roman" w:hAnsi="Times New Roman"/>
          <w:b w:val="false"/>
          <w:i w:val="false"/>
          <w:color w:val="000000"/>
          <w:sz w:val="24"/>
        </w:rPr>
        <w:t> </w:t>
      </w:r>
      <w:r>
        <w:rPr>
          <w:rFonts w:ascii="Times New Roman" w:hAnsi="Times New Roman"/>
          <w:b w:val="false"/>
          <w:i w:val="false"/>
          <w:color w:val="000000"/>
          <w:sz w:val="24"/>
        </w:rPr>
        <w:t>All CRT recycling facilities shall maintain the following records on a calendar year basis: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total aggregate weight and receipt date of each shipment of discarded CRTs received from businesses, institutions, CRT collection facilities, short-term CRT collection events, and other permitted CRT recycling facilities.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The name, address, and contact information for shipments reported pursuant to </w:t>
      </w:r>
      <w:hyperlink r:id="rId265">
        <w:r>
          <w:rPr>
            <w:rStyle w:val="Hyperlink"/>
            <w:rFonts w:ascii="Times New Roman" w:hAnsi="Times New Roman"/>
            <w:b w:val="false"/>
            <w:i w:val="false"/>
            <w:color w:val="000000"/>
            <w:sz w:val="24"/>
          </w:rPr>
          <w:t>102.710(2)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total aggregate weight and date of each shipment leaving the CRT recycling facility.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The name and address of the facility receiving a shipment that left the CRT recycling facility, contact information for the receiving facility, and a description of the shipment contents including all applicable bills of lading.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The type of service the receiving facility will provide to the CRT recycling facility.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All hazardous waste manifests.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102.709(2)</w:t>
      </w:r>
      <w:r>
        <w:rPr>
          <w:rFonts w:ascii="Times New Roman" w:hAnsi="Times New Roman"/>
          <w:b w:val="false"/>
          <w:i w:val="false"/>
          <w:color w:val="000000"/>
          <w:sz w:val="24"/>
        </w:rPr>
        <w:t> </w:t>
      </w:r>
      <w:r>
        <w:rPr>
          <w:rFonts w:ascii="Times New Roman" w:hAnsi="Times New Roman"/>
          <w:b w:val="false"/>
          <w:i w:val="false"/>
          <w:color w:val="000000"/>
          <w:sz w:val="24"/>
        </w:rPr>
        <w:t>Records must be maintained at the facility, must be available for review by the department on demand, and may be destroyed after three years.</w:t>
      </w:r>
    </w:p>
    <w:p>
      <w:pPr>
        <w:spacing w:before="0" w:after="0" w:line="480"/>
        <w:ind w:left="120"/>
        <w:jc w:val="both"/>
      </w:pPr>
      <w:r>
        <w:rPr>
          <w:rFonts w:ascii="Times New Roman" w:hAnsi="Times New Roman"/>
          <w:b/>
          <w:i w:val="false"/>
          <w:color w:val="000000"/>
          <w:sz w:val="24"/>
        </w:rPr>
        <w:t>567—102.710</w:t>
      </w:r>
      <w:r>
        <w:rPr>
          <w:rFonts w:ascii="Times New Roman" w:hAnsi="Times New Roman"/>
          <w:b/>
          <w:i w:val="false"/>
          <w:color w:val="000000"/>
          <w:sz w:val="24"/>
        </w:rPr>
        <w:t xml:space="preserve">(455D) </w:t>
      </w:r>
      <w:r>
        <w:rPr>
          <w:rFonts w:ascii="Times New Roman" w:hAnsi="Times New Roman"/>
          <w:b/>
          <w:i w:val="false"/>
          <w:color w:val="000000"/>
          <w:sz w:val="24"/>
        </w:rPr>
        <w:t xml:space="preserve">Reporting requirements. </w:t>
      </w:r>
      <w:r>
        <w:rPr>
          <w:rFonts w:ascii="Times New Roman" w:hAnsi="Times New Roman"/>
          <w:b w:val="false"/>
          <w:i w:val="false"/>
          <w:color w:val="000000"/>
          <w:sz w:val="24"/>
        </w:rPr>
        <w:t>CRT collection facilities and CRT recycling facilities shall report the following information, on a form provided by the department, to the department by February 1 of each year for the previous calendar year.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102.710(1)</w:t>
      </w:r>
      <w:r>
        <w:rPr>
          <w:rFonts w:ascii="Times New Roman" w:hAnsi="Times New Roman"/>
          <w:b w:val="false"/>
          <w:i w:val="false"/>
          <w:color w:val="000000"/>
          <w:sz w:val="24"/>
        </w:rPr>
        <w:t> </w:t>
      </w:r>
      <w:r>
        <w:rPr>
          <w:rFonts w:ascii="Times New Roman" w:hAnsi="Times New Roman"/>
          <w:b w:val="false"/>
          <w:i w:val="false"/>
          <w:color w:val="000000"/>
          <w:sz w:val="24"/>
        </w:rPr>
        <w:t>The amount, either by weight or volume, of discarded CRTs and processed CRT glass on site on January 1.</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102.710(2)</w:t>
      </w:r>
      <w:r>
        <w:rPr>
          <w:rFonts w:ascii="Times New Roman" w:hAnsi="Times New Roman"/>
          <w:b w:val="false"/>
          <w:i w:val="false"/>
          <w:color w:val="000000"/>
          <w:sz w:val="24"/>
        </w:rPr>
        <w:t> </w:t>
      </w:r>
      <w:r>
        <w:rPr>
          <w:rFonts w:ascii="Times New Roman" w:hAnsi="Times New Roman"/>
          <w:b w:val="false"/>
          <w:i w:val="false"/>
          <w:color w:val="000000"/>
          <w:sz w:val="24"/>
        </w:rPr>
        <w:t>The amount, either by weight or by volume, of discarded CRTs and CRT glass recycled or transferred for recycling during the calendar year.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102.710(3)</w:t>
      </w:r>
      <w:r>
        <w:rPr>
          <w:rFonts w:ascii="Times New Roman" w:hAnsi="Times New Roman"/>
          <w:b w:val="false"/>
          <w:i w:val="false"/>
          <w:color w:val="000000"/>
          <w:sz w:val="24"/>
        </w:rPr>
        <w:t> </w:t>
      </w:r>
      <w:r>
        <w:rPr>
          <w:rFonts w:ascii="Times New Roman" w:hAnsi="Times New Roman"/>
          <w:b w:val="false"/>
          <w:i w:val="false"/>
          <w:color w:val="000000"/>
          <w:sz w:val="24"/>
        </w:rPr>
        <w:t>The amount, either by weight or by volume, of discarded CRTs and processed CRT glass on site on December 31.</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102.710(4)</w:t>
      </w:r>
      <w:r>
        <w:rPr>
          <w:rFonts w:ascii="Times New Roman" w:hAnsi="Times New Roman"/>
          <w:b w:val="false"/>
          <w:i w:val="false"/>
          <w:color w:val="000000"/>
          <w:sz w:val="24"/>
        </w:rPr>
        <w:t> </w:t>
      </w:r>
      <w:r>
        <w:rPr>
          <w:rFonts w:ascii="Times New Roman" w:hAnsi="Times New Roman"/>
          <w:b w:val="false"/>
          <w:i w:val="false"/>
          <w:color w:val="000000"/>
          <w:sz w:val="24"/>
        </w:rPr>
        <w:t>Indication of whether the CRTs received over the past year were generated by households, businesses, or both households and businesses.</w:t>
      </w:r>
    </w:p>
    <w:p>
      <w:pPr>
        <w:spacing w:before="0" w:after="0" w:line="480"/>
        <w:ind w:left="120"/>
        <w:jc w:val="both"/>
      </w:pPr>
      <w:r>
        <w:rPr>
          <w:rFonts w:ascii="Times New Roman" w:hAnsi="Times New Roman"/>
          <w:b w:val="false"/>
          <w:i w:val="false"/>
          <w:color w:val="000000"/>
          <w:sz w:val="24"/>
        </w:rPr>
        <w:t xml:space="preserve">These rules are intended to implement Iowa Code section </w:t>
      </w:r>
      <w:hyperlink r:id="rId266">
        <w:r>
          <w:rPr>
            <w:rStyle w:val="Hyperlink"/>
            <w:rFonts w:ascii="Times New Roman" w:hAnsi="Times New Roman"/>
            <w:b w:val="false"/>
            <w:i w:val="false"/>
            <w:color w:val="000000"/>
            <w:sz w:val="24"/>
          </w:rPr>
          <w:t>455D.6(5)</w:t>
        </w:r>
      </w:hyperlink>
      <w:r>
        <w:rPr>
          <w:rFonts w:ascii="Times New Roman" w:hAnsi="Times New Roman"/>
          <w:b w:val="false"/>
          <w:i w:val="false"/>
          <w:color w:val="000000"/>
          <w:sz w:val="24"/>
        </w:rPr>
        <w:t>.</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2.</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and reserve </w:t>
      </w:r>
      <w:r>
        <w:rPr>
          <w:rFonts w:ascii="Times New Roman" w:hAnsi="Times New Roman"/>
          <w:b/>
          <w:i w:val="false"/>
          <w:color w:val="000000"/>
          <w:sz w:val="24"/>
        </w:rPr>
        <w:t>567—Chapter 108</w:t>
      </w:r>
      <w:r>
        <w:rPr>
          <w:rFonts w:ascii="Times New Roman" w:hAnsi="Times New Roman"/>
          <w:b w:val="false"/>
          <w:i w:val="false"/>
          <w:color w:val="000000"/>
          <w:sz w:val="24"/>
        </w:rPr>
        <w:t>.</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3.</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and reserve </w:t>
      </w:r>
      <w:r>
        <w:rPr>
          <w:rFonts w:ascii="Times New Roman" w:hAnsi="Times New Roman"/>
          <w:b/>
          <w:i w:val="false"/>
          <w:color w:val="000000"/>
          <w:sz w:val="24"/>
        </w:rPr>
        <w:t>567—Chapter 116</w:t>
      </w:r>
      <w:r>
        <w:rPr>
          <w:rFonts w:ascii="Times New Roman" w:hAnsi="Times New Roman"/>
          <w:b w:val="false"/>
          <w:i w:val="false"/>
          <w:color w:val="000000"/>
          <w:sz w:val="24"/>
        </w:rPr>
        <w:t>.</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4.</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and reserve </w:t>
      </w:r>
      <w:r>
        <w:rPr>
          <w:rFonts w:ascii="Times New Roman" w:hAnsi="Times New Roman"/>
          <w:b/>
          <w:i w:val="false"/>
          <w:color w:val="000000"/>
          <w:sz w:val="24"/>
        </w:rPr>
        <w:t>567—Chapter 117</w:t>
      </w:r>
      <w:r>
        <w:rPr>
          <w:rFonts w:ascii="Times New Roman" w:hAnsi="Times New Roman"/>
          <w:b w:val="false"/>
          <w:i w:val="false"/>
          <w:color w:val="000000"/>
          <w:sz w:val="24"/>
        </w:rPr>
        <w:t>.</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5.</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and reserve </w:t>
      </w:r>
      <w:r>
        <w:rPr>
          <w:rFonts w:ascii="Times New Roman" w:hAnsi="Times New Roman"/>
          <w:b/>
          <w:i w:val="false"/>
          <w:color w:val="000000"/>
          <w:sz w:val="24"/>
        </w:rPr>
        <w:t>567—Chapter 118</w:t>
      </w:r>
      <w:r>
        <w:rPr>
          <w:rFonts w:ascii="Times New Roman" w:hAnsi="Times New Roman"/>
          <w:b w:val="false"/>
          <w:i w:val="false"/>
          <w:color w:val="000000"/>
          <w:sz w:val="24"/>
        </w:rPr>
        <w:t>.</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6.</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and reserve </w:t>
      </w:r>
      <w:r>
        <w:rPr>
          <w:rFonts w:ascii="Times New Roman" w:hAnsi="Times New Roman"/>
          <w:b/>
          <w:i w:val="false"/>
          <w:color w:val="000000"/>
          <w:sz w:val="24"/>
        </w:rPr>
        <w:t>567—Chapter 120</w:t>
      </w:r>
      <w:r>
        <w:rPr>
          <w:rFonts w:ascii="Times New Roman" w:hAnsi="Times New Roman"/>
          <w:b w:val="false"/>
          <w:i w:val="false"/>
          <w:color w:val="000000"/>
          <w:sz w:val="24"/>
        </w:rPr>
        <w:t>.</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7.</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and reserve </w:t>
      </w:r>
      <w:r>
        <w:rPr>
          <w:rFonts w:ascii="Times New Roman" w:hAnsi="Times New Roman"/>
          <w:b/>
          <w:i w:val="false"/>
          <w:color w:val="000000"/>
          <w:sz w:val="24"/>
        </w:rPr>
        <w:t>567—Chapter 121</w:t>
      </w:r>
      <w:r>
        <w:rPr>
          <w:rFonts w:ascii="Times New Roman" w:hAnsi="Times New Roman"/>
          <w:b w:val="false"/>
          <w:i w:val="false"/>
          <w:color w:val="000000"/>
          <w:sz w:val="24"/>
        </w:rPr>
        <w:t>.</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8.</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and reserve </w:t>
      </w:r>
      <w:r>
        <w:rPr>
          <w:rFonts w:ascii="Times New Roman" w:hAnsi="Times New Roman"/>
          <w:b/>
          <w:i w:val="false"/>
          <w:color w:val="000000"/>
          <w:sz w:val="24"/>
        </w:rPr>
        <w:t>567—Chapter 122</w:t>
      </w:r>
      <w:r>
        <w:rPr>
          <w:rFonts w:ascii="Times New Roman" w:hAnsi="Times New Roman"/>
          <w:b w:val="false"/>
          <w:i w:val="false"/>
          <w:color w:val="000000"/>
          <w:sz w:val="24"/>
        </w:rPr>
        <w:t>.</w:t>
      </w:r>
    </w:p>
    <w:p>
      <w:pPr>
        <w:spacing w:before="0" w:after="0" w:line="480"/>
        <w:ind w:left="120"/>
        <w:jc w:val="center"/>
      </w:pPr>
      <w:r>
        <w:rPr>
          <w:rFonts w:ascii="Times New Roman" w:hAnsi="Times New Roman"/>
          <w:b w:val="false"/>
          <w:i w:val="false"/>
          <w:color w:val="000000"/>
          <w:sz w:val="24"/>
        </w:rPr>
        <w:t>[Filed 7/24/26, effective 9/23/26]</w:t>
      </w:r>
    </w:p>
    <w:p>
      <w:pPr>
        <w:spacing w:before="0" w:after="0" w:line="480"/>
        <w:ind w:left="120"/>
        <w:jc w:val="center"/>
      </w:pPr>
      <w:r>
        <w:rPr>
          <w:rFonts w:ascii="Times New Roman" w:hAnsi="Times New Roman"/>
          <w:b w:val="false"/>
          <w:i w:val="false"/>
          <w:color w:val="000000"/>
          <w:sz w:val="24"/>
        </w:rPr>
        <w:t>[Published 8/19/26]</w:t>
      </w:r>
    </w:p>
    <w:p>
      <w:pPr>
        <w:spacing w:before="0" w:after="0" w:line="480"/>
        <w:ind w:left="120"/>
        <w:jc w:val="left"/>
      </w:pPr>
      <w:r>
        <w:rPr>
          <w:rFonts w:ascii="Times New Roman" w:hAnsi="Times New Roman"/>
          <w:b w:val="false"/>
          <w:i w:val="false"/>
          <w:color w:val="000000"/>
          <w:sz w:val="24"/>
        </w:rPr>
        <w:t xml:space="preserve">EDITOR’S NOTE: </w:t>
      </w:r>
      <w:r>
        <w:rPr>
          <w:rFonts w:ascii="Times New Roman" w:hAnsi="Times New Roman"/>
          <w:b w:val="false"/>
          <w:i w:val="false"/>
          <w:color w:val="000000"/>
          <w:sz w:val="24"/>
        </w:rPr>
        <w:t>For replacement pages for IAC, see IAC Supplement 8/19/26.</w:t>
      </w:r>
    </w:p>
    <w:p>
      <w:pPr>
        <w:spacing w:before="0" w:after="0" w:line="480"/>
        <w:ind w:left="120"/>
        <w:jc w:val="left"/>
      </w:pPr>
      <w:bookmarkStart w:name="lastARC" w:id="2"/>
      <w:bookmarkEnd w:id="2"/>
    </w:p>
    <w:sectPr>
      <w:footerReference r:id="rId267"/>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committees/meetings/meetingsListComm?groupID=705&amp;ga=91" Type="http://schemas.openxmlformats.org/officeDocument/2006/relationships/hyperlink" Id="rId4"/>
    <Relationship TargetMode="External" Target="https://www.legis.iowa.gov/docs/iac/chapter/567.65.pdf" Type="http://schemas.openxmlformats.org/officeDocument/2006/relationships/hyperlink" Id="rId5"/>
    <Relationship TargetMode="External" Target="https://www.legis.iowa.gov/docs/ico/chapter/200A.pdf" Type="http://schemas.openxmlformats.org/officeDocument/2006/relationships/hyperlink" Id="rId6"/>
    <Relationship TargetMode="External" Target="https://www.legis.iowa.gov/docs/ico/chapter/200.pdf" Type="http://schemas.openxmlformats.org/officeDocument/2006/relationships/hyperlink" Id="rId7"/>
    <Relationship TargetMode="External" Target="https://www.legis.iowa.gov/docs/ico/chapter/455B.301.pdf" Type="http://schemas.openxmlformats.org/officeDocument/2006/relationships/hyperlink" Id="rId8"/>
    <Relationship TargetMode="External" Target="https://www.legis.iowa.gov/docs/ico/chapter/455D.9.pdf" Type="http://schemas.openxmlformats.org/officeDocument/2006/relationships/hyperlink" Id="rId9"/>
    <Relationship TargetMode="External" Target="https://www.legis.iowa.gov/docs/iac/chapter/567.100.pdf" Type="http://schemas.openxmlformats.org/officeDocument/2006/relationships/hyperlink" Id="rId10"/>
    <Relationship TargetMode="External" Target="https://www.legis.iowa.gov/docs/iac/chapter/567.65.pdf" Type="http://schemas.openxmlformats.org/officeDocument/2006/relationships/hyperlink" Id="rId11"/>
    <Relationship TargetMode="External" Target="https://www.legis.iowa.gov/docs/iac/rule/567.109.3.pdf" Type="http://schemas.openxmlformats.org/officeDocument/2006/relationships/hyperlink" Id="rId12"/>
    <Relationship TargetMode="External" Target="https://www.legis.iowa.gov/docs/ico/chapter/455B.411.pdf" Type="http://schemas.openxmlformats.org/officeDocument/2006/relationships/hyperlink" Id="rId13"/>
    <Relationship TargetMode="External" Target="https://www.legis.iowa.gov/docs/iac/rule/567.102.9.pdf" Type="http://schemas.openxmlformats.org/officeDocument/2006/relationships/hyperlink" Id="rId14"/>
    <Relationship TargetMode="External" Target="https://www.legis.iowa.gov/docs/ico/chapter/657.pdf" Type="http://schemas.openxmlformats.org/officeDocument/2006/relationships/hyperlink" Id="rId15"/>
    <Relationship TargetMode="External" Target="https://www.legis.iowa.gov/docs/iac/chapter/567.65.pdf" Type="http://schemas.openxmlformats.org/officeDocument/2006/relationships/hyperlink" Id="rId16"/>
    <Relationship TargetMode="External" Target="https://www.legis.iowa.gov/docs/iac/rule/567.102.4.pdf" Type="http://schemas.openxmlformats.org/officeDocument/2006/relationships/hyperlink" Id="rId17"/>
    <Relationship TargetMode="External" Target="https://www.legis.iowa.gov/docs/iac/rule/567.71.5.pdf" Type="http://schemas.openxmlformats.org/officeDocument/2006/relationships/hyperlink" Id="rId18"/>
    <Relationship TargetMode="External" Target="https://www.legis.iowa.gov/docs/iac/chapter/567.60.pdf" Type="http://schemas.openxmlformats.org/officeDocument/2006/relationships/hyperlink" Id="rId19"/>
    <Relationship TargetMode="External" Target="https://www.legis.iowa.gov/docs/iac/rule/567.102.11.pdf" Type="http://schemas.openxmlformats.org/officeDocument/2006/relationships/hyperlink" Id="rId20"/>
    <Relationship TargetMode="External" Target="https://www.legis.iowa.gov/docs/iac/rule/567.102.5.pdf" Type="http://schemas.openxmlformats.org/officeDocument/2006/relationships/hyperlink" Id="rId21"/>
    <Relationship TargetMode="External" Target="https://www.legis.iowa.gov/docs/iac/rule/567.102.11.pdf" Type="http://schemas.openxmlformats.org/officeDocument/2006/relationships/hyperlink" Id="rId22"/>
    <Relationship TargetMode="External" Target="https://www.legis.iowa.gov/docs/iac/rule/567.100.4.pdf" Type="http://schemas.openxmlformats.org/officeDocument/2006/relationships/hyperlink" Id="rId23"/>
    <Relationship TargetMode="External" Target="https://www.legis.iowa.gov/docs/iac/rule/567.100.5.pdf" Type="http://schemas.openxmlformats.org/officeDocument/2006/relationships/hyperlink" Id="rId24"/>
    <Relationship TargetMode="External" Target="https://www.legis.iowa.gov/docs/iac/rule/567.102.9.pdf" Type="http://schemas.openxmlformats.org/officeDocument/2006/relationships/hyperlink" Id="rId25"/>
    <Relationship TargetMode="External" Target="https://www.legis.iowa.gov/docs/iac/rule/567.100.10.pdf" Type="http://schemas.openxmlformats.org/officeDocument/2006/relationships/hyperlink" Id="rId26"/>
    <Relationship TargetMode="External" Target="https://www.legis.iowa.gov/docs/iac/rule/567.102.5.pdf" Type="http://schemas.openxmlformats.org/officeDocument/2006/relationships/hyperlink" Id="rId27"/>
    <Relationship TargetMode="External" Target="https://www.legis.iowa.gov/docs/iac/rule/567.102.4.pdf" Type="http://schemas.openxmlformats.org/officeDocument/2006/relationships/hyperlink" Id="rId28"/>
    <Relationship TargetMode="External" Target="https://www.legis.iowa.gov/docs/iac/rule/567.102.11.pdf" Type="http://schemas.openxmlformats.org/officeDocument/2006/relationships/hyperlink" Id="rId29"/>
    <Relationship TargetMode="External" Target="https://www.legis.iowa.gov/docs/iac/rule/567.102.9.pdf" Type="http://schemas.openxmlformats.org/officeDocument/2006/relationships/hyperlink" Id="rId30"/>
    <Relationship TargetMode="External" Target="https://www.legis.iowa.gov/docs/iac/rule/567.102.9.pdf" Type="http://schemas.openxmlformats.org/officeDocument/2006/relationships/hyperlink" Id="rId31"/>
    <Relationship TargetMode="External" Target="https://www.legis.iowa.gov/docs/iac/rule/567.102.9.pdf" Type="http://schemas.openxmlformats.org/officeDocument/2006/relationships/hyperlink" Id="rId32"/>
    <Relationship TargetMode="External" Target="https://www.legis.iowa.gov/docs/iac/rule/567.102.9.pdf" Type="http://schemas.openxmlformats.org/officeDocument/2006/relationships/hyperlink" Id="rId33"/>
    <Relationship TargetMode="External" Target="https://www.legis.iowa.gov/docs/iac/rule/567.102.9.pdf" Type="http://schemas.openxmlformats.org/officeDocument/2006/relationships/hyperlink" Id="rId34"/>
    <Relationship TargetMode="External" Target="https://www.legis.iowa.gov/docs/iac/chapter/567.100.pdf" Type="http://schemas.openxmlformats.org/officeDocument/2006/relationships/hyperlink" Id="rId35"/>
    <Relationship TargetMode="External" Target="https://www.legis.iowa.gov/docs/iac/chapter/567.102.pdf" Type="http://schemas.openxmlformats.org/officeDocument/2006/relationships/hyperlink" Id="rId36"/>
    <Relationship TargetMode="External" Target="https://www.legis.iowa.gov/docs/iac/rule/567.102.10.pdf" Type="http://schemas.openxmlformats.org/officeDocument/2006/relationships/hyperlink" Id="rId37"/>
    <Relationship TargetMode="External" Target="https://www.legis.iowa.gov/docs/iac/chapter/567.100.pdf" Type="http://schemas.openxmlformats.org/officeDocument/2006/relationships/hyperlink" Id="rId38"/>
    <Relationship TargetMode="External" Target="https://www.legis.iowa.gov/docs/iac/chapter/567.123.pdf" Type="http://schemas.openxmlformats.org/officeDocument/2006/relationships/hyperlink" Id="rId39"/>
    <Relationship TargetMode="External" Target="https://www.legis.iowa.gov/docs/iac/rule/567.102.10.pdf" Type="http://schemas.openxmlformats.org/officeDocument/2006/relationships/hyperlink" Id="rId40"/>
    <Relationship TargetMode="External" Target="https://www.legis.iowa.gov/docs/iac/rule/567.102.10.pdf" Type="http://schemas.openxmlformats.org/officeDocument/2006/relationships/hyperlink" Id="rId41"/>
    <Relationship TargetMode="External" Target="https://www.legis.iowa.gov/docs/iac/rule/567.101.708.pdf" Type="http://schemas.openxmlformats.org/officeDocument/2006/relationships/hyperlink" Id="rId42"/>
    <Relationship TargetMode="External" Target="https://www.legis.iowa.gov/docs/iac/rule/567.101.707.pdf" Type="http://schemas.openxmlformats.org/officeDocument/2006/relationships/hyperlink" Id="rId43"/>
    <Relationship TargetMode="External" Target="https://www.legis.iowa.gov/docs/iac/rule/567.101.707.pdf" Type="http://schemas.openxmlformats.org/officeDocument/2006/relationships/hyperlink" Id="rId44"/>
    <Relationship TargetMode="External" Target="https://www.legis.iowa.gov/docs/iac/rule/567.101.707.pdf" Type="http://schemas.openxmlformats.org/officeDocument/2006/relationships/hyperlink" Id="rId45"/>
    <Relationship TargetMode="External" Target="https://www.legis.iowa.gov/docs/iac/rule/567.101.707.pdf" Type="http://schemas.openxmlformats.org/officeDocument/2006/relationships/hyperlink" Id="rId46"/>
    <Relationship TargetMode="External" Target="https://www.legis.iowa.gov/docs/iac/rule/567.101.707.pdf" Type="http://schemas.openxmlformats.org/officeDocument/2006/relationships/hyperlink" Id="rId47"/>
    <Relationship TargetMode="External" Target="https://www.legis.iowa.gov/docs/iac/rule/567.101.707.pdf" Type="http://schemas.openxmlformats.org/officeDocument/2006/relationships/hyperlink" Id="rId48"/>
    <Relationship TargetMode="External" Target="https://www.legis.iowa.gov/docs/iac/rule/567.102.11.pdf" Type="http://schemas.openxmlformats.org/officeDocument/2006/relationships/hyperlink" Id="rId49"/>
    <Relationship TargetMode="External" Target="https://www.legis.iowa.gov/docs/ico/chapter/455D.9.pdf" Type="http://schemas.openxmlformats.org/officeDocument/2006/relationships/hyperlink" Id="rId50"/>
    <Relationship TargetMode="External" Target="https://www.legis.iowa.gov/docs/iac/chapter/567.60.pdf" Type="http://schemas.openxmlformats.org/officeDocument/2006/relationships/hyperlink" Id="rId51"/>
    <Relationship TargetMode="External" Target="https://www.legis.iowa.gov/docs/iac/chapter/567.63.pdf" Type="http://schemas.openxmlformats.org/officeDocument/2006/relationships/hyperlink" Id="rId52"/>
    <Relationship TargetMode="External" Target="https://www.legis.iowa.gov/docs/ico/chapter/455B.301.pdf" Type="http://schemas.openxmlformats.org/officeDocument/2006/relationships/hyperlink" Id="rId53"/>
    <Relationship TargetMode="External" Target="https://www.legis.iowa.gov/docs/iac/chapter/567.100.pdf" Type="http://schemas.openxmlformats.org/officeDocument/2006/relationships/hyperlink" Id="rId54"/>
    <Relationship TargetMode="External" Target="https://www.legis.iowa.gov/docs/iac/chapter/567.67.pdf" Type="http://schemas.openxmlformats.org/officeDocument/2006/relationships/hyperlink" Id="rId55"/>
    <Relationship Target="media/document_image_rId56.png" Type="http://schemas.openxmlformats.org/officeDocument/2006/relationships/image" Id="rId56"/>
    <Relationship TargetMode="External" Target="https://www.legis.iowa.gov/docs/iac/rule/567.40.2.pdf" Type="http://schemas.openxmlformats.org/officeDocument/2006/relationships/hyperlink" Id="rId57"/>
    <Relationship TargetMode="External" Target="https://www.legis.iowa.gov/docs/iac/rule/567.40.2.pdf" Type="http://schemas.openxmlformats.org/officeDocument/2006/relationships/hyperlink" Id="rId58"/>
    <Relationship TargetMode="External" Target="https://www.legis.iowa.gov/docs/iac/rule/567.102.104.pdf" Type="http://schemas.openxmlformats.org/officeDocument/2006/relationships/hyperlink" Id="rId59"/>
    <Relationship TargetMode="External" Target="https://www.legis.iowa.gov/docs/iac/rule/567.102.103.pdf" Type="http://schemas.openxmlformats.org/officeDocument/2006/relationships/hyperlink" Id="rId60"/>
    <Relationship TargetMode="External" Target="https://www.legis.iowa.gov/docs/iac/rule/567.102.103.pdf" Type="http://schemas.openxmlformats.org/officeDocument/2006/relationships/hyperlink" Id="rId61"/>
    <Relationship TargetMode="External" Target="https://www.legis.iowa.gov/docs/iac/rule/567.102.104.pdf" Type="http://schemas.openxmlformats.org/officeDocument/2006/relationships/hyperlink" Id="rId62"/>
    <Relationship TargetMode="External" Target="https://www.legis.iowa.gov/docs/iac/rule/567.102.105.pdf" Type="http://schemas.openxmlformats.org/officeDocument/2006/relationships/hyperlink" Id="rId63"/>
    <Relationship TargetMode="External" Target="https://www.legis.iowa.gov/docs/iac/rule/567.102.103.pdf" Type="http://schemas.openxmlformats.org/officeDocument/2006/relationships/hyperlink" Id="rId64"/>
    <Relationship TargetMode="External" Target="https://www.legis.iowa.gov/docs/iac/chapter/567.83.pdf" Type="http://schemas.openxmlformats.org/officeDocument/2006/relationships/hyperlink" Id="rId65"/>
    <Relationship TargetMode="External" Target="https://www.legis.iowa.gov/docs/iac/rule/567.102.102.pdf" Type="http://schemas.openxmlformats.org/officeDocument/2006/relationships/hyperlink" Id="rId66"/>
    <Relationship TargetMode="External" Target="https://www.legis.iowa.gov/docs/iac/rule/567.102.106.pdf" Type="http://schemas.openxmlformats.org/officeDocument/2006/relationships/hyperlink" Id="rId67"/>
    <Relationship TargetMode="External" Target="https://www.legis.iowa.gov/docs/iac/rule/567.100.4.pdf" Type="http://schemas.openxmlformats.org/officeDocument/2006/relationships/hyperlink" Id="rId68"/>
    <Relationship TargetMode="External" Target="https://www.legis.iowa.gov/docs/iac/rule/567.100.5.pdf" Type="http://schemas.openxmlformats.org/officeDocument/2006/relationships/hyperlink" Id="rId69"/>
    <Relationship TargetMode="External" Target="https://www.legis.iowa.gov/docs/iac/rule/567.102.103.pdf" Type="http://schemas.openxmlformats.org/officeDocument/2006/relationships/hyperlink" Id="rId70"/>
    <Relationship TargetMode="External" Target="https://www.legis.iowa.gov/docs/iac/chapter/567.83.pdf" Type="http://schemas.openxmlformats.org/officeDocument/2006/relationships/hyperlink" Id="rId71"/>
    <Relationship TargetMode="External" Target="https://www.legis.iowa.gov/docs/iac/rule/567.102.105.pdf" Type="http://schemas.openxmlformats.org/officeDocument/2006/relationships/hyperlink" Id="rId72"/>
    <Relationship TargetMode="External" Target="https://www.legis.iowa.gov/docs/iac/rule/567.102.105.pdf" Type="http://schemas.openxmlformats.org/officeDocument/2006/relationships/hyperlink" Id="rId73"/>
    <Relationship TargetMode="External" Target="https://www.legis.iowa.gov/docs/iac/rule/567.40.2.pdf" Type="http://schemas.openxmlformats.org/officeDocument/2006/relationships/hyperlink" Id="rId74"/>
    <Relationship TargetMode="External" Target="https://www.legis.iowa.gov/docs/iac/rule/567.102.104.pdf" Type="http://schemas.openxmlformats.org/officeDocument/2006/relationships/hyperlink" Id="rId75"/>
    <Relationship TargetMode="External" Target="https://www.legis.iowa.gov/docs/iac/rule/567.102.108.pdf" Type="http://schemas.openxmlformats.org/officeDocument/2006/relationships/hyperlink" Id="rId76"/>
    <Relationship TargetMode="External" Target="https://www.legis.iowa.gov/docs/iac/rule/567.40.2.pdf" Type="http://schemas.openxmlformats.org/officeDocument/2006/relationships/hyperlink" Id="rId77"/>
    <Relationship TargetMode="External" Target="https://www.legis.iowa.gov/docs/iac/rule/567.102.108.pdf" Type="http://schemas.openxmlformats.org/officeDocument/2006/relationships/hyperlink" Id="rId78"/>
    <Relationship TargetMode="External" Target="https://www.legis.iowa.gov/docs/iac/rule/567.102.10.pdf" Type="http://schemas.openxmlformats.org/officeDocument/2006/relationships/hyperlink" Id="rId79"/>
    <Relationship TargetMode="External" Target="https://www.legis.iowa.gov/docs/iac/rule/567.101.708.pdf" Type="http://schemas.openxmlformats.org/officeDocument/2006/relationships/hyperlink" Id="rId80"/>
    <Relationship TargetMode="External" Target="https://www.legis.iowa.gov/docs/iac/rule/567.101.707.pdf" Type="http://schemas.openxmlformats.org/officeDocument/2006/relationships/hyperlink" Id="rId81"/>
    <Relationship TargetMode="External" Target="https://www.legis.iowa.gov/docs/iac/rule/567.101.707.pdf" Type="http://schemas.openxmlformats.org/officeDocument/2006/relationships/hyperlink" Id="rId82"/>
    <Relationship TargetMode="External" Target="https://www.legis.iowa.gov/docs/iac/rule/567.101.707.pdf" Type="http://schemas.openxmlformats.org/officeDocument/2006/relationships/hyperlink" Id="rId83"/>
    <Relationship TargetMode="External" Target="https://www.legis.iowa.gov/docs/iac/rule/567.101.707.pdf" Type="http://schemas.openxmlformats.org/officeDocument/2006/relationships/hyperlink" Id="rId84"/>
    <Relationship TargetMode="External" Target="https://www.legis.iowa.gov/docs/ico/chapter/455B.173.pdf" Type="http://schemas.openxmlformats.org/officeDocument/2006/relationships/hyperlink" Id="rId85"/>
    <Relationship TargetMode="External" Target="https://www.legis.iowa.gov/docs/ico/chapter/455B.304.pdf" Type="http://schemas.openxmlformats.org/officeDocument/2006/relationships/hyperlink" Id="rId86"/>
    <Relationship TargetMode="External" Target="https://www.legis.iowa.gov/docs/ico/chapter/455B.301.pdf" Type="http://schemas.openxmlformats.org/officeDocument/2006/relationships/hyperlink" Id="rId87"/>
    <Relationship TargetMode="External" Target="https://www.legis.iowa.gov/docs/iac/chapter/567.100.pdf" Type="http://schemas.openxmlformats.org/officeDocument/2006/relationships/hyperlink" Id="rId88"/>
    <Relationship TargetMode="External" Target="https://www.legis.iowa.gov/docs/iac/rule/567.100.4.pdf" Type="http://schemas.openxmlformats.org/officeDocument/2006/relationships/hyperlink" Id="rId89"/>
    <Relationship TargetMode="External" Target="https://www.legis.iowa.gov/docs/iac/rule/567.102.211.pdf" Type="http://schemas.openxmlformats.org/officeDocument/2006/relationships/hyperlink" Id="rId90"/>
    <Relationship TargetMode="External" Target="https://www.legis.iowa.gov/docs/iac/rule/567.100.5.pdf" Type="http://schemas.openxmlformats.org/officeDocument/2006/relationships/hyperlink" Id="rId91"/>
    <Relationship TargetMode="External" Target="https://www.legis.iowa.gov/docs/iac/rule/567.102.208.pdf" Type="http://schemas.openxmlformats.org/officeDocument/2006/relationships/hyperlink" Id="rId92"/>
    <Relationship TargetMode="External" Target="https://www.legis.iowa.gov/docs/iac/rule/567.102.210.pdf" Type="http://schemas.openxmlformats.org/officeDocument/2006/relationships/hyperlink" Id="rId93"/>
    <Relationship TargetMode="External" Target="https://www.legis.iowa.gov/docs/iac/rule/567.102.209.pdf" Type="http://schemas.openxmlformats.org/officeDocument/2006/relationships/hyperlink" Id="rId94"/>
    <Relationship TargetMode="External" Target="https://www.legis.iowa.gov/docs/iac/rule/567.102.208.pdf" Type="http://schemas.openxmlformats.org/officeDocument/2006/relationships/hyperlink" Id="rId95"/>
    <Relationship TargetMode="External" Target="https://www.legis.iowa.gov/docs/iac/rule/567.102.210.pdf" Type="http://schemas.openxmlformats.org/officeDocument/2006/relationships/hyperlink" Id="rId96"/>
    <Relationship TargetMode="External" Target="https://www.legis.iowa.gov/docs/iac/rule/567.102.205.pdf" Type="http://schemas.openxmlformats.org/officeDocument/2006/relationships/hyperlink" Id="rId97"/>
    <Relationship TargetMode="External" Target="https://www.legis.iowa.gov/docs/iac/chapter/567.135.pdf" Type="http://schemas.openxmlformats.org/officeDocument/2006/relationships/hyperlink" Id="rId98"/>
    <Relationship TargetMode="External" Target="https://www.legis.iowa.gov/docs/iac/rule/567.102.211.pdf" Type="http://schemas.openxmlformats.org/officeDocument/2006/relationships/hyperlink" Id="rId99"/>
    <Relationship TargetMode="External" Target="https://www.legis.iowa.gov/docs/iac/rule/567.100.5.pdf" Type="http://schemas.openxmlformats.org/officeDocument/2006/relationships/hyperlink" Id="rId100"/>
    <Relationship TargetMode="External" Target="https://www.legis.iowa.gov/docs/iac/rule/567.102.208.pdf" Type="http://schemas.openxmlformats.org/officeDocument/2006/relationships/hyperlink" Id="rId101"/>
    <Relationship TargetMode="External" Target="https://www.legis.iowa.gov/docs/iac/rule/567.102.205.pdf" Type="http://schemas.openxmlformats.org/officeDocument/2006/relationships/hyperlink" Id="rId102"/>
    <Relationship TargetMode="External" Target="https://www.legis.iowa.gov/docs/iac/rule/567.102.205.pdf" Type="http://schemas.openxmlformats.org/officeDocument/2006/relationships/hyperlink" Id="rId103"/>
    <Relationship TargetMode="External" Target="https://www.legis.iowa.gov/docs/iac/rule/567.102.211.pdf" Type="http://schemas.openxmlformats.org/officeDocument/2006/relationships/hyperlink" Id="rId104"/>
    <Relationship TargetMode="External" Target="https://www.legis.iowa.gov/docs/iac/rule/567.102.205.pdf" Type="http://schemas.openxmlformats.org/officeDocument/2006/relationships/hyperlink" Id="rId105"/>
    <Relationship TargetMode="External" Target="https://www.legis.iowa.gov/docs/iac/rule/567.102.205.pdf" Type="http://schemas.openxmlformats.org/officeDocument/2006/relationships/hyperlink" Id="rId106"/>
    <Relationship TargetMode="External" Target="https://www.legis.iowa.gov/docs/iac/chapter/567.105.pdf" Type="http://schemas.openxmlformats.org/officeDocument/2006/relationships/hyperlink" Id="rId107"/>
    <Relationship TargetMode="External" Target="https://www.legis.iowa.gov/docs/iac/rule/567.102.211.pdf" Type="http://schemas.openxmlformats.org/officeDocument/2006/relationships/hyperlink" Id="rId108"/>
    <Relationship TargetMode="External" Target="https://www.legis.iowa.gov/docs/iac/rule/567.102.208.pdf" Type="http://schemas.openxmlformats.org/officeDocument/2006/relationships/hyperlink" Id="rId109"/>
    <Relationship TargetMode="External" Target="https://www.legis.iowa.gov/docs/iac/rule/567.102.208.pdf" Type="http://schemas.openxmlformats.org/officeDocument/2006/relationships/hyperlink" Id="rId110"/>
    <Relationship TargetMode="External" Target="https://www.legis.iowa.gov/docs/iac/rule/567.102.211.pdf" Type="http://schemas.openxmlformats.org/officeDocument/2006/relationships/hyperlink" Id="rId111"/>
    <Relationship TargetMode="External" Target="https://www.legis.iowa.gov/docs/iac/rule/567.102.205.pdf" Type="http://schemas.openxmlformats.org/officeDocument/2006/relationships/hyperlink" Id="rId112"/>
    <Relationship TargetMode="External" Target="https://www.legis.iowa.gov/docs/iac/rule/567.102.211.pdf" Type="http://schemas.openxmlformats.org/officeDocument/2006/relationships/hyperlink" Id="rId113"/>
    <Relationship TargetMode="External" Target="https://www.legis.iowa.gov/docs/iac/chapter/567.135.pdf" Type="http://schemas.openxmlformats.org/officeDocument/2006/relationships/hyperlink" Id="rId114"/>
    <Relationship TargetMode="External" Target="https://www.legis.iowa.gov/docs/iac/rule/567.100.14.pdf" Type="http://schemas.openxmlformats.org/officeDocument/2006/relationships/hyperlink" Id="rId115"/>
    <Relationship TargetMode="External" Target="https://www.legis.iowa.gov/docs/iac/rule/567.102.205.pdf" Type="http://schemas.openxmlformats.org/officeDocument/2006/relationships/hyperlink" Id="rId116"/>
    <Relationship TargetMode="External" Target="https://www.legis.iowa.gov/docs/iac/rule/567.102.205.pdf" Type="http://schemas.openxmlformats.org/officeDocument/2006/relationships/hyperlink" Id="rId117"/>
    <Relationship TargetMode="External" Target="https://www.legis.iowa.gov/docs/iac/rule/567.102.208.pdf" Type="http://schemas.openxmlformats.org/officeDocument/2006/relationships/hyperlink" Id="rId118"/>
    <Relationship TargetMode="External" Target="https://www.legis.iowa.gov/docs/iac/rule/567.102.205.pdf" Type="http://schemas.openxmlformats.org/officeDocument/2006/relationships/hyperlink" Id="rId119"/>
    <Relationship TargetMode="External" Target="https://www.legis.iowa.gov/docs/iac/rule/567.102.205.pdf" Type="http://schemas.openxmlformats.org/officeDocument/2006/relationships/hyperlink" Id="rId120"/>
    <Relationship TargetMode="External" Target="https://www.legis.iowa.gov/docs/iac/rule/567.102.211.pdf" Type="http://schemas.openxmlformats.org/officeDocument/2006/relationships/hyperlink" Id="rId121"/>
    <Relationship TargetMode="External" Target="https://www.legis.iowa.gov/docs/iac/rule/567.102.204.pdf" Type="http://schemas.openxmlformats.org/officeDocument/2006/relationships/hyperlink" Id="rId122"/>
    <Relationship TargetMode="External" Target="https://www.legis.iowa.gov/docs/iac/rule/567.102.205.pdf" Type="http://schemas.openxmlformats.org/officeDocument/2006/relationships/hyperlink" Id="rId123"/>
    <Relationship TargetMode="External" Target="https://www.legis.iowa.gov/docs/iac/rule/567.102.206.pdf" Type="http://schemas.openxmlformats.org/officeDocument/2006/relationships/hyperlink" Id="rId124"/>
    <Relationship TargetMode="External" Target="https://www.legis.iowa.gov/docs/iac/rule/567.102.207.pdf" Type="http://schemas.openxmlformats.org/officeDocument/2006/relationships/hyperlink" Id="rId125"/>
    <Relationship TargetMode="External" Target="https://www.legis.iowa.gov/docs/iac/rule/567.102.208.pdf" Type="http://schemas.openxmlformats.org/officeDocument/2006/relationships/hyperlink" Id="rId126"/>
    <Relationship TargetMode="External" Target="https://www.legis.iowa.gov/docs/iac/rule/567.102.208.pdf" Type="http://schemas.openxmlformats.org/officeDocument/2006/relationships/hyperlink" Id="rId127"/>
    <Relationship TargetMode="External" Target="https://www.legis.iowa.gov/docs/iac/rule/567.102.209.pdf" Type="http://schemas.openxmlformats.org/officeDocument/2006/relationships/hyperlink" Id="rId128"/>
    <Relationship TargetMode="External" Target="https://www.legis.iowa.gov/docs/iac/rule/567.102.210.pdf" Type="http://schemas.openxmlformats.org/officeDocument/2006/relationships/hyperlink" Id="rId129"/>
    <Relationship TargetMode="External" Target="https://www.legis.iowa.gov/docs/iac/rule/567.102.211.pdf" Type="http://schemas.openxmlformats.org/officeDocument/2006/relationships/hyperlink" Id="rId130"/>
    <Relationship TargetMode="External" Target="https://www.legis.iowa.gov/docs/iac/rule/567.102.205.pdf" Type="http://schemas.openxmlformats.org/officeDocument/2006/relationships/hyperlink" Id="rId131"/>
    <Relationship TargetMode="External" Target="https://www.legis.iowa.gov/docs/iac/rule/567.102.211.pdf" Type="http://schemas.openxmlformats.org/officeDocument/2006/relationships/hyperlink" Id="rId132"/>
    <Relationship TargetMode="External" Target="https://www.legis.iowa.gov/docs/iac/rule/567.102.211.pdf" Type="http://schemas.openxmlformats.org/officeDocument/2006/relationships/hyperlink" Id="rId133"/>
    <Relationship TargetMode="External" Target="https://www.legis.iowa.gov/docs/iac/rule/567.102.211.pdf" Type="http://schemas.openxmlformats.org/officeDocument/2006/relationships/hyperlink" Id="rId134"/>
    <Relationship TargetMode="External" Target="https://www.legis.iowa.gov/docs/iac/rule/567.102.212.pdf" Type="http://schemas.openxmlformats.org/officeDocument/2006/relationships/hyperlink" Id="rId135"/>
    <Relationship TargetMode="External" Target="https://www.legis.iowa.gov/docs/iac/rule/567.101.707.pdf" Type="http://schemas.openxmlformats.org/officeDocument/2006/relationships/hyperlink" Id="rId136"/>
    <Relationship TargetMode="External" Target="https://www.legis.iowa.gov/docs/iac/rule/567.101.707.pdf" Type="http://schemas.openxmlformats.org/officeDocument/2006/relationships/hyperlink" Id="rId137"/>
    <Relationship TargetMode="External" Target="https://www.legis.iowa.gov/docs/iac/rule/567.101.707.pdf" Type="http://schemas.openxmlformats.org/officeDocument/2006/relationships/hyperlink" Id="rId138"/>
    <Relationship TargetMode="External" Target="https://www.legis.iowa.gov/docs/iac/rule/567.101.707.pdf" Type="http://schemas.openxmlformats.org/officeDocument/2006/relationships/hyperlink" Id="rId139"/>
    <Relationship TargetMode="External" Target="https://www.legis.iowa.gov/docs/iac/rule/567.101.707.pdf" Type="http://schemas.openxmlformats.org/officeDocument/2006/relationships/hyperlink" Id="rId140"/>
    <Relationship TargetMode="External" Target="https://www.legis.iowa.gov/docs/iac/rule/567.101.707.pdf" Type="http://schemas.openxmlformats.org/officeDocument/2006/relationships/hyperlink" Id="rId141"/>
    <Relationship TargetMode="External" Target="https://www.legis.iowa.gov/docs/ico/chapter/455B.301A.pdf" Type="http://schemas.openxmlformats.org/officeDocument/2006/relationships/hyperlink" Id="rId142"/>
    <Relationship TargetMode="External" Target="https://www.legis.iowa.gov/docs/ico/chapter/455B.304.pdf" Type="http://schemas.openxmlformats.org/officeDocument/2006/relationships/hyperlink" Id="rId143"/>
    <Relationship TargetMode="External" Target="https://www.legis.iowa.gov/docs/ico/chapter/455B.383.pdf" Type="http://schemas.openxmlformats.org/officeDocument/2006/relationships/hyperlink" Id="rId144"/>
    <Relationship TargetMode="External" Target="https://www.legis.iowa.gov/docs/iac/chapter/567.101.pdf" Type="http://schemas.openxmlformats.org/officeDocument/2006/relationships/hyperlink" Id="rId145"/>
    <Relationship TargetMode="External" Target="https://www.legis.iowa.gov/docs/iac/rule/567.102.307.pdf" Type="http://schemas.openxmlformats.org/officeDocument/2006/relationships/hyperlink" Id="rId146"/>
    <Relationship TargetMode="External" Target="https://www.legis.iowa.gov/docs/iac/rule/567.102.308.pdf" Type="http://schemas.openxmlformats.org/officeDocument/2006/relationships/hyperlink" Id="rId147"/>
    <Relationship TargetMode="External" Target="https://www.legis.iowa.gov/docs/iac/chapter/567.100.pdf" Type="http://schemas.openxmlformats.org/officeDocument/2006/relationships/hyperlink" Id="rId148"/>
    <Relationship TargetMode="External" Target="https://www.legis.iowa.gov/docs/ico/chapter/455B.301.pdf" Type="http://schemas.openxmlformats.org/officeDocument/2006/relationships/hyperlink" Id="rId149"/>
    <Relationship TargetMode="External" Target="https://www.legis.iowa.gov/docs/iac/rule/567.102.305.pdf" Type="http://schemas.openxmlformats.org/officeDocument/2006/relationships/hyperlink" Id="rId150"/>
    <Relationship TargetMode="External" Target="https://www.legis.iowa.gov/docs/iac/rule/567.102.306.pdf" Type="http://schemas.openxmlformats.org/officeDocument/2006/relationships/hyperlink" Id="rId151"/>
    <Relationship TargetMode="External" Target="https://www.legis.iowa.gov/docs/iac/rule/567.102.307.pdf" Type="http://schemas.openxmlformats.org/officeDocument/2006/relationships/hyperlink" Id="rId152"/>
    <Relationship TargetMode="External" Target="https://www.legis.iowa.gov/docs/iac/chapter/21.44.pdf" Type="http://schemas.openxmlformats.org/officeDocument/2006/relationships/hyperlink" Id="rId153"/>
    <Relationship TargetMode="External" Target="https://www.legis.iowa.gov/docs/iac/chapter/21.44.pdf" Type="http://schemas.openxmlformats.org/officeDocument/2006/relationships/hyperlink" Id="rId154"/>
    <Relationship TargetMode="External" Target="https://www.legis.iowa.gov/docs/iac/chapter/21.43.pdf" Type="http://schemas.openxmlformats.org/officeDocument/2006/relationships/hyperlink" Id="rId155"/>
    <Relationship TargetMode="External" Target="https://www.legis.iowa.gov/docs/iac/chapter/21.44.pdf" Type="http://schemas.openxmlformats.org/officeDocument/2006/relationships/hyperlink" Id="rId156"/>
    <Relationship TargetMode="External" Target="https://www.legis.iowa.gov/docs/iac/chapter/21.44.pdf" Type="http://schemas.openxmlformats.org/officeDocument/2006/relationships/hyperlink" Id="rId157"/>
    <Relationship TargetMode="External" Target="https://www.legis.iowa.gov/docs/iac/chapter/21.43.pdf" Type="http://schemas.openxmlformats.org/officeDocument/2006/relationships/hyperlink" Id="rId158"/>
    <Relationship TargetMode="External" Target="https://www.legis.iowa.gov/docs/iac/chapter/21.44.pdf" Type="http://schemas.openxmlformats.org/officeDocument/2006/relationships/hyperlink" Id="rId159"/>
    <Relationship TargetMode="External" Target="https://www.legis.iowa.gov/docs/iac/chapter/21.43.pdf" Type="http://schemas.openxmlformats.org/officeDocument/2006/relationships/hyperlink" Id="rId160"/>
    <Relationship TargetMode="External" Target="https://www.legis.iowa.gov/docs/iac/rule/567.102.303.pdf" Type="http://schemas.openxmlformats.org/officeDocument/2006/relationships/hyperlink" Id="rId161"/>
    <Relationship TargetMode="External" Target="https://www.legis.iowa.gov/docs/iac/rule/567.102.305.pdf" Type="http://schemas.openxmlformats.org/officeDocument/2006/relationships/hyperlink" Id="rId162"/>
    <Relationship TargetMode="External" Target="https://www.legis.iowa.gov/docs/iac/rule/567.102.303.pdf" Type="http://schemas.openxmlformats.org/officeDocument/2006/relationships/hyperlink" Id="rId163"/>
    <Relationship TargetMode="External" Target="https://www.legis.iowa.gov/docs/iac/chapter/567.105.pdf" Type="http://schemas.openxmlformats.org/officeDocument/2006/relationships/hyperlink" Id="rId164"/>
    <Relationship TargetMode="External" Target="https://www.legis.iowa.gov/docs/iac/chapter/567.71.pdf" Type="http://schemas.openxmlformats.org/officeDocument/2006/relationships/hyperlink" Id="rId165"/>
    <Relationship TargetMode="External" Target="https://www.legis.iowa.gov/docs/iac/rule/567.102.304.pdf" Type="http://schemas.openxmlformats.org/officeDocument/2006/relationships/hyperlink" Id="rId166"/>
    <Relationship TargetMode="External" Target="https://www.legis.iowa.gov/docs/iac/rule/567.102.305.pdf" Type="http://schemas.openxmlformats.org/officeDocument/2006/relationships/hyperlink" Id="rId167"/>
    <Relationship TargetMode="External" Target="https://www.legis.iowa.gov/docs/iac/chapter/567.83.pdf" Type="http://schemas.openxmlformats.org/officeDocument/2006/relationships/hyperlink" Id="rId168"/>
    <Relationship TargetMode="External" Target="https://www.legis.iowa.gov/docs/iac/rule/567.102.304.pdf" Type="http://schemas.openxmlformats.org/officeDocument/2006/relationships/hyperlink" Id="rId169"/>
    <Relationship TargetMode="External" Target="https://www.legis.iowa.gov/docs/iac/rule/567.102.305.pdf" Type="http://schemas.openxmlformats.org/officeDocument/2006/relationships/hyperlink" Id="rId170"/>
    <Relationship TargetMode="External" Target="https://www.legis.iowa.gov/docs/iac/rule/567.102.305.pdf" Type="http://schemas.openxmlformats.org/officeDocument/2006/relationships/hyperlink" Id="rId171"/>
    <Relationship TargetMode="External" Target="https://www.legis.iowa.gov/docs/ico/chapter/455B.307.pdf" Type="http://schemas.openxmlformats.org/officeDocument/2006/relationships/hyperlink" Id="rId172"/>
    <Relationship TargetMode="External" Target="https://www.legis.iowa.gov/docs/iac/chapter/7.2506.pdf" Type="http://schemas.openxmlformats.org/officeDocument/2006/relationships/hyperlink" Id="rId173"/>
    <Relationship TargetMode="External" Target="https://www.legis.iowa.gov/docs/iac/chapter/561.2506.pdf" Type="http://schemas.openxmlformats.org/officeDocument/2006/relationships/hyperlink" Id="rId174"/>
    <Relationship TargetMode="External" Target="https://www.legis.iowa.gov/docs/ico/chapter/455B.304.pdf" Type="http://schemas.openxmlformats.org/officeDocument/2006/relationships/hyperlink" Id="rId175"/>
    <Relationship TargetMode="External" Target="https://www.legis.iowa.gov/docs/iac/chapter/567.100.pdf" Type="http://schemas.openxmlformats.org/officeDocument/2006/relationships/hyperlink" Id="rId176"/>
    <Relationship TargetMode="External" Target="https://www.legis.iowa.gov/docs/ico/chapter/455D.11.pdf" Type="http://schemas.openxmlformats.org/officeDocument/2006/relationships/hyperlink" Id="rId177"/>
    <Relationship TargetMode="External" Target="https://www.legis.iowa.gov/docs/ico/chapter/455D.11I.pdf" Type="http://schemas.openxmlformats.org/officeDocument/2006/relationships/hyperlink" Id="rId178"/>
    <Relationship TargetMode="External" Target="https://www.legis.iowa.gov/docs/iac/rule/567.102.402.pdf" Type="http://schemas.openxmlformats.org/officeDocument/2006/relationships/hyperlink" Id="rId179"/>
    <Relationship TargetMode="External" Target="https://www.legis.iowa.gov/docs/ico/chapter/455D.11I.pdf" Type="http://schemas.openxmlformats.org/officeDocument/2006/relationships/hyperlink" Id="rId180"/>
    <Relationship TargetMode="External" Target="https://www.legis.iowa.gov/docs/ico/chapter/455D.11.pdf" Type="http://schemas.openxmlformats.org/officeDocument/2006/relationships/hyperlink" Id="rId181"/>
    <Relationship TargetMode="External" Target="https://www.legis.iowa.gov/docs/iac/rule/567.102.407.pdf" Type="http://schemas.openxmlformats.org/officeDocument/2006/relationships/hyperlink" Id="rId182"/>
    <Relationship TargetMode="External" Target="https://www.legis.iowa.gov/docs/iac/rule/567.102.409.pdf" Type="http://schemas.openxmlformats.org/officeDocument/2006/relationships/hyperlink" Id="rId183"/>
    <Relationship TargetMode="External" Target="https://www.legis.iowa.gov/docs/iac/rule/567.102.407.pdf" Type="http://schemas.openxmlformats.org/officeDocument/2006/relationships/hyperlink" Id="rId184"/>
    <Relationship TargetMode="External" Target="https://www.legis.iowa.gov/docs/iac/rule/567.102.411.pdf" Type="http://schemas.openxmlformats.org/officeDocument/2006/relationships/hyperlink" Id="rId185"/>
    <Relationship TargetMode="External" Target="https://www.legis.iowa.gov/docs/iac/rule/567.100.13.pdf" Type="http://schemas.openxmlformats.org/officeDocument/2006/relationships/hyperlink" Id="rId186"/>
    <Relationship TargetMode="External" Target="https://www.legis.iowa.gov/docs/iac/rule/567.100.14.pdf" Type="http://schemas.openxmlformats.org/officeDocument/2006/relationships/hyperlink" Id="rId187"/>
    <Relationship TargetMode="External" Target="https://www.legis.iowa.gov/docs/iac/rule/567.102.410.pdf" Type="http://schemas.openxmlformats.org/officeDocument/2006/relationships/hyperlink" Id="rId188"/>
    <Relationship TargetMode="External" Target="https://www.legis.iowa.gov/docs/iac/rule/567.102.407.pdf" Type="http://schemas.openxmlformats.org/officeDocument/2006/relationships/hyperlink" Id="rId189"/>
    <Relationship TargetMode="External" Target="https://www.legis.iowa.gov/docs/iac/rule/567.100.13.pdf" Type="http://schemas.openxmlformats.org/officeDocument/2006/relationships/hyperlink" Id="rId190"/>
    <Relationship TargetMode="External" Target="https://www.legis.iowa.gov/docs/iac/rule/567.100.14.pdf" Type="http://schemas.openxmlformats.org/officeDocument/2006/relationships/hyperlink" Id="rId191"/>
    <Relationship TargetMode="External" Target="https://www.legis.iowa.gov/docs/iac/rule/567.102.410.pdf" Type="http://schemas.openxmlformats.org/officeDocument/2006/relationships/hyperlink" Id="rId192"/>
    <Relationship TargetMode="External" Target="https://www.legis.iowa.gov/docs/iac/rule/567.102.409.pdf" Type="http://schemas.openxmlformats.org/officeDocument/2006/relationships/hyperlink" Id="rId193"/>
    <Relationship TargetMode="External" Target="https://www.legis.iowa.gov/docs/iac/rule/567.102.409.pdf" Type="http://schemas.openxmlformats.org/officeDocument/2006/relationships/hyperlink" Id="rId194"/>
    <Relationship TargetMode="External" Target="https://www.legis.iowa.gov/docs/iac/rule/567.102.409.pdf" Type="http://schemas.openxmlformats.org/officeDocument/2006/relationships/hyperlink" Id="rId195"/>
    <Relationship TargetMode="External" Target="https://www.legis.iowa.gov/docs/iac/rule/567.102.409.pdf" Type="http://schemas.openxmlformats.org/officeDocument/2006/relationships/hyperlink" Id="rId196"/>
    <Relationship TargetMode="External" Target="https://www.legis.iowa.gov/docs/iac/rule/567.102.410.pdf" Type="http://schemas.openxmlformats.org/officeDocument/2006/relationships/hyperlink" Id="rId197"/>
    <Relationship TargetMode="External" Target="https://www.legis.iowa.gov/docs/iac/rule/567.102.407.pdf" Type="http://schemas.openxmlformats.org/officeDocument/2006/relationships/hyperlink" Id="rId198"/>
    <Relationship TargetMode="External" Target="https://www.legis.iowa.gov/docs/iac/rule/567.102.407.pdf" Type="http://schemas.openxmlformats.org/officeDocument/2006/relationships/hyperlink" Id="rId199"/>
    <Relationship TargetMode="External" Target="https://www.legis.iowa.gov/docs/iac/rule/567.102.409.pdf" Type="http://schemas.openxmlformats.org/officeDocument/2006/relationships/hyperlink" Id="rId200"/>
    <Relationship TargetMode="External" Target="https://www.legis.iowa.gov/docs/ico/chapter/455D.11A.pdf" Type="http://schemas.openxmlformats.org/officeDocument/2006/relationships/hyperlink" Id="rId201"/>
    <Relationship TargetMode="External" Target="https://www.legis.iowa.gov/docs/iac/rule/567.102.409.pdf" Type="http://schemas.openxmlformats.org/officeDocument/2006/relationships/hyperlink" Id="rId202"/>
    <Relationship TargetMode="External" Target="https://www.legis.iowa.gov/docs/iac/rule/567.102.410.pdf" Type="http://schemas.openxmlformats.org/officeDocument/2006/relationships/hyperlink" Id="rId203"/>
    <Relationship TargetMode="External" Target="https://www.legis.iowa.gov/docs/ico/chapter/455D.11A.pdf" Type="http://schemas.openxmlformats.org/officeDocument/2006/relationships/hyperlink" Id="rId204"/>
    <Relationship TargetMode="External" Target="https://www.legis.iowa.gov/docs/iac/rule/567.102.410.pdf" Type="http://schemas.openxmlformats.org/officeDocument/2006/relationships/hyperlink" Id="rId205"/>
    <Relationship TargetMode="External" Target="https://www.legis.iowa.gov/docs/iac/rule/567.102.410.pdf" Type="http://schemas.openxmlformats.org/officeDocument/2006/relationships/hyperlink" Id="rId206"/>
    <Relationship TargetMode="External" Target="https://www.legis.iowa.gov/docs/iac/rule/567.102.410.pdf" Type="http://schemas.openxmlformats.org/officeDocument/2006/relationships/hyperlink" Id="rId207"/>
    <Relationship TargetMode="External" Target="https://www.legis.iowa.gov/docs/iac/rule/567.102.410.pdf" Type="http://schemas.openxmlformats.org/officeDocument/2006/relationships/hyperlink" Id="rId208"/>
    <Relationship TargetMode="External" Target="https://www.legis.iowa.gov/docs/iac/rule/567.102.410.pdf" Type="http://schemas.openxmlformats.org/officeDocument/2006/relationships/hyperlink" Id="rId209"/>
    <Relationship TargetMode="External" Target="https://www.legis.iowa.gov/docs/iac/rule/567.102.410.pdf" Type="http://schemas.openxmlformats.org/officeDocument/2006/relationships/hyperlink" Id="rId210"/>
    <Relationship TargetMode="External" Target="https://www.legis.iowa.gov/docs/iac/rule/567.102.410.pdf" Type="http://schemas.openxmlformats.org/officeDocument/2006/relationships/hyperlink" Id="rId211"/>
    <Relationship TargetMode="External" Target="https://www.legis.iowa.gov/docs/iac/rule/567.102.410.pdf" Type="http://schemas.openxmlformats.org/officeDocument/2006/relationships/hyperlink" Id="rId212"/>
    <Relationship TargetMode="External" Target="https://www.legis.iowa.gov/docs/iac/rule/567.102.410.pdf" Type="http://schemas.openxmlformats.org/officeDocument/2006/relationships/hyperlink" Id="rId213"/>
    <Relationship TargetMode="External" Target="https://www.legis.iowa.gov/docs/iac/rule/567.102.410.pdf" Type="http://schemas.openxmlformats.org/officeDocument/2006/relationships/hyperlink" Id="rId214"/>
    <Relationship TargetMode="External" Target="https://www.legis.iowa.gov/docs/iac/rule/567.102.410.pdf" Type="http://schemas.openxmlformats.org/officeDocument/2006/relationships/hyperlink" Id="rId215"/>
    <Relationship TargetMode="External" Target="https://www.legis.iowa.gov/docs/iac/rule/567.102.410.pdf" Type="http://schemas.openxmlformats.org/officeDocument/2006/relationships/hyperlink" Id="rId216"/>
    <Relationship TargetMode="External" Target="https://www.legis.iowa.gov/docs/iac/rule/567.102.410.pdf" Type="http://schemas.openxmlformats.org/officeDocument/2006/relationships/hyperlink" Id="rId217"/>
    <Relationship TargetMode="External" Target="https://www.legis.iowa.gov/docs/iac/rule/567.102.410.pdf" Type="http://schemas.openxmlformats.org/officeDocument/2006/relationships/hyperlink" Id="rId218"/>
    <Relationship TargetMode="External" Target="https://www.legis.iowa.gov/docs/iac/rule/567.102.410.pdf" Type="http://schemas.openxmlformats.org/officeDocument/2006/relationships/hyperlink" Id="rId219"/>
    <Relationship TargetMode="External" Target="https://www.legis.iowa.gov/docs/iac/rule/567.102.411.pdf" Type="http://schemas.openxmlformats.org/officeDocument/2006/relationships/hyperlink" Id="rId220"/>
    <Relationship TargetMode="External" Target="https://www.legis.iowa.gov/docs/iac/rule/567.102.411.pdf" Type="http://schemas.openxmlformats.org/officeDocument/2006/relationships/hyperlink" Id="rId221"/>
    <Relationship TargetMode="External" Target="https://www.legis.iowa.gov/docs/iac/chapter/567.69.pdf" Type="http://schemas.openxmlformats.org/officeDocument/2006/relationships/hyperlink" Id="rId222"/>
    <Relationship TargetMode="External" Target="https://www.legis.iowa.gov/docs/iac/chapter/567.101.pdf" Type="http://schemas.openxmlformats.org/officeDocument/2006/relationships/hyperlink" Id="rId223"/>
    <Relationship TargetMode="External" Target="https://www.legis.iowa.gov/docs/iac/rule/567.102.411.pdf" Type="http://schemas.openxmlformats.org/officeDocument/2006/relationships/hyperlink" Id="rId224"/>
    <Relationship TargetMode="External" Target="https://www.legis.iowa.gov/docs/iac/rule/567.102.409.pdf" Type="http://schemas.openxmlformats.org/officeDocument/2006/relationships/hyperlink" Id="rId225"/>
    <Relationship TargetMode="External" Target="https://www.legis.iowa.gov/docs/iac/rule/567.102.409.pdf" Type="http://schemas.openxmlformats.org/officeDocument/2006/relationships/hyperlink" Id="rId226"/>
    <Relationship TargetMode="External" Target="https://www.legis.iowa.gov/docs/iac/rule/567.102.407.pdf" Type="http://schemas.openxmlformats.org/officeDocument/2006/relationships/hyperlink" Id="rId227"/>
    <Relationship TargetMode="External" Target="https://www.legis.iowa.gov/docs/ico/chapter/455D.11.pdf" Type="http://schemas.openxmlformats.org/officeDocument/2006/relationships/hyperlink" Id="rId228"/>
    <Relationship TargetMode="External" Target="https://www.legis.iowa.gov/docs/ico/chapter/455D.11A.pdf" Type="http://schemas.openxmlformats.org/officeDocument/2006/relationships/hyperlink" Id="rId229"/>
    <Relationship TargetMode="External" Target="https://www.legis.iowa.gov/docs/ico/chapter/455D.11B.pdf" Type="http://schemas.openxmlformats.org/officeDocument/2006/relationships/hyperlink" Id="rId230"/>
    <Relationship TargetMode="External" Target="https://www.legis.iowa.gov/docs/ico/chapter/455D.11I.pdf" Type="http://schemas.openxmlformats.org/officeDocument/2006/relationships/hyperlink" Id="rId231"/>
    <Relationship TargetMode="External" Target="https://www.legis.iowa.gov/docs/ico/chapter/455B.304.pdf" Type="http://schemas.openxmlformats.org/officeDocument/2006/relationships/hyperlink" Id="rId232"/>
    <Relationship TargetMode="External" Target="https://www.legis.iowa.gov/docs/iac/rule/567.102.508.pdf" Type="http://schemas.openxmlformats.org/officeDocument/2006/relationships/hyperlink" Id="rId233"/>
    <Relationship TargetMode="External" Target="https://www.legis.iowa.gov/docs/ico/chapter/455B.301.pdf" Type="http://schemas.openxmlformats.org/officeDocument/2006/relationships/hyperlink" Id="rId234"/>
    <Relationship TargetMode="External" Target="https://www.legis.iowa.gov/docs/iac/chapter/567.100.pdf" Type="http://schemas.openxmlformats.org/officeDocument/2006/relationships/hyperlink" Id="rId235"/>
    <Relationship TargetMode="External" Target="https://www.legis.iowa.gov/docs/iac/chapter/567.67.pdf" Type="http://schemas.openxmlformats.org/officeDocument/2006/relationships/hyperlink" Id="rId236"/>
    <Relationship TargetMode="External" Target="https://www.legis.iowa.gov/docs/iac/chapter/567.67.pdf" Type="http://schemas.openxmlformats.org/officeDocument/2006/relationships/hyperlink" Id="rId237"/>
    <Relationship TargetMode="External" Target="https://www.legis.iowa.gov/docs/ico/chapter/455B.304.pdf" Type="http://schemas.openxmlformats.org/officeDocument/2006/relationships/hyperlink" Id="rId238"/>
    <Relationship TargetMode="External" Target="https://www.legis.iowa.gov/docs/ico/chapter/455B.301.pdf" Type="http://schemas.openxmlformats.org/officeDocument/2006/relationships/hyperlink" Id="rId239"/>
    <Relationship TargetMode="External" Target="https://www.legis.iowa.gov/docs/iac/chapter/567.100.pdf" Type="http://schemas.openxmlformats.org/officeDocument/2006/relationships/hyperlink" Id="rId240"/>
    <Relationship TargetMode="External" Target="https://www.legis.iowa.gov/docs/iac/rule/567.100.4.pdf" Type="http://schemas.openxmlformats.org/officeDocument/2006/relationships/hyperlink" Id="rId241"/>
    <Relationship TargetMode="External" Target="https://www.legis.iowa.gov/docs/ico/chapter/455B.301.pdf" Type="http://schemas.openxmlformats.org/officeDocument/2006/relationships/hyperlink" Id="rId242"/>
    <Relationship TargetMode="External" Target="https://www.legis.iowa.gov/docs/ico/chapter/455D.pdf" Type="http://schemas.openxmlformats.org/officeDocument/2006/relationships/hyperlink" Id="rId243"/>
    <Relationship TargetMode="External" Target="https://www.legis.iowa.gov/docs/iac/rule/567.100.5.pdf" Type="http://schemas.openxmlformats.org/officeDocument/2006/relationships/hyperlink" Id="rId244"/>
    <Relationship TargetMode="External" Target="https://www.legis.iowa.gov/docs/iac/rule/567.102.606.pdf" Type="http://schemas.openxmlformats.org/officeDocument/2006/relationships/hyperlink" Id="rId245"/>
    <Relationship TargetMode="External" Target="https://www.legis.iowa.gov/docs/iac/rule/567.102.609.pdf" Type="http://schemas.openxmlformats.org/officeDocument/2006/relationships/hyperlink" Id="rId246"/>
    <Relationship TargetMode="External" Target="https://www.legis.iowa.gov/docs/iac/rule/567.102.609.pdf" Type="http://schemas.openxmlformats.org/officeDocument/2006/relationships/hyperlink" Id="rId247"/>
    <Relationship TargetMode="External" Target="https://www.legis.iowa.gov/docs/iac/chapter/567.103.pdf" Type="http://schemas.openxmlformats.org/officeDocument/2006/relationships/hyperlink" Id="rId248"/>
    <Relationship TargetMode="External" Target="https://www.legis.iowa.gov/docs/iac/chapter/567.105.pdf" Type="http://schemas.openxmlformats.org/officeDocument/2006/relationships/hyperlink" Id="rId249"/>
    <Relationship TargetMode="External" Target="https://www.legis.iowa.gov/docs/iac/rule/567.102.611.pdf" Type="http://schemas.openxmlformats.org/officeDocument/2006/relationships/hyperlink" Id="rId250"/>
    <Relationship TargetMode="External" Target="https://www.legis.iowa.gov/docs/iac/rule/567.102.607.pdf" Type="http://schemas.openxmlformats.org/officeDocument/2006/relationships/hyperlink" Id="rId251"/>
    <Relationship TargetMode="External" Target="https://www.legis.iowa.gov/docs/iac/rule/567.102.609.pdf" Type="http://schemas.openxmlformats.org/officeDocument/2006/relationships/hyperlink" Id="rId252"/>
    <Relationship TargetMode="External" Target="https://www.legis.iowa.gov/docs/iac/rule/567.100.10.pdf" Type="http://schemas.openxmlformats.org/officeDocument/2006/relationships/hyperlink" Id="rId253"/>
    <Relationship TargetMode="External" Target="https://www.legis.iowa.gov/docs/ico/chapter/455D.6.pdf" Type="http://schemas.openxmlformats.org/officeDocument/2006/relationships/hyperlink" Id="rId254"/>
    <Relationship TargetMode="External" Target="https://www.legis.iowa.gov/docs/iac/chapter/567.100.pdf" Type="http://schemas.openxmlformats.org/officeDocument/2006/relationships/hyperlink" Id="rId255"/>
    <Relationship TargetMode="External" Target="https://www.legis.iowa.gov/docs/ico/chapter/455B.301.pdf" Type="http://schemas.openxmlformats.org/officeDocument/2006/relationships/hyperlink" Id="rId256"/>
    <Relationship TargetMode="External" Target="https://www.legis.iowa.gov/docs/ico/chapter/455D.pdf" Type="http://schemas.openxmlformats.org/officeDocument/2006/relationships/hyperlink" Id="rId257"/>
    <Relationship TargetMode="External" Target="https://www.legis.iowa.gov/docs/iac/rule/567.102.710.pdf" Type="http://schemas.openxmlformats.org/officeDocument/2006/relationships/hyperlink" Id="rId258"/>
    <Relationship TargetMode="External" Target="https://www.legis.iowa.gov/docs/iac/rule/567.102.710.pdf" Type="http://schemas.openxmlformats.org/officeDocument/2006/relationships/hyperlink" Id="rId259"/>
    <Relationship TargetMode="External" Target="https://www.legis.iowa.gov/docs/iac/rule/567.100.4.pdf" Type="http://schemas.openxmlformats.org/officeDocument/2006/relationships/hyperlink" Id="rId260"/>
    <Relationship TargetMode="External" Target="https://www.legis.iowa.gov/docs/iac/rule/567.102.710.pdf" Type="http://schemas.openxmlformats.org/officeDocument/2006/relationships/hyperlink" Id="rId261"/>
    <Relationship TargetMode="External" Target="https://www.legis.iowa.gov/docs/iac/rule/567.100.4.pdf" Type="http://schemas.openxmlformats.org/officeDocument/2006/relationships/hyperlink" Id="rId262"/>
    <Relationship TargetMode="External" Target="https://www.legis.iowa.gov/docs/iac/rule/567.100.5.pdf" Type="http://schemas.openxmlformats.org/officeDocument/2006/relationships/hyperlink" Id="rId263"/>
    <Relationship TargetMode="External" Target="https://www.legis.iowa.gov/docs/iac/rule/567.102.707.pdf" Type="http://schemas.openxmlformats.org/officeDocument/2006/relationships/hyperlink" Id="rId264"/>
    <Relationship TargetMode="External" Target="https://www.legis.iowa.gov/docs/iac/rule/567.102.710.pdf" Type="http://schemas.openxmlformats.org/officeDocument/2006/relationships/hyperlink" Id="rId265"/>
    <Relationship TargetMode="External" Target="https://www.legis.iowa.gov/docs/ico/chapter/455D.6.pdf" Type="http://schemas.openxmlformats.org/officeDocument/2006/relationships/hyperlink" Id="rId266"/>
    <Relationship Target="footer.xml" Type="http://schemas.openxmlformats.org/officeDocument/2006/relationships/footer" Id="rId26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