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80D" w:id="1"/>
    <w:p>
      <w:pPr>
        <w:spacing w:before="0" w:after="0" w:line="480"/>
        <w:ind w:left="120"/>
        <w:jc w:val="right"/>
      </w:pPr>
      <w:r>
        <w:rPr>
          <w:rFonts w:ascii="Times New Roman" w:hAnsi="Times New Roman"/>
          <w:b/>
          <w:i w:val="false"/>
          <w:color w:val="000000"/>
          <w:sz w:val="28"/>
        </w:rPr>
        <w:t>ARC 0480D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foster care contracting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152, “Foster Care Contracting,” Iowa Administrative Code, and to adopt a new Chapter 152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set forth by Executive Order 10. As a part of this review, restrictive terms were eliminated and rules were updated to reflect modern practices while also reducing regulatory burdens. The proposed chapter sets forth the contracting process used for providers of foster group care, child welfare emergency services shelter, and supervised apartment living. This proposed chapter also establishes provider qualifications, service authorization procedures, documentation requirements, and service termination and appeal procedures associated with these foster care services.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 xml:space="preserve">Passcode: ya9va9uv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 xml:space="preserve">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220 165 244 079 215</w:t>
            </w:r>
            <w:r>
              <w:br/>
            </w:r>
            <w:r>
              <w:rPr>
                <w:rFonts w:ascii="Times New Roman" w:hAnsi="Times New Roman"/>
                <w:b w:val="false"/>
                <w:i w:val="false"/>
                <w:color w:val="000000"/>
                <w:sz w:val="14"/>
              </w:rPr>
              <w:t xml:space="preserve">Passcode: kH7Py6Xi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152</w:t>
      </w:r>
    </w:p>
    <w:p>
      <w:pPr>
        <w:spacing w:before="0" w:after="0" w:line="480"/>
        <w:ind w:left="120"/>
        <w:jc w:val="center"/>
      </w:pPr>
      <w:r>
        <w:rPr>
          <w:rFonts w:ascii="Times New Roman" w:hAnsi="Times New Roman"/>
          <w:b w:val="false"/>
          <w:i w:val="false"/>
          <w:color w:val="000000"/>
          <w:sz w:val="21"/>
        </w:rPr>
        <w:t>FOSTER CARE CONTRACTING</w:t>
      </w:r>
    </w:p>
    <w:p>
      <w:pPr>
        <w:spacing w:before="0" w:after="0" w:line="480"/>
        <w:ind w:left="120"/>
        <w:jc w:val="both"/>
      </w:pPr>
      <w:r>
        <w:rPr>
          <w:rFonts w:ascii="Times New Roman" w:hAnsi="Times New Roman"/>
          <w:b/>
          <w:i w:val="false"/>
          <w:color w:val="000000"/>
          <w:sz w:val="24"/>
        </w:rPr>
        <w:t>441—152.1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“Affiliates”</w:t>
      </w:r>
      <w:r>
        <w:rPr>
          <w:rFonts w:ascii="Times New Roman" w:hAnsi="Times New Roman"/>
          <w:b w:val="false"/>
          <w:i w:val="false"/>
          <w:color w:val="000000"/>
          <w:sz w:val="24"/>
        </w:rPr>
        <w:t> </w:t>
      </w:r>
      <w:r>
        <w:rPr>
          <w:rFonts w:ascii="Times New Roman" w:hAnsi="Times New Roman"/>
          <w:b w:val="false"/>
          <w:i w:val="false"/>
          <w:color w:val="000000"/>
          <w:sz w:val="24"/>
        </w:rPr>
        <w:t>means persons having a relationship such that any one of them directly or indirectly controls or has the power to control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representative”</w:t>
      </w:r>
      <w:r>
        <w:rPr>
          <w:rFonts w:ascii="Times New Roman" w:hAnsi="Times New Roman"/>
          <w:b w:val="false"/>
          <w:i w:val="false"/>
          <w:color w:val="000000"/>
          <w:sz w:val="24"/>
        </w:rPr>
        <w:t> </w:t>
      </w:r>
      <w:r>
        <w:rPr>
          <w:rFonts w:ascii="Times New Roman" w:hAnsi="Times New Roman"/>
          <w:b w:val="false"/>
          <w:i w:val="false"/>
          <w:color w:val="000000"/>
          <w:sz w:val="24"/>
        </w:rPr>
        <w:t>means that person appointed to carry out audit procedures, including an assigned auditor, fiscal consultant, or agent contracted for a specific audit or audit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w:t>
      </w:r>
      <w:r>
        <w:rPr>
          <w:rFonts w:ascii="Times New Roman" w:hAnsi="Times New Roman"/>
          <w:b w:val="false"/>
          <w:i w:val="false"/>
          <w:color w:val="000000"/>
          <w:sz w:val="24"/>
        </w:rPr>
        <w:t> </w:t>
      </w:r>
      <w:r>
        <w:rPr>
          <w:rFonts w:ascii="Times New Roman" w:hAnsi="Times New Roman"/>
          <w:b w:val="false"/>
          <w:i w:val="false"/>
          <w:color w:val="000000"/>
          <w:sz w:val="24"/>
        </w:rPr>
        <w:t>means each record the department receives that tells the amount of requested payment and the service rendered by a provider to a child and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val="false"/>
          <w:color w:val="000000"/>
          <w:sz w:val="24"/>
        </w:rPr>
        <w:t> </w:t>
      </w:r>
      <w:r>
        <w:rPr>
          <w:rFonts w:ascii="Times New Roman" w:hAnsi="Times New Roman"/>
          <w:b w:val="false"/>
          <w:i w:val="false"/>
          <w:color w:val="000000"/>
          <w:sz w:val="24"/>
        </w:rPr>
        <w:t>means a child who has been found to be eligible for foster care services through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“Confidence level”</w:t>
      </w:r>
      <w:r>
        <w:rPr>
          <w:rFonts w:ascii="Times New Roman" w:hAnsi="Times New Roman"/>
          <w:b w:val="false"/>
          <w:i w:val="false"/>
          <w:color w:val="000000"/>
          <w:sz w:val="24"/>
        </w:rPr>
        <w:t> </w:t>
      </w:r>
      <w:r>
        <w:rPr>
          <w:rFonts w:ascii="Times New Roman" w:hAnsi="Times New Roman"/>
          <w:b w:val="false"/>
          <w:i w:val="false"/>
          <w:color w:val="000000"/>
          <w:sz w:val="24"/>
        </w:rPr>
        <w:t>means the probability that an overpayment or underpayment rate determined from a random sample of charges is less than or equal to the rate that exists in the sample from which the sample was 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w:t>
      </w:r>
      <w:r>
        <w:rPr>
          <w:rFonts w:ascii="Times New Roman" w:hAnsi="Times New Roman"/>
          <w:b w:val="false"/>
          <w:i w:val="false"/>
          <w:color w:val="000000"/>
          <w:sz w:val="24"/>
        </w:rPr>
        <w:t> </w:t>
      </w:r>
      <w:r>
        <w:rPr>
          <w:rFonts w:ascii="Times New Roman" w:hAnsi="Times New Roman"/>
          <w:b w:val="false"/>
          <w:i w:val="false"/>
          <w:color w:val="000000"/>
          <w:sz w:val="24"/>
        </w:rPr>
        <w:t>means a formal written agreement between the department and a provider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“Extrapolation”</w:t>
      </w:r>
      <w:r>
        <w:rPr>
          <w:rFonts w:ascii="Times New Roman" w:hAnsi="Times New Roman"/>
          <w:b w:val="false"/>
          <w:i w:val="false"/>
          <w:color w:val="000000"/>
          <w:sz w:val="24"/>
        </w:rPr>
        <w:t> </w:t>
      </w:r>
      <w:r>
        <w:rPr>
          <w:rFonts w:ascii="Times New Roman" w:hAnsi="Times New Roman"/>
          <w:b w:val="false"/>
          <w:i w:val="false"/>
          <w:color w:val="000000"/>
          <w:sz w:val="24"/>
        </w:rPr>
        <w:t>means using sample data meeting the confidence level requirement to estimate the total dollars of overpayment or underpayment.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for purposes of child welfare service delivery, includes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natural or adoptive parents, stepparents, domestic partner of the natural or adoptive parent, and children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half-siblings, aunts, uncles, great-aunts, great-uncles, nieces, great-nieces, nephews, great-nephews, grandparents, great-grandparents, great-great-grandparents, and first cousins.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child who lives alone or who resides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record”</w:t>
      </w:r>
      <w:r>
        <w:rPr>
          <w:rFonts w:ascii="Times New Roman" w:hAnsi="Times New Roman"/>
          <w:b w:val="false"/>
          <w:i w:val="false"/>
          <w:color w:val="000000"/>
          <w:sz w:val="24"/>
        </w:rPr>
        <w:t> </w:t>
      </w:r>
      <w:r>
        <w:rPr>
          <w:rFonts w:ascii="Times New Roman" w:hAnsi="Times New Roman"/>
          <w:b w:val="false"/>
          <w:i w:val="false"/>
          <w:color w:val="000000"/>
          <w:sz w:val="24"/>
        </w:rPr>
        <w:t>means a tangible and legible history that documents financial and statistical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court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appointed as a juvenile court officer or chief juvenile court officer under Iowa Code chapter </w:t>
      </w:r>
      <w:hyperlink r:id="rId7">
        <w:r>
          <w:rPr>
            <w:rStyle w:val="Hyperlink"/>
            <w:rFonts w:ascii="Times New Roman" w:hAnsi="Times New Roman"/>
            <w:b w:val="false"/>
            <w:i w:val="false"/>
            <w:color w:val="000000"/>
            <w:sz w:val="24"/>
          </w:rPr>
          <w:t>602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“Overpayment”</w:t>
      </w:r>
      <w:r>
        <w:rPr>
          <w:rFonts w:ascii="Times New Roman" w:hAnsi="Times New Roman"/>
          <w:b w:val="false"/>
          <w:i w:val="false"/>
          <w:color w:val="000000"/>
          <w:sz w:val="24"/>
        </w:rPr>
        <w:t> </w:t>
      </w:r>
      <w:r>
        <w:rPr>
          <w:rFonts w:ascii="Times New Roman" w:hAnsi="Times New Roman"/>
          <w:b w:val="false"/>
          <w:i w:val="false"/>
          <w:color w:val="000000"/>
          <w:sz w:val="24"/>
        </w:rPr>
        <w:t>means any payment or portion of a payment made to a provider that is incorrect according to the laws and rules applicable to foster care services and results in a payment greater than that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w:t>
      </w:r>
      <w:r>
        <w:rPr>
          <w:rFonts w:ascii="Times New Roman" w:hAnsi="Times New Roman"/>
          <w:b w:val="false"/>
          <w:i w:val="false"/>
          <w:color w:val="000000"/>
          <w:sz w:val="24"/>
        </w:rPr>
        <w:t> </w:t>
      </w:r>
      <w:r>
        <w:rPr>
          <w:rFonts w:ascii="Times New Roman" w:hAnsi="Times New Roman"/>
          <w:b w:val="false"/>
          <w:i w:val="false"/>
          <w:color w:val="000000"/>
          <w:sz w:val="24"/>
        </w:rPr>
        <w:t>means a specified period of conditional participation in the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val="false"/>
          <w:color w:val="000000"/>
          <w:sz w:val="24"/>
        </w:rPr>
        <w:t> </w:t>
      </w:r>
      <w:r>
        <w:rPr>
          <w:rFonts w:ascii="Times New Roman" w:hAnsi="Times New Roman"/>
          <w:b w:val="false"/>
          <w:i w:val="false"/>
          <w:color w:val="000000"/>
          <w:sz w:val="24"/>
        </w:rPr>
        <w:t>means the entity that has executed a contract with the department to provide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“Random sample”</w:t>
      </w:r>
      <w:r>
        <w:rPr>
          <w:rFonts w:ascii="Times New Roman" w:hAnsi="Times New Roman"/>
          <w:b w:val="false"/>
          <w:i w:val="false"/>
          <w:color w:val="000000"/>
          <w:sz w:val="24"/>
        </w:rPr>
        <w:t> </w:t>
      </w:r>
      <w:r>
        <w:rPr>
          <w:rFonts w:ascii="Times New Roman" w:hAnsi="Times New Roman"/>
          <w:b w:val="false"/>
          <w:i w:val="false"/>
          <w:color w:val="000000"/>
          <w:sz w:val="24"/>
        </w:rPr>
        <w:t>means a systematic (or every “nth” unit) sample for which each item in the sample has an equal probability of being selected.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“Referral worker”</w:t>
      </w:r>
      <w:r>
        <w:rPr>
          <w:rFonts w:ascii="Times New Roman" w:hAnsi="Times New Roman"/>
          <w:b w:val="false"/>
          <w:i w:val="false"/>
          <w:color w:val="000000"/>
          <w:sz w:val="24"/>
        </w:rPr>
        <w:t> </w:t>
      </w:r>
      <w:r>
        <w:rPr>
          <w:rFonts w:ascii="Times New Roman" w:hAnsi="Times New Roman"/>
          <w:b w:val="false"/>
          <w:i w:val="false"/>
          <w:color w:val="000000"/>
          <w:sz w:val="24"/>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authorization”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of determining service necessity and the level of care and number of units of service to be provided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tangible, and legible file that records service-related activities set forth in subrule </w:t>
      </w:r>
      <w:hyperlink r:id="rId8">
        <w:r>
          <w:rPr>
            <w:rStyle w:val="Hyperlink"/>
            <w:rFonts w:ascii="Times New Roman" w:hAnsi="Times New Roman"/>
            <w:b w:val="false"/>
            <w:i w:val="false"/>
            <w:color w:val="000000"/>
            <w:sz w:val="24"/>
          </w:rPr>
          <w:t>152.2(4)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w:t>
      </w:r>
      <w:r>
        <w:rPr>
          <w:rFonts w:ascii="Times New Roman" w:hAnsi="Times New Roman"/>
          <w:b w:val="false"/>
          <w:i w:val="false"/>
          <w:color w:val="000000"/>
          <w:sz w:val="24"/>
        </w:rPr>
        <w:t> </w:t>
      </w:r>
      <w:r>
        <w:rPr>
          <w:rFonts w:ascii="Times New Roman" w:hAnsi="Times New Roman"/>
          <w:b w:val="false"/>
          <w:i w:val="false"/>
          <w:color w:val="000000"/>
          <w:sz w:val="24"/>
        </w:rPr>
        <w:t>means each licensed location of the foster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“Underpayment”</w:t>
      </w:r>
      <w:r>
        <w:rPr>
          <w:rFonts w:ascii="Times New Roman" w:hAnsi="Times New Roman"/>
          <w:b w:val="false"/>
          <w:i w:val="false"/>
          <w:color w:val="000000"/>
          <w:sz w:val="24"/>
        </w:rPr>
        <w:t> </w:t>
      </w:r>
      <w:r>
        <w:rPr>
          <w:rFonts w:ascii="Times New Roman" w:hAnsi="Times New Roman"/>
          <w:b w:val="false"/>
          <w:i w:val="false"/>
          <w:color w:val="000000"/>
          <w:sz w:val="24"/>
        </w:rPr>
        <w:t>means any payment or portion of a payment not made to a provider for services delivered to eligible recipients according to the laws and rules applicable to the foster care services program and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 of service”</w:t>
      </w:r>
      <w:r>
        <w:rPr>
          <w:rFonts w:ascii="Times New Roman" w:hAnsi="Times New Roman"/>
          <w:b w:val="false"/>
          <w:i w:val="false"/>
          <w:color w:val="000000"/>
          <w:sz w:val="24"/>
        </w:rPr>
        <w:t> </w:t>
      </w:r>
      <w:r>
        <w:rPr>
          <w:rFonts w:ascii="Times New Roman" w:hAnsi="Times New Roman"/>
          <w:b w:val="false"/>
          <w:i w:val="false"/>
          <w:color w:val="000000"/>
          <w:sz w:val="24"/>
        </w:rPr>
        <w:t>means one day for group care and child welfare emergency services 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“Withholding of payments”</w:t>
      </w:r>
      <w:r>
        <w:rPr>
          <w:rFonts w:ascii="Times New Roman" w:hAnsi="Times New Roman"/>
          <w:b w:val="false"/>
          <w:i w:val="false"/>
          <w:color w:val="000000"/>
          <w:sz w:val="24"/>
        </w:rPr>
        <w:t> </w:t>
      </w:r>
      <w:r>
        <w:rPr>
          <w:rFonts w:ascii="Times New Roman" w:hAnsi="Times New Roman"/>
          <w:b w:val="false"/>
          <w:i w:val="false"/>
          <w:color w:val="000000"/>
          <w:sz w:val="24"/>
        </w:rPr>
        <w:t>means a reduction or adjustment of the amounts paid to a provider on pending and subsequently submitted claims for purposes of offsetting overpayments previously made to the provider.</w:t>
      </w:r>
    </w:p>
    <w:p>
      <w:pPr>
        <w:spacing w:before="0" w:after="0" w:line="480"/>
        <w:ind w:left="120"/>
        <w:jc w:val="both"/>
      </w:pPr>
      <w:r>
        <w:rPr>
          <w:rFonts w:ascii="Times New Roman" w:hAnsi="Times New Roman"/>
          <w:b/>
          <w:i w:val="false"/>
          <w:color w:val="000000"/>
          <w:sz w:val="24"/>
        </w:rPr>
        <w:t>441—152.2</w:t>
      </w:r>
      <w:r>
        <w:rPr>
          <w:rFonts w:ascii="Times New Roman" w:hAnsi="Times New Roman"/>
          <w:b/>
          <w:i w:val="false"/>
          <w:color w:val="000000"/>
          <w:sz w:val="24"/>
        </w:rPr>
        <w:t xml:space="preserve">(234) </w:t>
      </w:r>
      <w:r>
        <w:rPr>
          <w:rFonts w:ascii="Times New Roman" w:hAnsi="Times New Roman"/>
          <w:b/>
          <w:i w:val="false"/>
          <w:color w:val="000000"/>
          <w:sz w:val="24"/>
        </w:rPr>
        <w:t xml:space="preserve">Conditions of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152.2(1)</w:t>
      </w:r>
      <w:r>
        <w:rPr>
          <w:rFonts w:ascii="Times New Roman" w:hAnsi="Times New Roman"/>
          <w:b w:val="false"/>
          <w:i w:val="false"/>
          <w:color w:val="000000"/>
          <w:sz w:val="24"/>
        </w:rPr>
        <w:t> </w:t>
      </w:r>
      <w:r>
        <w:rPr>
          <w:rFonts w:ascii="Times New Roman" w:hAnsi="Times New Roman"/>
          <w:b w:val="false"/>
          <w:i/>
          <w:color w:val="000000"/>
          <w:sz w:val="24"/>
        </w:rPr>
        <w:t xml:space="preserve">Provider licensure. </w:t>
      </w:r>
      <w:r>
        <w:rPr>
          <w:rFonts w:ascii="Times New Roman" w:hAnsi="Times New Roman"/>
          <w:b w:val="false"/>
          <w:i w:val="false"/>
          <w:color w:val="000000"/>
          <w:sz w:val="24"/>
        </w:rPr>
        <w:t>A provider facility shall obtain licensure prior to accepting placements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152.2(2)</w:t>
      </w:r>
      <w:r>
        <w:rPr>
          <w:rFonts w:ascii="Times New Roman" w:hAnsi="Times New Roman"/>
          <w:b w:val="false"/>
          <w:i w:val="false"/>
          <w:color w:val="000000"/>
          <w:sz w:val="24"/>
        </w:rPr>
        <w:t> </w:t>
      </w:r>
      <w:r>
        <w:rPr>
          <w:rFonts w:ascii="Times New Roman" w:hAnsi="Times New Roman"/>
          <w:b w:val="false"/>
          <w:i/>
          <w:color w:val="000000"/>
          <w:sz w:val="24"/>
        </w:rPr>
        <w:t xml:space="preserve">Provider staffing. </w:t>
      </w:r>
      <w:r>
        <w:rPr>
          <w:rFonts w:ascii="Times New Roman" w:hAnsi="Times New Roman"/>
          <w:b w:val="false"/>
          <w:i w:val="false"/>
          <w:color w:val="000000"/>
          <w:sz w:val="24"/>
        </w:rPr>
        <w:t xml:space="preserve">At a minimum, all providers shall meet all licensure requirements for staff qualifications, training, and number of staff pursuant to 441—Chapter </w:t>
      </w:r>
      <w:hyperlink r:id="rId9">
        <w:r>
          <w:rPr>
            <w:rStyle w:val="Hyperlink"/>
            <w:rFonts w:ascii="Times New Roman" w:hAnsi="Times New Roman"/>
            <w:b w:val="false"/>
            <w:i w:val="false"/>
            <w:color w:val="000000"/>
            <w:sz w:val="24"/>
          </w:rPr>
          <w:t>105</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or </w:t>
      </w:r>
      <w:hyperlink r:id="rId11">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152.2(3)</w:t>
      </w:r>
      <w:r>
        <w:rPr>
          <w:rFonts w:ascii="Times New Roman" w:hAnsi="Times New Roman"/>
          <w:b w:val="false"/>
          <w:i w:val="false"/>
          <w:color w:val="000000"/>
          <w:sz w:val="24"/>
        </w:rPr>
        <w:t> </w:t>
      </w:r>
      <w:r>
        <w:rPr>
          <w:rFonts w:ascii="Times New Roman" w:hAnsi="Times New Roman"/>
          <w:b w:val="false"/>
          <w:i/>
          <w:color w:val="000000"/>
          <w:sz w:val="24"/>
        </w:rPr>
        <w:t xml:space="preserve">Provider charges. </w:t>
      </w:r>
      <w:r>
        <w:rPr>
          <w:rFonts w:ascii="Times New Roman" w:hAnsi="Times New Roman"/>
          <w:b w:val="false"/>
          <w:i w:val="false"/>
          <w:color w:val="000000"/>
          <w:sz w:val="24"/>
        </w:rPr>
        <w:t>A provider cannot charge department clients more than it receives for the same foster care services provided to nondepartment clients. The provider shall agree not to require any fee from department clients unless a fee is required by the department and is consistent with federal regulation and state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152.2(4)</w:t>
      </w:r>
      <w:r>
        <w:rPr>
          <w:rFonts w:ascii="Times New Roman" w:hAnsi="Times New Roman"/>
          <w:b w:val="false"/>
          <w:i w:val="false"/>
          <w:color w:val="000000"/>
          <w:sz w:val="24"/>
        </w:rPr>
        <w:t> </w:t>
      </w:r>
      <w:r>
        <w:rPr>
          <w:rFonts w:ascii="Times New Roman" w:hAnsi="Times New Roman"/>
          <w:b w:val="false"/>
          <w:i/>
          <w:color w:val="000000"/>
          <w:sz w:val="24"/>
        </w:rPr>
        <w:t xml:space="preserve">Maintenance of service records. </w:t>
      </w:r>
      <w:r>
        <w:rPr>
          <w:rFonts w:ascii="Times New Roman" w:hAnsi="Times New Roman"/>
          <w:b w:val="false"/>
          <w:i w:val="false"/>
          <w:color w:val="000000"/>
          <w:sz w:val="24"/>
        </w:rPr>
        <w:t>A provider shall maintain complete and legible records as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The service record shall include, at a minimum, those items identified in rule </w:t>
      </w:r>
      <w:hyperlink r:id="rId12">
        <w:r>
          <w:rPr>
            <w:rStyle w:val="Hyperlink"/>
            <w:rFonts w:ascii="Times New Roman" w:hAnsi="Times New Roman"/>
            <w:b w:val="false"/>
            <w:i w:val="false"/>
            <w:color w:val="000000"/>
            <w:sz w:val="24"/>
          </w:rPr>
          <w:t>441—114.11</w:t>
        </w:r>
      </w:hyperlink>
      <w:r>
        <w:rPr>
          <w:rFonts w:ascii="Times New Roman" w:hAnsi="Times New Roman"/>
          <w:b w:val="false"/>
          <w:i w:val="false"/>
          <w:color w:val="000000"/>
          <w:sz w:val="24"/>
        </w:rPr>
        <w:t xml:space="preserve">(237) and </w:t>
      </w:r>
      <w:hyperlink r:id="rId13">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 xml:space="preserve"> and shall also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Additional reports, if requested by the referral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Referral and Authorization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documentation of billed per diem services. The documentation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first and last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month, day, and year service was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first and last names of the persons who or organizations that provided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clear description of the specific service rendered, including interventions, actions, and activities performed that support the provision of child welfare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Notes, which shall be entered no less than every seven calendar days, indicating the child’s general progress in regard to the child’s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problem areas or unusual behavior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supervised apartment living, the provider shall establish and maintain confidential, individual service records for each client receiving supervised apartment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to maintain records or failure to make records available to the department or to its authorized representatives upon request may result in a notice of violation and recoupment of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152.2(5)</w:t>
      </w:r>
      <w:r>
        <w:rPr>
          <w:rFonts w:ascii="Times New Roman" w:hAnsi="Times New Roman"/>
          <w:b w:val="false"/>
          <w:i w:val="false"/>
          <w:color w:val="000000"/>
          <w:sz w:val="24"/>
        </w:rPr>
        <w:t> </w:t>
      </w:r>
      <w:r>
        <w:rPr>
          <w:rFonts w:ascii="Times New Roman" w:hAnsi="Times New Roman"/>
          <w:b w:val="false"/>
          <w:i/>
          <w:color w:val="000000"/>
          <w:sz w:val="24"/>
        </w:rPr>
        <w:t xml:space="preserve">Maintenance of financial and statistical records. </w:t>
      </w:r>
      <w:r>
        <w:rPr>
          <w:rFonts w:ascii="Times New Roman" w:hAnsi="Times New Roman"/>
          <w:b w:val="false"/>
          <w:i w:val="false"/>
          <w:color w:val="000000"/>
          <w:sz w:val="24"/>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 minimum, financial and statistical records shall include all revenue and expenses supported by a provider’s general ledger and documentation on file in the provider’s office. These records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Payroll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Capital asset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canceled checks, deposit slips, and invoices (paid and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Audit reports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board of directors’ minutes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Loan agreements and other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Reviewable, legible census reports and documentation of units of service provided to department clients that identify the individual client and are kept on a daily basis and summarized in a monthly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For nondepartment clients, sufficient documentation of utilization to establish a complete unit of service 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list of all staff and supervisors providing foster care services and their qualifications for each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provider has an independent audit conducted, a firm not related to the provider shall conduct the audit. The provider shall submit a copy of the independent audit report to the department within 30 days of receipt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152.2(6)</w:t>
      </w:r>
      <w:r>
        <w:rPr>
          <w:rFonts w:ascii="Times New Roman" w:hAnsi="Times New Roman"/>
          <w:b w:val="false"/>
          <w:i w:val="false"/>
          <w:color w:val="000000"/>
          <w:sz w:val="24"/>
        </w:rPr>
        <w:t> </w:t>
      </w:r>
      <w:r>
        <w:rPr>
          <w:rFonts w:ascii="Times New Roman" w:hAnsi="Times New Roman"/>
          <w:b w:val="false"/>
          <w:i/>
          <w:color w:val="000000"/>
          <w:sz w:val="24"/>
        </w:rPr>
        <w:t xml:space="preserve">Cost report. </w:t>
      </w:r>
      <w:r>
        <w:rPr>
          <w:rFonts w:ascii="Times New Roman" w:hAnsi="Times New Roman"/>
          <w:b w:val="false"/>
          <w:i w:val="false"/>
          <w:color w:val="000000"/>
          <w:sz w:val="24"/>
        </w:rPr>
        <w:t>Providers shall complete the Combined Cost Report Form as required by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Due date. </w:t>
      </w:r>
      <w:r>
        <w:rPr>
          <w:rFonts w:ascii="Times New Roman" w:hAnsi="Times New Roman"/>
          <w:b w:val="false"/>
          <w:i w:val="false"/>
          <w:color w:val="000000"/>
          <w:sz w:val="24"/>
        </w:rPr>
        <w:t>The cost report shall be submitted to the department no later than three months after the close of the provider’s established fiscal year. The provider may request a one-month extension.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Opinion of accountant. </w:t>
      </w:r>
      <w:r>
        <w:rPr>
          <w:rFonts w:ascii="Times New Roman" w:hAnsi="Times New Roman"/>
          <w:b w:val="false"/>
          <w:i w:val="false"/>
          <w:color w:val="000000"/>
          <w:sz w:val="24"/>
        </w:rPr>
        <w:t>The department may require that an opinion of a certified public accountant or public accountant accompany the report when adjustments made to prior reports indicate noncompliance with reporting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County reimbursement for child welfare services shelter costs. </w:t>
      </w:r>
      <w:r>
        <w:rPr>
          <w:rFonts w:ascii="Times New Roman" w:hAnsi="Times New Roman"/>
          <w:b w:val="false"/>
          <w:i w:val="false"/>
          <w:color w:val="000000"/>
          <w:sz w:val="24"/>
        </w:rPr>
        <w:t xml:space="preserve">If a shelter care provider’s actual and allowable costs as set forth in </w:t>
      </w:r>
      <w:hyperlink r:id="rId14">
        <w:r>
          <w:rPr>
            <w:rStyle w:val="Hyperlink"/>
            <w:rFonts w:ascii="Times New Roman" w:hAnsi="Times New Roman"/>
            <w:b w:val="false"/>
            <w:i w:val="false"/>
            <w:color w:val="000000"/>
            <w:sz w:val="24"/>
          </w:rPr>
          <w:t>441—Chapter 156</w:t>
        </w:r>
      </w:hyperlink>
      <w:r>
        <w:rPr>
          <w:rFonts w:ascii="Times New Roman" w:hAnsi="Times New Roman"/>
          <w:b w:val="false"/>
          <w:i w:val="false"/>
          <w:color w:val="000000"/>
          <w:sz w:val="24"/>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cannot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480"/>
        <w:ind w:left="120"/>
        <w:jc w:val="both"/>
      </w:pPr>
      <w:r>
        <w:rPr>
          <w:rFonts w:ascii="Times New Roman" w:hAnsi="Times New Roman"/>
          <w:b/>
          <w:i w:val="false"/>
          <w:color w:val="000000"/>
          <w:sz w:val="24"/>
        </w:rPr>
        <w:t>441—152.3</w:t>
      </w:r>
      <w:r>
        <w:rPr>
          <w:rFonts w:ascii="Times New Roman" w:hAnsi="Times New Roman"/>
          <w:b/>
          <w:i w:val="false"/>
          <w:color w:val="000000"/>
          <w:sz w:val="24"/>
        </w:rPr>
        <w:t xml:space="preserve">(234) </w:t>
      </w:r>
      <w:r>
        <w:rPr>
          <w:rFonts w:ascii="Times New Roman" w:hAnsi="Times New Roman"/>
          <w:b/>
          <w:i w:val="false"/>
          <w:color w:val="000000"/>
          <w:sz w:val="24"/>
        </w:rPr>
        <w:t xml:space="preserve">Provider reviews. </w:t>
      </w:r>
      <w:r>
        <w:rPr>
          <w:rFonts w:ascii="Times New Roman" w:hAnsi="Times New Roman"/>
          <w:b w:val="false"/>
          <w:i w:val="false"/>
          <w:color w:val="000000"/>
          <w:sz w:val="24"/>
        </w:rPr>
        <w:t>The department may, at its discretion, review any provider at any time. Records generated and maintained by the department or its fiscal agent may be used by reviewers and in all proceedings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152.3(1)</w:t>
      </w:r>
      <w:r>
        <w:rPr>
          <w:rFonts w:ascii="Times New Roman" w:hAnsi="Times New Roman"/>
          <w:b w:val="false"/>
          <w:i w:val="false"/>
          <w:color w:val="000000"/>
          <w:sz w:val="24"/>
        </w:rPr>
        <w:t> </w:t>
      </w:r>
      <w:r>
        <w:rPr>
          <w:rFonts w:ascii="Times New Roman" w:hAnsi="Times New Roman"/>
          <w:b w:val="false"/>
          <w:i/>
          <w:color w:val="000000"/>
          <w:sz w:val="24"/>
        </w:rPr>
        <w:t xml:space="preserve">Review of provider records. </w:t>
      </w:r>
      <w:r>
        <w:rPr>
          <w:rFonts w:ascii="Times New Roman" w:hAnsi="Times New Roman"/>
          <w:b w:val="false"/>
          <w:i w:val="false"/>
          <w:color w:val="000000"/>
          <w:sz w:val="24"/>
        </w:rPr>
        <w:t>The department has the authority to conduct a scheduled or unannounced visit to evaluate the adequacy of service records in compliance with the policies and procedures for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152.3(2)</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Upon proper identification, authorized representatives of the department have the right to review the service and fiscal records of the provider to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has accurately paid claims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furnished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has retained service records and fiscal records that substantiate claims submitted for payment during the review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reported to the department have been handled as required under subrule </w:t>
      </w:r>
      <w:hyperlink r:id="rId15">
        <w:r>
          <w:rPr>
            <w:rStyle w:val="Hyperlink"/>
            <w:rFonts w:ascii="Times New Roman" w:hAnsi="Times New Roman"/>
            <w:b w:val="false"/>
            <w:i w:val="false"/>
            <w:color w:val="000000"/>
            <w:sz w:val="24"/>
          </w:rPr>
          <w:t>152.2(6)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152.3(3)</w:t>
      </w:r>
      <w:r>
        <w:rPr>
          <w:rFonts w:ascii="Times New Roman" w:hAnsi="Times New Roman"/>
          <w:b w:val="false"/>
          <w:i w:val="false"/>
          <w:color w:val="000000"/>
          <w:sz w:val="24"/>
        </w:rPr>
        <w:t> </w:t>
      </w:r>
      <w:r>
        <w:rPr>
          <w:rFonts w:ascii="Times New Roman" w:hAnsi="Times New Roman"/>
          <w:b w:val="false"/>
          <w:i/>
          <w:color w:val="000000"/>
          <w:sz w:val="24"/>
        </w:rPr>
        <w:t xml:space="preserve">Method. </w:t>
      </w:r>
      <w:r>
        <w:rPr>
          <w:rFonts w:ascii="Times New Roman" w:hAnsi="Times New Roman"/>
          <w:b w:val="false"/>
          <w:i w:val="false"/>
          <w:color w:val="000000"/>
          <w:sz w:val="24"/>
        </w:rPr>
        <w:t>The department will select the appropriate method of conducting a review and will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Comparing service and fiscal records with each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Interviewing clients and employees of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152.3(4)</w:t>
      </w:r>
      <w:r>
        <w:rPr>
          <w:rFonts w:ascii="Times New Roman" w:hAnsi="Times New Roman"/>
          <w:b w:val="false"/>
          <w:i w:val="false"/>
          <w:color w:val="000000"/>
          <w:sz w:val="24"/>
        </w:rPr>
        <w:t> </w:t>
      </w:r>
      <w:r>
        <w:rPr>
          <w:rFonts w:ascii="Times New Roman" w:hAnsi="Times New Roman"/>
          <w:b w:val="false"/>
          <w:i/>
          <w:color w:val="000000"/>
          <w:sz w:val="24"/>
        </w:rPr>
        <w:t xml:space="preserve">Sampling. </w:t>
      </w:r>
      <w:r>
        <w:rPr>
          <w:rFonts w:ascii="Times New Roman" w:hAnsi="Times New Roman"/>
          <w:b w:val="false"/>
          <w:i w:val="false"/>
          <w:color w:val="000000"/>
          <w:sz w:val="24"/>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Findings. </w:t>
      </w:r>
      <w:r>
        <w:rPr>
          <w:rFonts w:ascii="Times New Roman" w:hAnsi="Times New Roman"/>
          <w:b w:val="false"/>
          <w:i w:val="false"/>
          <w:color w:val="000000"/>
          <w:sz w:val="24"/>
        </w:rPr>
        <w:t>The review findings generated through the review procedure constitute prima facie evidence in all department proceedings of the number and amount of requests for payment as submitted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Extrapolation. </w:t>
      </w:r>
      <w:r>
        <w:rPr>
          <w:rFonts w:ascii="Times New Roman" w:hAnsi="Times New Roman"/>
          <w:b w:val="false"/>
          <w:i w:val="false"/>
          <w:color w:val="000000"/>
          <w:sz w:val="24"/>
        </w:rPr>
        <w:t>Findings of the sample will be extrapolated for the review period. The total of the payments determined to be in error in the review sample will be divided by the total payments in the reviewed sample to calculate the percentage of dollars paid in error. This percentage will then be multiplied by the total payments in the review sample to determine the extrapolated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findings. </w:t>
      </w:r>
      <w:r>
        <w:rPr>
          <w:rFonts w:ascii="Times New Roman" w:hAnsi="Times New Roman"/>
          <w:b w:val="false"/>
          <w:i w:val="false"/>
          <w:color w:val="000000"/>
          <w:sz w:val="24"/>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provider records used by the department in the drawing of the department’s sample. This review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arranged and paid for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conducted by a certified public accountant.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Demonstrate that bills and records not reviewed in the department’s sample complied with program regulations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submitted to the department with all supporting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152.3(5)</w:t>
      </w:r>
      <w:r>
        <w:rPr>
          <w:rFonts w:ascii="Times New Roman" w:hAnsi="Times New Roman"/>
          <w:b w:val="false"/>
          <w:i w:val="false"/>
          <w:color w:val="000000"/>
          <w:sz w:val="24"/>
        </w:rPr>
        <w:t> </w:t>
      </w:r>
      <w:r>
        <w:rPr>
          <w:rFonts w:ascii="Times New Roman" w:hAnsi="Times New Roman"/>
          <w:b w:val="false"/>
          <w:i/>
          <w:color w:val="000000"/>
          <w:sz w:val="24"/>
        </w:rPr>
        <w:t xml:space="preserve">Actions based on review findings.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report the results of a review of provider records to concerned parties consistent with the provisions of </w:t>
      </w:r>
      <w:hyperlink r:id="rId16">
        <w:r>
          <w:rPr>
            <w:rStyle w:val="Hyperlink"/>
            <w:rFonts w:ascii="Times New Roman" w:hAnsi="Times New Roman"/>
            <w:b w:val="false"/>
            <w:i w:val="false"/>
            <w:color w:val="000000"/>
            <w:sz w:val="24"/>
          </w:rPr>
          <w:t>441—Chapter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an overpayment is found, the department may do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Request repayment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Impose sanctions provided for in rule </w:t>
      </w:r>
      <w:hyperlink r:id="rId17">
        <w:r>
          <w:rPr>
            <w:rStyle w:val="Hyperlink"/>
            <w:rFonts w:ascii="Times New Roman" w:hAnsi="Times New Roman"/>
            <w:b w:val="false"/>
            <w:i w:val="false"/>
            <w:color w:val="000000"/>
            <w:sz w:val="24"/>
          </w:rPr>
          <w:t>441—152.4</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Investigate and refer the matter to an agency empowered to prosecute.</w:t>
      </w:r>
    </w:p>
    <w:p>
      <w:pPr>
        <w:spacing w:before="0" w:after="0" w:line="480"/>
        <w:ind w:left="120"/>
        <w:jc w:val="both"/>
      </w:pPr>
      <w:r>
        <w:rPr>
          <w:rFonts w:ascii="Times New Roman" w:hAnsi="Times New Roman"/>
          <w:b/>
          <w:i w:val="false"/>
          <w:color w:val="000000"/>
          <w:sz w:val="24"/>
        </w:rPr>
        <w:t>441—152.4</w:t>
      </w:r>
      <w:r>
        <w:rPr>
          <w:rFonts w:ascii="Times New Roman" w:hAnsi="Times New Roman"/>
          <w:b/>
          <w:i w:val="false"/>
          <w:color w:val="000000"/>
          <w:sz w:val="24"/>
        </w:rPr>
        <w:t xml:space="preserve">(234) </w:t>
      </w:r>
      <w:r>
        <w:rPr>
          <w:rFonts w:ascii="Times New Roman" w:hAnsi="Times New Roman"/>
          <w:b/>
          <w:i w:val="false"/>
          <w:color w:val="000000"/>
          <w:sz w:val="24"/>
        </w:rPr>
        <w:t xml:space="preserve">Sanctions against providers. </w:t>
      </w:r>
      <w:r>
        <w:rPr>
          <w:rFonts w:ascii="Times New Roman" w:hAnsi="Times New Roman"/>
          <w:b w:val="false"/>
          <w:i w:val="false"/>
          <w:color w:val="000000"/>
          <w:sz w:val="24"/>
        </w:rPr>
        <w:t>Failure to meet the requirements relevant to provider contracting, financial recordkeeping, billing and payment, and client recordkeeping may subject providers to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152.4(1)</w:t>
      </w:r>
      <w:r>
        <w:rPr>
          <w:rFonts w:ascii="Times New Roman" w:hAnsi="Times New Roman"/>
          <w:b w:val="false"/>
          <w:i w:val="false"/>
          <w:color w:val="000000"/>
          <w:sz w:val="24"/>
        </w:rPr>
        <w:t> </w:t>
      </w:r>
      <w:r>
        <w:rPr>
          <w:rFonts w:ascii="Times New Roman" w:hAnsi="Times New Roman"/>
          <w:b w:val="false"/>
          <w:i/>
          <w:color w:val="000000"/>
          <w:sz w:val="24"/>
        </w:rPr>
        <w:t xml:space="preserve">Grounds for sanction. </w:t>
      </w:r>
      <w:r>
        <w:rPr>
          <w:rFonts w:ascii="Times New Roman" w:hAnsi="Times New Roman"/>
          <w:b w:val="false"/>
          <w:i w:val="false"/>
          <w:color w:val="000000"/>
          <w:sz w:val="24"/>
        </w:rPr>
        <w:t>The department may impose sanctions against a provider for committing one or more of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Failing to provide and maintain the quality of the services to children and families within established standards,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Failing to meet standards required by state or federal law for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Failing to correct deficiencies in provider operations after receiving notice of these deficiencies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Engaging in a course of conduct or performing an act that is in violation of state or federal regulations or continuing that conduct following notification that it should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Violating any laws, regulations, or code of ethics governing the conduct of occupations or professions subject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Receiving a formal reprimand or censure by an association of the provider’s peers for unethical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Being suspended or terminated from participation in another governmental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Committing a negligent practice resulting in client death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Failing to disclose or make available to the department or its authorized agent records of services provided to a child and family and records of payments made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Failing to provide accurate and auditable cost report information or engaging in deceptive billing practices, such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Presenting or causing to be presented for payment any false or deceptive claim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information for the purpose of obtaining greater compensation than that to which the provider is legally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information to meet service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Inducing, furnishing or otherwise causing the child or family to receive foster care services that are not authorized (overutilization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Rebating or accepting a fee or portion of a fee or a charge for referrals of a child or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Failing to repay or arrange for the repayment of identified overpayments or other erroneous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Failing to submit the cost report on time or failing to submit complete responses to follow-up questions from the department or its fiscal consultant within 14 days of request without written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152.4(2)</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Should the department have information that indicates a provider may have done the following, the department will notify the provider of the discrepancies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Submitted bills or been practicing in a manner inconsistent with the program requirements,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Received payment for which the provider may not be properly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Notification to the provider will set forth: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discrepancies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known dollar value of the discrepancies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method of computing the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Further actions to be taken or sanctions to be imposed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actions required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152.4(3)</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r>
        <w:rPr>
          <w:rFonts w:ascii="Times New Roman" w:hAnsi="Times New Roman"/>
          <w:b w:val="false"/>
          <w:i w:val="false"/>
          <w:color w:val="000000"/>
          <w:sz w:val="24"/>
        </w:rPr>
        <w:t xml:space="preserve">The following sanctions may be imposed on providers based on the grounds specified in subrule </w:t>
      </w:r>
      <w:hyperlink r:id="rId18">
        <w:r>
          <w:rPr>
            <w:rStyle w:val="Hyperlink"/>
            <w:rFonts w:ascii="Times New Roman" w:hAnsi="Times New Roman"/>
            <w:b w:val="false"/>
            <w:i w:val="false"/>
            <w:color w:val="000000"/>
            <w:sz w:val="24"/>
          </w:rPr>
          <w:t>152.4(1)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term of probation for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Termination from participation in the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Suspension from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or withholding of payments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Review of 100 percent of the provider’s claims before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Referral to the appropriate state licensing board for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Referral of the matter to appropriate federal or state legal authorities for investigation and prosecution under applicable federal or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Suspension of foster care services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Termination of foster care services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Reduction of payment to 75 percent of the current rate for failure to submit the cost report or cost report clarifications 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Termination of the provider’s contract for failure to submit the report within six months of the end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152.4(4)</w:t>
      </w:r>
      <w:r>
        <w:rPr>
          <w:rFonts w:ascii="Times New Roman" w:hAnsi="Times New Roman"/>
          <w:b w:val="false"/>
          <w:i w:val="false"/>
          <w:color w:val="000000"/>
          <w:sz w:val="24"/>
        </w:rPr>
        <w:t> </w:t>
      </w:r>
      <w:r>
        <w:rPr>
          <w:rFonts w:ascii="Times New Roman" w:hAnsi="Times New Roman"/>
          <w:b w:val="false"/>
          <w:i/>
          <w:color w:val="000000"/>
          <w:sz w:val="24"/>
        </w:rPr>
        <w:t xml:space="preserve">Imposition and extent of sanction. </w:t>
      </w:r>
      <w:r>
        <w:rPr>
          <w:rFonts w:ascii="Times New Roman" w:hAnsi="Times New Roman"/>
          <w:b w:val="false"/>
          <w:i w:val="false"/>
          <w:color w:val="000000"/>
          <w:sz w:val="24"/>
        </w:rPr>
        <w:t>The department will determine the sanction to impose. The following factors will be considered in determining the sanction or sanctions to be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Seriousness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Extent of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History of prior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imposition of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Prior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Pattern of failure to follow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a lesser sanction will be sufficient to remedy the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Actions taken or recommended by peer review groups or licensing bodies.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152.4(5)</w:t>
      </w:r>
      <w:r>
        <w:rPr>
          <w:rFonts w:ascii="Times New Roman" w:hAnsi="Times New Roman"/>
          <w:b w:val="false"/>
          <w:i w:val="false"/>
          <w:color w:val="000000"/>
          <w:sz w:val="24"/>
        </w:rPr>
        <w:t> </w:t>
      </w:r>
      <w:r>
        <w:rPr>
          <w:rFonts w:ascii="Times New Roman" w:hAnsi="Times New Roman"/>
          <w:b w:val="false"/>
          <w:i/>
          <w:color w:val="000000"/>
          <w:sz w:val="24"/>
        </w:rPr>
        <w:t xml:space="preserve">Scope of sanction.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sanction may be applied to all known affiliates of a provider. Each decision to include an affiliate will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there are grounds for sanction pursuant to subrule </w:t>
      </w:r>
      <w:hyperlink r:id="rId19">
        <w:r>
          <w:rPr>
            <w:rStyle w:val="Hyperlink"/>
            <w:rFonts w:ascii="Times New Roman" w:hAnsi="Times New Roman"/>
            <w:b w:val="false"/>
            <w:i w:val="false"/>
            <w:color w:val="000000"/>
            <w:sz w:val="24"/>
          </w:rPr>
          <w:t>152.4(1)</w:t>
        </w:r>
      </w:hyperlink>
      <w:r>
        <w:rPr>
          <w:rFonts w:ascii="Times New Roman" w:hAnsi="Times New Roman"/>
          <w:b w:val="false"/>
          <w:i w:val="false"/>
          <w:color w:val="000000"/>
          <w:sz w:val="24"/>
        </w:rPr>
        <w:t xml:space="preserve"> against a provider facility, campus, or site, the department may suspend or terminate the provision of foster care services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specific facility, campus, or site;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individual within the provider’s organization who is responsible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152.4(6)</w:t>
      </w:r>
      <w:r>
        <w:rPr>
          <w:rFonts w:ascii="Times New Roman" w:hAnsi="Times New Roman"/>
          <w:b w:val="false"/>
          <w:i w:val="false"/>
          <w:color w:val="000000"/>
          <w:sz w:val="24"/>
        </w:rPr>
        <w:t> </w:t>
      </w:r>
      <w:r>
        <w:rPr>
          <w:rFonts w:ascii="Times New Roman" w:hAnsi="Times New Roman"/>
          <w:b w:val="false"/>
          <w:i/>
          <w:color w:val="000000"/>
          <w:sz w:val="24"/>
        </w:rPr>
        <w:t xml:space="preserve">Suspension or withholding of payments pending a final determination. </w:t>
      </w:r>
      <w:r>
        <w:rPr>
          <w:rFonts w:ascii="Times New Roman" w:hAnsi="Times New Roman"/>
          <w:b w:val="false"/>
          <w:i w:val="false"/>
          <w:color w:val="000000"/>
          <w:sz w:val="24"/>
        </w:rPr>
        <w:t>When the department has notified a provider of a violation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will notify the provider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152.4(7)</w:t>
      </w:r>
      <w:r>
        <w:rPr>
          <w:rFonts w:ascii="Times New Roman" w:hAnsi="Times New Roman"/>
          <w:b w:val="false"/>
          <w:i w:val="false"/>
          <w:color w:val="000000"/>
          <w:sz w:val="24"/>
        </w:rPr>
        <w:t> </w:t>
      </w:r>
      <w:r>
        <w:rPr>
          <w:rFonts w:ascii="Times New Roman" w:hAnsi="Times New Roman"/>
          <w:b w:val="false"/>
          <w:i/>
          <w:color w:val="000000"/>
          <w:sz w:val="24"/>
        </w:rPr>
        <w:t xml:space="preserve">Notice of sanction. </w:t>
      </w:r>
      <w:r>
        <w:rPr>
          <w:rFonts w:ascii="Times New Roman" w:hAnsi="Times New Roman"/>
          <w:b w:val="false"/>
          <w:i w:val="false"/>
          <w:color w:val="000000"/>
          <w:sz w:val="24"/>
        </w:rPr>
        <w:t>When a provider has been sanctioned, the department will notify, as appropriate, the applicable professional society, board of registration or licensure, and federal or state agencies of the findings made and the sanctions imposed.</w:t>
      </w:r>
    </w:p>
    <w:p>
      <w:pPr>
        <w:spacing w:before="210" w:after="0" w:line="480"/>
        <w:ind w:left="120"/>
        <w:jc w:val="both"/>
      </w:pPr>
      <w:r>
        <w:rPr>
          <w:rFonts w:ascii="Times New Roman" w:hAnsi="Times New Roman"/>
          <w:b/>
          <w:i w:val="false"/>
          <w:color w:val="000000"/>
          <w:sz w:val="24"/>
        </w:rPr>
        <w:t>441—152.5</w:t>
      </w:r>
      <w:r>
        <w:rPr>
          <w:rFonts w:ascii="Times New Roman" w:hAnsi="Times New Roman"/>
          <w:b/>
          <w:i w:val="false"/>
          <w:color w:val="000000"/>
          <w:sz w:val="24"/>
        </w:rPr>
        <w:t xml:space="preserve">(234) </w:t>
      </w:r>
      <w:r>
        <w:rPr>
          <w:rFonts w:ascii="Times New Roman" w:hAnsi="Times New Roman"/>
          <w:b/>
          <w:i w:val="false"/>
          <w:color w:val="000000"/>
          <w:sz w:val="24"/>
        </w:rPr>
        <w:t xml:space="preserve">Adverse actions. </w:t>
      </w:r>
      <w:r>
        <w:rPr>
          <w:rFonts w:ascii="Times New Roman" w:hAnsi="Times New Roman"/>
          <w:b w:val="false"/>
          <w:i w:val="false"/>
          <w:color w:val="000000"/>
          <w:sz w:val="24"/>
        </w:rPr>
        <w:t xml:space="preserve">Notice of adverse actions shall be given in accordance with </w:t>
      </w:r>
      <w:hyperlink r:id="rId20">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right to appeal the licensing decision shall be given in accordance with </w:t>
      </w:r>
      <w:hyperlink r:id="rId21">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2">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4.1.pdf" Type="http://schemas.openxmlformats.org/officeDocument/2006/relationships/hyperlink" Id="rId6"/>
    <Relationship TargetMode="External" Target="https://www.legis.iowa.gov/docs/ico/chapter/602.pdf" Type="http://schemas.openxmlformats.org/officeDocument/2006/relationships/hyperlink" Id="rId7"/>
    <Relationship TargetMode="External" Target="https://www.legis.iowa.gov/docs/iac/rule/441.152.2.pdf" Type="http://schemas.openxmlformats.org/officeDocument/2006/relationships/hyperlink" Id="rId8"/>
    <Relationship TargetMode="External" Target="https://www.legis.iowa.gov/docs/iac/chapter/441.105.pdf" Type="http://schemas.openxmlformats.org/officeDocument/2006/relationships/hyperlink" Id="rId9"/>
    <Relationship TargetMode="External" Target="https://www.legis.iowa.gov/docs/iac/chapter/441.108.pdf" Type="http://schemas.openxmlformats.org/officeDocument/2006/relationships/hyperlink" Id="rId10"/>
    <Relationship TargetMode="External" Target="https://www.legis.iowa.gov/docs/iac/chapter/441.114.pdf" Type="http://schemas.openxmlformats.org/officeDocument/2006/relationships/hyperlink" Id="rId11"/>
    <Relationship TargetMode="External" Target="https://www.legis.iowa.gov/docs/iac/rule/441.114.11.pdf" Type="http://schemas.openxmlformats.org/officeDocument/2006/relationships/hyperlink" Id="rId12"/>
    <Relationship TargetMode="External" Target="https://www.legis.iowa.gov/docs/iac/chapter/441.105.pdf" Type="http://schemas.openxmlformats.org/officeDocument/2006/relationships/hyperlink" Id="rId13"/>
    <Relationship TargetMode="External" Target="https://www.legis.iowa.gov/docs/iac/chapter/441.156.pdf" Type="http://schemas.openxmlformats.org/officeDocument/2006/relationships/hyperlink" Id="rId14"/>
    <Relationship TargetMode="External" Target="https://www.legis.iowa.gov/docs/iac/rule/441.152.2.pdf" Type="http://schemas.openxmlformats.org/officeDocument/2006/relationships/hyperlink" Id="rId15"/>
    <Relationship TargetMode="External" Target="https://www.legis.iowa.gov/docs/iac/chapter/441.2505.pdf" Type="http://schemas.openxmlformats.org/officeDocument/2006/relationships/hyperlink" Id="rId16"/>
    <Relationship TargetMode="External" Target="https://www.legis.iowa.gov/docs/iac/rule/441.152.4.pdf" Type="http://schemas.openxmlformats.org/officeDocument/2006/relationships/hyperlink" Id="rId17"/>
    <Relationship TargetMode="External" Target="https://www.legis.iowa.gov/docs/iac/rule/441.152.4.pdf" Type="http://schemas.openxmlformats.org/officeDocument/2006/relationships/hyperlink" Id="rId18"/>
    <Relationship TargetMode="External" Target="https://www.legis.iowa.gov/docs/iac/rule/441.152.4.pdf" Type="http://schemas.openxmlformats.org/officeDocument/2006/relationships/hyperlink" Id="rId19"/>
    <Relationship TargetMode="External" Target="https://www.legis.iowa.gov/docs/iac/chapter/441.16.pdf" Type="http://schemas.openxmlformats.org/officeDocument/2006/relationships/hyperlink" Id="rId20"/>
    <Relationship TargetMode="External" Target="https://www.legis.iowa.gov/docs/iac/chapter/441.2506.pdf" Type="http://schemas.openxmlformats.org/officeDocument/2006/relationships/hyperlink" Id="rId21"/>
    <Relationship TargetMode="External" Target="https://www.legis.iowa.gov/docs/ico/chapter/234.6.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