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55D" w:id="1"/>
    <w:p>
      <w:pPr>
        <w:spacing w:before="0" w:after="0" w:line="480"/>
        <w:ind w:left="120"/>
        <w:jc w:val="right"/>
      </w:pPr>
      <w:r>
        <w:rPr>
          <w:rFonts w:ascii="Times New Roman" w:hAnsi="Times New Roman"/>
          <w:b/>
          <w:i w:val="false"/>
          <w:color w:val="000000"/>
          <w:sz w:val="28"/>
        </w:rPr>
        <w:t>ARC 0455D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 xml:space="preserve">Rulemaking related to rate-regulated electric utilities, third-party aggregators of </w:t>
      </w:r>
      <w:r>
        <w:br/>
      </w:r>
      <w:r>
        <w:rPr>
          <w:rFonts w:ascii="Times New Roman" w:hAnsi="Times New Roman"/>
          <w:b/>
          <w:i w:val="false"/>
          <w:color w:val="000000"/>
          <w:sz w:val="24"/>
        </w:rPr>
        <w:t>retail customers, and retail customers</w:t>
      </w:r>
    </w:p>
    <w:p>
      <w:pPr>
        <w:pBdr>
          <w:top w:space="5"/>
        </w:pBdr>
        <w:spacing w:before="0" w:after="0" w:line="480"/>
        <w:ind w:left="120"/>
        <w:jc w:val="both"/>
      </w:pPr>
      <w:r>
        <w:rPr>
          <w:rFonts w:ascii="Times New Roman" w:hAnsi="Times New Roman"/>
          <w:b w:val="false"/>
          <w:i w:val="false"/>
          <w:color w:val="000000"/>
          <w:sz w:val="24"/>
        </w:rPr>
        <w:t>    The Utilities Commission (Commission) hereby amends Chapter 20, “Service Supplied by Rate-Regulated Electric Utilities,”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17A.4, 474.5, 476.1 and 476.2.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476.1, 476.1A, 476.25 and 476.53.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On October 17, 2008, the Federal Energy Regulatory Commission (FERC) issued Order No. 719, which, among other things, required all regional transmission organizations and independent system operators (RTOs/ISOs) to allow third-party aggregators of retail customers (ARCs) to bid demand response (DR) on behalf of retail customers into RTO/ISO markets. However, FERC Order No. 719 also allowed relevant electric retail regulatory authorities (RERRAs) to prohibit ARCs from operating DR programs within their jurisdiction.</w:t>
      </w:r>
    </w:p>
    <w:p>
      <w:pPr>
        <w:spacing w:before="0" w:after="0" w:line="480"/>
        <w:ind w:left="120"/>
        <w:jc w:val="both"/>
      </w:pPr>
      <w:r>
        <w:rPr>
          <w:rFonts w:ascii="Times New Roman" w:hAnsi="Times New Roman"/>
          <w:b w:val="false"/>
          <w:i w:val="false"/>
          <w:color w:val="000000"/>
          <w:sz w:val="24"/>
        </w:rPr>
        <w:t>    On March 29, 2010, the Commission, as an RERRA acting pursuant to FERC Order No. 719, issued an order temporarily prohibiting ARCs from operating DR programs, and on June 25, 2013, the Commission issued a subsequent order continuing the prohibition indefinitely.</w:t>
      </w:r>
    </w:p>
    <w:p>
      <w:pPr>
        <w:spacing w:before="0" w:after="0" w:line="480"/>
        <w:ind w:left="120"/>
        <w:jc w:val="both"/>
      </w:pPr>
      <w:r>
        <w:rPr>
          <w:rFonts w:ascii="Times New Roman" w:hAnsi="Times New Roman"/>
          <w:b w:val="false"/>
          <w:i w:val="false"/>
          <w:color w:val="000000"/>
          <w:sz w:val="24"/>
        </w:rPr>
        <w:t>    On March 21, 2025, the Commission initiated a docket inquiring into the prudence of continuing the prohibition against ARCs.</w:t>
      </w:r>
    </w:p>
    <w:p>
      <w:pPr>
        <w:spacing w:before="0" w:after="0" w:line="480"/>
        <w:ind w:left="120"/>
        <w:jc w:val="both"/>
      </w:pPr>
      <w:r>
        <w:rPr>
          <w:rFonts w:ascii="Times New Roman" w:hAnsi="Times New Roman"/>
          <w:b w:val="false"/>
          <w:i w:val="false"/>
          <w:color w:val="000000"/>
          <w:sz w:val="24"/>
        </w:rPr>
        <w:t>    On September 4, 2025, the Commission issued an order initiating a rulemaking proceeding to establish rules governing the relationship between rate-regulated electric utilities, ARCs, and retail customers.</w:t>
      </w:r>
    </w:p>
    <w:p>
      <w:pPr>
        <w:spacing w:before="0" w:after="0" w:line="480"/>
        <w:ind w:left="120"/>
        <w:jc w:val="both"/>
      </w:pPr>
      <w:r>
        <w:rPr>
          <w:rFonts w:ascii="Times New Roman" w:hAnsi="Times New Roman"/>
          <w:b w:val="false"/>
          <w:i w:val="false"/>
          <w:color w:val="000000"/>
          <w:sz w:val="24"/>
        </w:rPr>
        <w:t xml:space="preserve">    Written comments and Commission orders regarding this matter are available on the Commission’s electronic filing system, </w:t>
      </w:r>
      <w:hyperlink r:id="rId4">
        <w:r>
          <w:rPr>
            <w:rStyle w:val="Hyperlink"/>
            <w:rFonts w:ascii="Times New Roman" w:hAnsi="Times New Roman"/>
            <w:b w:val="false"/>
            <w:i w:val="false"/>
            <w:color w:val="0000ff"/>
            <w:sz w:val="24"/>
          </w:rPr>
          <w:t>efs.iowa.gov</w:t>
        </w:r>
      </w:hyperlink>
      <w:r>
        <w:rPr>
          <w:rFonts w:ascii="Times New Roman" w:hAnsi="Times New Roman"/>
          <w:b w:val="false"/>
          <w:i w:val="false"/>
          <w:color w:val="000000"/>
          <w:sz w:val="24"/>
        </w:rPr>
        <w:t>, under Docket No. RMU-2025-0020.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0173D</w:t>
      </w:r>
      <w:r>
        <w:rPr>
          <w:rFonts w:ascii="Times New Roman" w:hAnsi="Times New Roman"/>
          <w:b w:val="false"/>
          <w:i w:val="false"/>
          <w:color w:val="000000"/>
          <w:sz w:val="24"/>
        </w:rPr>
        <w:t>. Written comments were filed in the Commission’s electronic filing system. </w:t>
      </w:r>
    </w:p>
    <w:p>
      <w:pPr>
        <w:spacing w:before="0" w:after="0" w:line="480"/>
        <w:ind w:left="120"/>
        <w:jc w:val="both"/>
      </w:pPr>
      <w:r>
        <w:rPr>
          <w:rFonts w:ascii="Times New Roman" w:hAnsi="Times New Roman"/>
          <w:b w:val="false"/>
          <w:i w:val="false"/>
          <w:color w:val="000000"/>
          <w:sz w:val="24"/>
        </w:rPr>
        <w:t>    Advanced Energy United generally supports the rulemaking, while identifying certain provisions that could be improved. Advanced Energy United opposes the temporary 100 kW minimum demand requirement for participation. Advanced Energy United also opposes allowing utilities to potentially develop separate data-sharing standards. Advanced Energy United suggests a revision to the definition of “double counting” to clarify that double counting only applies to resources offering the same service in multiple programs.</w:t>
      </w:r>
    </w:p>
    <w:p>
      <w:pPr>
        <w:spacing w:before="0" w:after="0" w:line="480"/>
        <w:ind w:left="120"/>
        <w:jc w:val="both"/>
      </w:pPr>
      <w:r>
        <w:rPr>
          <w:rFonts w:ascii="Times New Roman" w:hAnsi="Times New Roman"/>
          <w:b w:val="false"/>
          <w:i w:val="false"/>
          <w:color w:val="000000"/>
          <w:sz w:val="24"/>
        </w:rPr>
        <w:t>    The Environmental Law and Policy Center and Iowa Environmental Council support the rulemaking.</w:t>
      </w:r>
    </w:p>
    <w:p>
      <w:pPr>
        <w:spacing w:before="0" w:after="0" w:line="480"/>
        <w:ind w:left="120"/>
        <w:jc w:val="both"/>
      </w:pPr>
      <w:r>
        <w:rPr>
          <w:rFonts w:ascii="Times New Roman" w:hAnsi="Times New Roman"/>
          <w:b w:val="false"/>
          <w:i w:val="false"/>
          <w:color w:val="000000"/>
          <w:sz w:val="24"/>
        </w:rPr>
        <w:t>    Iowa Association of Electric Cooperatives states the rulemaking properly includes language limiting its applicability to electric customers of rate-regulated utilities.</w:t>
      </w:r>
    </w:p>
    <w:p>
      <w:pPr>
        <w:spacing w:before="0" w:after="0" w:line="480"/>
        <w:ind w:left="120"/>
        <w:jc w:val="both"/>
      </w:pPr>
      <w:r>
        <w:rPr>
          <w:rFonts w:ascii="Times New Roman" w:hAnsi="Times New Roman"/>
          <w:b w:val="false"/>
          <w:i w:val="false"/>
          <w:color w:val="000000"/>
          <w:sz w:val="24"/>
        </w:rPr>
        <w:t>    The Iowa Distributed Energy Coalition supports the rulemaking.</w:t>
      </w:r>
    </w:p>
    <w:p>
      <w:pPr>
        <w:spacing w:before="0" w:after="0" w:line="480"/>
        <w:ind w:left="120"/>
        <w:jc w:val="both"/>
      </w:pPr>
      <w:r>
        <w:rPr>
          <w:rFonts w:ascii="Times New Roman" w:hAnsi="Times New Roman"/>
          <w:b w:val="false"/>
          <w:i w:val="false"/>
          <w:color w:val="000000"/>
          <w:sz w:val="24"/>
        </w:rPr>
        <w:t>    The Iowa Economic Alliance supports the rulemaking.</w:t>
      </w:r>
    </w:p>
    <w:p>
      <w:pPr>
        <w:spacing w:before="0" w:after="0" w:line="480"/>
        <w:ind w:left="120"/>
        <w:jc w:val="both"/>
      </w:pPr>
      <w:r>
        <w:rPr>
          <w:rFonts w:ascii="Times New Roman" w:hAnsi="Times New Roman"/>
          <w:b w:val="false"/>
          <w:i w:val="false"/>
          <w:color w:val="000000"/>
          <w:sz w:val="24"/>
        </w:rPr>
        <w:t>    The Office of Consumer Advocate, a division of the Iowa Department of Justice, supports the rulemaking.</w:t>
      </w:r>
    </w:p>
    <w:p>
      <w:pPr>
        <w:spacing w:before="0" w:after="0" w:line="480"/>
        <w:ind w:left="120"/>
        <w:jc w:val="both"/>
      </w:pPr>
      <w:r>
        <w:rPr>
          <w:rFonts w:ascii="Times New Roman" w:hAnsi="Times New Roman"/>
          <w:b w:val="false"/>
          <w:i w:val="false"/>
          <w:color w:val="000000"/>
          <w:sz w:val="24"/>
        </w:rPr>
        <w:t>    Interstate Power and Light (IPL) Company suggests that the due date for utilities to file required tariffs be changed from August 1, 2026, to 180 days from the effective date of the rulemaking. IPL also suggests that the rules allow utilities to limit participation if a customer does not have metering equipment to support the collection of necessary data.</w:t>
      </w:r>
    </w:p>
    <w:p>
      <w:pPr>
        <w:spacing w:before="0" w:after="0" w:line="480"/>
        <w:ind w:left="120"/>
        <w:jc w:val="both"/>
      </w:pPr>
      <w:r>
        <w:rPr>
          <w:rFonts w:ascii="Times New Roman" w:hAnsi="Times New Roman"/>
          <w:b w:val="false"/>
          <w:i w:val="false"/>
          <w:color w:val="000000"/>
          <w:sz w:val="24"/>
        </w:rPr>
        <w:t>    The Sierra Club, Vote Solar, and the Midwest Renewable Energy Association generally support the rulemaking. However, these commenters contend that the Commission lacks the authority to temporarily prohibit customers with a load less than 100 kW from participating.</w:t>
      </w:r>
    </w:p>
    <w:p>
      <w:pPr>
        <w:spacing w:before="0" w:after="0" w:line="480"/>
        <w:ind w:left="120"/>
        <w:jc w:val="both"/>
      </w:pPr>
      <w:r>
        <w:rPr>
          <w:rFonts w:ascii="Times New Roman" w:hAnsi="Times New Roman"/>
          <w:b w:val="false"/>
          <w:i w:val="false"/>
          <w:color w:val="000000"/>
          <w:sz w:val="24"/>
        </w:rPr>
        <w:t>    MidAmerican Energy Company takes issue with the underlying policy of allowing ARCs to operate in Iowa. MidAmerican proposes a revision to the term “aggregate load” to clarify what load characteristics make a customer eligible for immediate participation. MidAmerican suggests that more specificity be provided with respect to the data-sharing tariffs that utilities are required to file. MidAmerican recommends that full participation begin May 1, 2028, rather than January 1, 2028. MidAmerican suggests that the burden of proving/disproving incompatibility of dual participation with utility demand response programs should be on the customer, not the utility. MidAmerican suggests revisions to the catchwords of subrules 20.22(6) and 20.22(7) to address improper actions that may fall short of fraud.</w:t>
      </w:r>
    </w:p>
    <w:p>
      <w:pPr>
        <w:spacing w:before="0" w:after="0" w:line="480"/>
        <w:ind w:left="120"/>
        <w:jc w:val="both"/>
      </w:pPr>
      <w:r>
        <w:rPr>
          <w:rFonts w:ascii="Times New Roman" w:hAnsi="Times New Roman"/>
          <w:b w:val="false"/>
          <w:i w:val="false"/>
          <w:color w:val="000000"/>
          <w:sz w:val="24"/>
        </w:rPr>
        <w:t>    Utility API suggests the term “electronic data interchange” be revised. Utility API also suggests more specificity be provided with respect to the data-sharing tariffs that utilities are required to file.</w:t>
      </w:r>
    </w:p>
    <w:p>
      <w:pPr>
        <w:spacing w:before="0" w:after="0" w:line="480"/>
        <w:ind w:left="120"/>
        <w:jc w:val="both"/>
      </w:pPr>
      <w:r>
        <w:rPr>
          <w:rFonts w:ascii="Times New Roman" w:hAnsi="Times New Roman"/>
          <w:b w:val="false"/>
          <w:i w:val="false"/>
          <w:color w:val="000000"/>
          <w:sz w:val="24"/>
        </w:rPr>
        <w:t>    Mission:data suggests the tariff requirements be revised to address user experience and data ownership.</w:t>
      </w:r>
    </w:p>
    <w:p>
      <w:pPr>
        <w:spacing w:before="0" w:after="0" w:line="480"/>
        <w:ind w:left="120"/>
        <w:jc w:val="both"/>
      </w:pPr>
      <w:r>
        <w:rPr>
          <w:rFonts w:ascii="Times New Roman" w:hAnsi="Times New Roman"/>
          <w:b w:val="false"/>
          <w:i w:val="false"/>
          <w:color w:val="000000"/>
          <w:sz w:val="24"/>
        </w:rPr>
        <w:t>    The Commission has made the following changes from the Notice: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 response to Advanced Energy United’s suggestion, revised the definition of “double counting.”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 response to Interstate Power and Light Company’s suggestion, changed the due date for filing the data-sharing tariff.</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 response to MidAmerican Energy Company’s comments, revised the definition of “aggregate load,” specified the minimum requirements for data-sharing tariffs, and revised the titles to subrules 20.22(6) and 20.22(7).</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 response to Utility API’s comments, replaced the term “electronic data interchange” with “data-sharing” within the rulemaking and specified the minimum requirements for data-sharing tariffs.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June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Commission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26,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“Aggregate load,” </w:t>
      </w:r>
      <w:r>
        <w:rPr>
          <w:rFonts w:ascii="Times New Roman" w:hAnsi="Times New Roman"/>
          <w:b w:val="false"/>
          <w:i w:val="false"/>
          <w:color w:val="000000"/>
          <w:sz w:val="24"/>
        </w:rPr>
        <w:t xml:space="preserve">“ARC,” </w:t>
      </w:r>
      <w:r>
        <w:rPr>
          <w:rFonts w:ascii="Times New Roman" w:hAnsi="Times New Roman"/>
          <w:b w:val="false"/>
          <w:i w:val="false"/>
          <w:color w:val="000000"/>
          <w:sz w:val="24"/>
        </w:rPr>
        <w:t xml:space="preserve">“Double-counting,” </w:t>
      </w:r>
      <w:r>
        <w:rPr>
          <w:rFonts w:ascii="Times New Roman" w:hAnsi="Times New Roman"/>
          <w:b w:val="false"/>
          <w:i w:val="false"/>
          <w:color w:val="000000"/>
          <w:sz w:val="24"/>
        </w:rPr>
        <w:t xml:space="preserve">“Interruptible service tariff” and </w:t>
      </w:r>
      <w:r>
        <w:rPr>
          <w:rFonts w:ascii="Times New Roman" w:hAnsi="Times New Roman"/>
          <w:b w:val="false"/>
          <w:i w:val="false"/>
          <w:color w:val="000000"/>
          <w:sz w:val="24"/>
        </w:rPr>
        <w:t>“Wholesale electricity market”</w:t>
      </w:r>
      <w:r>
        <w:rPr>
          <w:rFonts w:ascii="Times New Roman" w:hAnsi="Times New Roman"/>
          <w:b w:val="false"/>
          <w:i w:val="false"/>
          <w:color w:val="000000"/>
          <w:sz w:val="24"/>
        </w:rPr>
        <w:t xml:space="preserve"> in subrule </w:t>
      </w:r>
      <w:r>
        <w:rPr>
          <w:rFonts w:ascii="Times New Roman" w:hAnsi="Times New Roman"/>
          <w:b/>
          <w:i w:val="false"/>
          <w:color w:val="000000"/>
          <w:sz w:val="24"/>
        </w:rPr>
        <w:t>20.1(3)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“Aggregate load”</w:t>
      </w:r>
      <w:r>
        <w:rPr>
          <w:rFonts w:ascii="Times New Roman" w:hAnsi="Times New Roman"/>
          <w:b w:val="false"/>
          <w:i w:val="false"/>
          <w:color w:val="000000"/>
          <w:sz w:val="24"/>
        </w:rPr>
        <w:t> </w:t>
      </w:r>
      <w:r>
        <w:rPr>
          <w:rFonts w:ascii="Times New Roman" w:hAnsi="Times New Roman"/>
          <w:b w:val="false"/>
          <w:i w:val="false"/>
          <w:color w:val="000000"/>
          <w:sz w:val="24"/>
        </w:rPr>
        <w:t>means the sum of all demand across all service locations or meters under the common ownership or control of a single entity or person within a single utility’s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“ARC”</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aggregator of retail customers as defined in Federal Energy Regulatory Commission (FERC) Order No. 2222, </w:t>
      </w:r>
      <w:r>
        <w:rPr>
          <w:rFonts w:ascii="Times New Roman" w:hAnsi="Times New Roman"/>
          <w:b w:val="false"/>
          <w:i/>
          <w:color w:val="000000"/>
          <w:sz w:val="24"/>
        </w:rPr>
        <w:t>Participation of Distributed Energy Resource Aggregations in Markets Operated by Regional Transmission Organizations and Independent System Operators</w:t>
      </w:r>
      <w:r>
        <w:rPr>
          <w:rFonts w:ascii="Times New Roman" w:hAnsi="Times New Roman"/>
          <w:b w:val="false"/>
          <w:i w:val="false"/>
          <w:color w:val="000000"/>
          <w:sz w:val="24"/>
        </w:rPr>
        <w:t>, Docket No. RM1809-000; issued September 17,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“Double-counting”</w:t>
      </w:r>
      <w:r>
        <w:rPr>
          <w:rFonts w:ascii="Times New Roman" w:hAnsi="Times New Roman"/>
          <w:b w:val="false"/>
          <w:i w:val="false"/>
          <w:color w:val="000000"/>
          <w:sz w:val="24"/>
        </w:rPr>
        <w:t> </w:t>
      </w:r>
      <w:r>
        <w:rPr>
          <w:rFonts w:ascii="Times New Roman" w:hAnsi="Times New Roman"/>
          <w:b w:val="false"/>
          <w:i w:val="false"/>
          <w:color w:val="000000"/>
          <w:sz w:val="24"/>
        </w:rPr>
        <w:t>means the error of simultaneously crediting the same service provided by a resource in multiple programs, resulting in an overestimation in available capacity or an underestimation of load.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“Interruptible service tariff”</w:t>
      </w:r>
      <w:r>
        <w:rPr>
          <w:rFonts w:ascii="Times New Roman" w:hAnsi="Times New Roman"/>
          <w:b w:val="false"/>
          <w:i w:val="false"/>
          <w:color w:val="000000"/>
          <w:sz w:val="24"/>
        </w:rPr>
        <w:t> </w:t>
      </w:r>
      <w:r>
        <w:rPr>
          <w:rFonts w:ascii="Times New Roman" w:hAnsi="Times New Roman"/>
          <w:b w:val="false"/>
          <w:i w:val="false"/>
          <w:color w:val="000000"/>
          <w:sz w:val="24"/>
        </w:rPr>
        <w:t>means any tariff that offers differential rates or other monetary rewards for retail customers that agree to curtail, or have been curtailed by their rate-regulated electric utility, the customer’s electric load during a specified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“Wholesale electricity market”</w:t>
      </w:r>
      <w:r>
        <w:rPr>
          <w:rFonts w:ascii="Times New Roman" w:hAnsi="Times New Roman"/>
          <w:b w:val="false"/>
          <w:i w:val="false"/>
          <w:color w:val="000000"/>
          <w:sz w:val="24"/>
        </w:rPr>
        <w:t> </w:t>
      </w:r>
      <w:r>
        <w:rPr>
          <w:rFonts w:ascii="Times New Roman" w:hAnsi="Times New Roman"/>
          <w:b w:val="false"/>
          <w:i w:val="false"/>
          <w:color w:val="000000"/>
          <w:sz w:val="24"/>
        </w:rPr>
        <w:t>means a wholesale electricity market operated by an independent system operator, as defined in FERC Order No. 889, issued April 24, 1996, or by a regional transmission organization, as defined by FERC Order No. 2000, issued December 20, 1999.</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199—20.21</w:t>
      </w:r>
      <w:r>
        <w:rPr>
          <w:rFonts w:ascii="Times New Roman" w:hAnsi="Times New Roman"/>
          <w:b w:val="false"/>
          <w:i w:val="false"/>
          <w:color w:val="000000"/>
          <w:sz w:val="24"/>
        </w:rPr>
        <w:t>(476):</w:t>
      </w:r>
    </w:p>
    <w:p>
      <w:pPr>
        <w:spacing w:before="0" w:after="0" w:line="480"/>
        <w:ind w:left="120"/>
        <w:jc w:val="both"/>
      </w:pPr>
      <w:r>
        <w:rPr>
          <w:rFonts w:ascii="Times New Roman" w:hAnsi="Times New Roman"/>
          <w:b/>
          <w:i w:val="false"/>
          <w:color w:val="000000"/>
          <w:sz w:val="24"/>
        </w:rPr>
        <w:t>199—20.21</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participation in wholesale markets through demand response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20.21(1)</w:t>
      </w:r>
      <w:r>
        <w:rPr>
          <w:rFonts w:ascii="Times New Roman" w:hAnsi="Times New Roman"/>
          <w:b w:val="false"/>
          <w:i w:val="false"/>
          <w:color w:val="000000"/>
          <w:sz w:val="24"/>
        </w:rPr>
        <w:t> </w:t>
      </w:r>
      <w:r>
        <w:rPr>
          <w:rFonts w:ascii="Times New Roman" w:hAnsi="Times New Roman"/>
          <w:b w:val="false"/>
          <w:i/>
          <w:color w:val="000000"/>
          <w:sz w:val="24"/>
        </w:rPr>
        <w:t xml:space="preserve">Temporary participation limit. </w:t>
      </w:r>
      <w:r>
        <w:rPr>
          <w:rFonts w:ascii="Times New Roman" w:hAnsi="Times New Roman"/>
          <w:b w:val="false"/>
          <w:i w:val="false"/>
          <w:color w:val="000000"/>
          <w:sz w:val="24"/>
        </w:rPr>
        <w:t>Retail electricity customers of a rate-regulated electric utility with an aggregate load of 100 kilowatts or more with that utility may participate individually or through an ARC in wholesale electricity demand response programs operating in conjunction with wholesale electricity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20.21(2)</w:t>
      </w:r>
      <w:r>
        <w:rPr>
          <w:rFonts w:ascii="Times New Roman" w:hAnsi="Times New Roman"/>
          <w:b w:val="false"/>
          <w:i w:val="false"/>
          <w:color w:val="000000"/>
          <w:sz w:val="24"/>
        </w:rPr>
        <w:t> </w:t>
      </w:r>
      <w:r>
        <w:rPr>
          <w:rFonts w:ascii="Times New Roman" w:hAnsi="Times New Roman"/>
          <w:b w:val="false"/>
          <w:i/>
          <w:color w:val="000000"/>
          <w:sz w:val="24"/>
        </w:rPr>
        <w:t xml:space="preserve">Date certain for full participation. </w:t>
      </w:r>
      <w:r>
        <w:rPr>
          <w:rFonts w:ascii="Times New Roman" w:hAnsi="Times New Roman"/>
          <w:b w:val="false"/>
          <w:i w:val="false"/>
          <w:color w:val="000000"/>
          <w:sz w:val="24"/>
        </w:rPr>
        <w:t>Beginning on January 1, 2028, retail electricity customers of rate-regulated electric utilities, regardless of aggregate load size, may participate individually or through an ARC in wholesale electricity demand response programs operating in conjunction with wholesale electricity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20.21(3)</w:t>
      </w:r>
      <w:r>
        <w:rPr>
          <w:rFonts w:ascii="Times New Roman" w:hAnsi="Times New Roman"/>
          <w:b w:val="false"/>
          <w:i w:val="false"/>
          <w:color w:val="000000"/>
          <w:sz w:val="24"/>
        </w:rPr>
        <w:t> </w:t>
      </w:r>
      <w:r>
        <w:rPr>
          <w:rFonts w:ascii="Times New Roman" w:hAnsi="Times New Roman"/>
          <w:b w:val="false"/>
          <w:i/>
          <w:color w:val="000000"/>
          <w:sz w:val="24"/>
        </w:rPr>
        <w:t xml:space="preserve">Data sharing tariff.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180 days of August 26, 2026, each rate-regulated electric utility shall file a proposed tariff with the commission specifying standards for the sharing of customer data in order to effectuate customer participation in wholesale electricity demand response programs operating in conjunction with wholesale electricity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furtherance of effectuating customer participation in wholesale electricity demand response programs operating in conjunction with wholesale electricity markets, the data sharing tariff shall, at a minimum, provide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Adoption of a nationally recognized data exchange protocol to streamline data portability.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Establishment of a process by which customers securely give permission for their data to be shared with an ARC.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20.21(4)</w:t>
      </w:r>
      <w:r>
        <w:rPr>
          <w:rFonts w:ascii="Times New Roman" w:hAnsi="Times New Roman"/>
          <w:b w:val="false"/>
          <w:i w:val="false"/>
          <w:color w:val="000000"/>
          <w:sz w:val="24"/>
        </w:rPr>
        <w:t> </w:t>
      </w:r>
      <w:r>
        <w:rPr>
          <w:rFonts w:ascii="Times New Roman" w:hAnsi="Times New Roman"/>
          <w:b w:val="false"/>
          <w:i/>
          <w:color w:val="000000"/>
          <w:sz w:val="24"/>
        </w:rPr>
        <w:t xml:space="preserve">Limitation on dual participation. </w:t>
      </w:r>
      <w:r>
        <w:rPr>
          <w:rFonts w:ascii="Times New Roman" w:hAnsi="Times New Roman"/>
          <w:b w:val="false"/>
          <w:i w:val="false"/>
          <w:color w:val="000000"/>
          <w:sz w:val="24"/>
        </w:rPr>
        <w:t xml:space="preserve">When necessary to avoid improper double-counting, a rate-regulated utility may limit participation in a utility’s demand response programs to customers not participating individually or through an ARC in wholesale electricity demand response programs. Upon customer complaint filed pursuant to </w:t>
      </w:r>
      <w:hyperlink r:id="rId6">
        <w:r>
          <w:rPr>
            <w:rStyle w:val="Hyperlink"/>
            <w:rFonts w:ascii="Times New Roman" w:hAnsi="Times New Roman"/>
            <w:b w:val="false"/>
            <w:i w:val="false"/>
            <w:color w:val="000000"/>
            <w:sz w:val="24"/>
          </w:rPr>
          <w:t>199—Chapter 6</w:t>
        </w:r>
      </w:hyperlink>
      <w:r>
        <w:rPr>
          <w:rFonts w:ascii="Times New Roman" w:hAnsi="Times New Roman"/>
          <w:b w:val="false"/>
          <w:i w:val="false"/>
          <w:color w:val="000000"/>
          <w:sz w:val="24"/>
        </w:rPr>
        <w:t>, the utility shall have the burden of proving the necessity of the participation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20.21(5)</w:t>
      </w:r>
      <w:r>
        <w:rPr>
          <w:rFonts w:ascii="Times New Roman" w:hAnsi="Times New Roman"/>
          <w:b w:val="false"/>
          <w:i w:val="false"/>
          <w:color w:val="000000"/>
          <w:sz w:val="24"/>
        </w:rPr>
        <w:t> </w:t>
      </w:r>
      <w:r>
        <w:rPr>
          <w:rFonts w:ascii="Times New Roman" w:hAnsi="Times New Roman"/>
          <w:b w:val="false"/>
          <w:i/>
          <w:color w:val="000000"/>
          <w:sz w:val="24"/>
        </w:rPr>
        <w:t xml:space="preserve">Costs tracked. </w:t>
      </w:r>
      <w:r>
        <w:rPr>
          <w:rFonts w:ascii="Times New Roman" w:hAnsi="Times New Roman"/>
          <w:b w:val="false"/>
          <w:i w:val="false"/>
          <w:color w:val="000000"/>
          <w:sz w:val="24"/>
        </w:rPr>
        <w:t>The rate-regulated utility’s costs associated with facilitating customer participation individually or through an ARC in wholesale electricity demand response programs operating in conjunction with wholesale electricity markets shall be tracked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20.21(6)</w:t>
      </w:r>
      <w:r>
        <w:rPr>
          <w:rFonts w:ascii="Times New Roman" w:hAnsi="Times New Roman"/>
          <w:b w:val="false"/>
          <w:i w:val="false"/>
          <w:color w:val="000000"/>
          <w:sz w:val="24"/>
        </w:rPr>
        <w:t> </w:t>
      </w:r>
      <w:r>
        <w:rPr>
          <w:rFonts w:ascii="Times New Roman" w:hAnsi="Times New Roman"/>
          <w:b w:val="false"/>
          <w:i/>
          <w:color w:val="000000"/>
          <w:sz w:val="24"/>
        </w:rPr>
        <w:t xml:space="preserve">Limitation of utility liability. </w:t>
      </w:r>
      <w:r>
        <w:rPr>
          <w:rFonts w:ascii="Times New Roman" w:hAnsi="Times New Roman"/>
          <w:b w:val="false"/>
          <w:i w:val="false"/>
          <w:color w:val="000000"/>
          <w:sz w:val="24"/>
        </w:rPr>
        <w:t>A rate-regulated utility shall not be held liable, in any manner, for the actions of an ARC or a customer participating individually in demand response programs operating in conjunction with wholesale electricity markets.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20.21(7)</w:t>
      </w:r>
      <w:r>
        <w:rPr>
          <w:rFonts w:ascii="Times New Roman" w:hAnsi="Times New Roman"/>
          <w:b w:val="false"/>
          <w:i w:val="false"/>
          <w:color w:val="000000"/>
          <w:sz w:val="24"/>
        </w:rPr>
        <w:t> </w:t>
      </w:r>
      <w:r>
        <w:rPr>
          <w:rFonts w:ascii="Times New Roman" w:hAnsi="Times New Roman"/>
          <w:b w:val="false"/>
          <w:i/>
          <w:color w:val="000000"/>
          <w:sz w:val="24"/>
        </w:rPr>
        <w:t xml:space="preserve">Recovery of costs incurred due to fraud, mismanagement, or other misconduct. </w:t>
      </w:r>
      <w:r>
        <w:rPr>
          <w:rFonts w:ascii="Times New Roman" w:hAnsi="Times New Roman"/>
          <w:b w:val="false"/>
          <w:i w:val="false"/>
          <w:color w:val="000000"/>
          <w:sz w:val="24"/>
        </w:rPr>
        <w:t>Any reimbursement of costs incurred by customers, local balancing authorities, or other utilities due to fraudulent activities; improper excess market payments; or other unjustified expenses arising from participation of an ARC or individual customer in demand response programs operating in conjunction with wholesale electricity markets shall be sought from the operator of the wholesale electricity market. Complaints or concerns relating to such costs should be directed to the market operator and not to any electric utility serving such participating customers.</w:t>
      </w:r>
    </w:p>
    <w:p>
      <w:pPr>
        <w:spacing w:before="0" w:after="0" w:line="480"/>
        <w:ind w:left="120"/>
        <w:jc w:val="center"/>
      </w:pPr>
      <w:r>
        <w:rPr>
          <w:rFonts w:ascii="Times New Roman" w:hAnsi="Times New Roman"/>
          <w:b w:val="false"/>
          <w:i w:val="false"/>
          <w:color w:val="000000"/>
          <w:sz w:val="24"/>
        </w:rPr>
        <w:t>[Filed 6/29/26, effective 8/26/26]</w:t>
      </w:r>
    </w:p>
    <w:p>
      <w:pPr>
        <w:spacing w:before="0" w:after="0" w:line="480"/>
        <w:ind w:left="120"/>
        <w:jc w:val="center"/>
      </w:pPr>
      <w:r>
        <w:rPr>
          <w:rFonts w:ascii="Times New Roman" w:hAnsi="Times New Roman"/>
          <w:b w:val="false"/>
          <w:i w:val="false"/>
          <w:color w:val="000000"/>
          <w:sz w:val="24"/>
        </w:rPr>
        <w:t>[Published 7/22/26]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7/22/26.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199.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