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3D" w:id="1"/>
    <w:p>
      <w:pPr>
        <w:spacing w:before="0" w:after="0" w:line="480"/>
        <w:ind w:left="120"/>
        <w:jc w:val="right"/>
      </w:pPr>
      <w:r>
        <w:rPr>
          <w:rFonts w:ascii="Times New Roman" w:hAnsi="Times New Roman"/>
          <w:b/>
          <w:i w:val="false"/>
          <w:color w:val="000000"/>
          <w:sz w:val="28"/>
        </w:rPr>
        <w:t>ARC 0453D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criminal intelligence information</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81, “Criminal Intelligence Information,” Iowa Administrative Code, and adopts a new Chapter 81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692.10.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692.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hereby rescinds Chapter 81 and adopts a new chapter in lieu thereof. The chapter ensures the security and confidentiality of all systems established for the exchange of intelligence data between criminal and juvenile justice agencies and provides for the authorization of officers or employees to access a system in which criminal justice information is stored.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0294D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26,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81</w:t>
      </w:r>
    </w:p>
    <w:p>
      <w:pPr>
        <w:spacing w:before="0" w:after="0" w:line="480"/>
        <w:ind w:left="120"/>
        <w:jc w:val="center"/>
      </w:pPr>
      <w:r>
        <w:rPr>
          <w:rFonts w:ascii="Times New Roman" w:hAnsi="Times New Roman"/>
          <w:b w:val="false"/>
          <w:i w:val="false"/>
          <w:color w:val="000000"/>
          <w:sz w:val="21"/>
        </w:rPr>
        <w:t>CRIMINAL INTELLIGENCE INFORMATION</w:t>
      </w:r>
    </w:p>
    <w:p>
      <w:pPr>
        <w:spacing w:before="0" w:after="0" w:line="480"/>
        <w:ind w:left="120"/>
        <w:jc w:val="both"/>
      </w:pPr>
      <w:r>
        <w:rPr>
          <w:rFonts w:ascii="Times New Roman" w:hAnsi="Times New Roman"/>
          <w:b/>
          <w:i w:val="false"/>
          <w:color w:val="000000"/>
          <w:sz w:val="24"/>
        </w:rPr>
        <w:t>661—81.1</w:t>
      </w:r>
      <w:r>
        <w:rPr>
          <w:rFonts w:ascii="Times New Roman" w:hAnsi="Times New Roman"/>
          <w:b/>
          <w:i w:val="false"/>
          <w:color w:val="000000"/>
          <w:sz w:val="24"/>
        </w:rPr>
        <w:t xml:space="preserve">(692)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the department of public safety or the commissioner’s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intelligence file”</w:t>
      </w:r>
      <w:r>
        <w:rPr>
          <w:rFonts w:ascii="Times New Roman" w:hAnsi="Times New Roman"/>
          <w:b w:val="false"/>
          <w:i w:val="false"/>
          <w:color w:val="000000"/>
          <w:sz w:val="24"/>
        </w:rPr>
        <w:t> </w:t>
      </w:r>
      <w:r>
        <w:rPr>
          <w:rFonts w:ascii="Times New Roman" w:hAnsi="Times New Roman"/>
          <w:b w:val="false"/>
          <w:i w:val="false"/>
          <w:color w:val="000000"/>
          <w:sz w:val="24"/>
        </w:rPr>
        <w:t>means information stored in a criminal intelligence system that is compiled in an effort to anticipate, prevent, or monitor possible criminal activity 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individual who, based upon reasonable grounds, is believed to be involved in the actual or attempted planning, organization, financing, promotion, or commission of criminal acts or is believed to be involved in criminal activities with known or suspected criminal offenders.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group, organization or business that, based on reasonable grounds, is believed to be involved in the actual or attempted planning, organization, financing, promotion, or commission of criminal acts, or of being illegally operated, controlled, financed, promoted, or infiltrated by known or suspected criminal offenders.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incident in which sufficient articulable facts give a trained law enforcement or criminal investigative agency officer, investigator, or employee a basis to believe that a definable criminal activity or enterprise is, has been, or may be committed.</w:t>
      </w:r>
    </w:p>
    <w:p>
      <w:pPr>
        <w:spacing w:before="0" w:after="0" w:line="480"/>
        <w:ind w:left="120"/>
        <w:jc w:val="both"/>
      </w:pPr>
      <w:r>
        <w:rPr>
          <w:rFonts w:ascii="Times New Roman" w:hAnsi="Times New Roman"/>
          <w:b w:val="false"/>
          <w:i w:val="false"/>
          <w:color w:val="000000"/>
          <w:sz w:val="24"/>
        </w:rPr>
        <w:t xml:space="preserve">“Criminal intelligence file” does not include surveillance data as defined in Iowa Code section </w:t>
      </w:r>
      <w:hyperlink r:id="rId5">
        <w:r>
          <w:rPr>
            <w:rStyle w:val="Hyperlink"/>
            <w:rFonts w:ascii="Times New Roman" w:hAnsi="Times New Roman"/>
            <w:b w:val="false"/>
            <w:i w:val="false"/>
            <w:color w:val="000000"/>
            <w:sz w:val="24"/>
          </w:rPr>
          <w:t>692.1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intelligence system”</w:t>
      </w:r>
      <w:r>
        <w:rPr>
          <w:rFonts w:ascii="Times New Roman" w:hAnsi="Times New Roman"/>
          <w:b w:val="false"/>
          <w:i w:val="false"/>
          <w:color w:val="000000"/>
          <w:sz w:val="24"/>
        </w:rPr>
        <w:t> </w:t>
      </w:r>
      <w:r>
        <w:rPr>
          <w:rFonts w:ascii="Times New Roman" w:hAnsi="Times New Roman"/>
          <w:b w:val="false"/>
          <w:i w:val="false"/>
          <w:color w:val="000000"/>
          <w:sz w:val="24"/>
        </w:rPr>
        <w:t>means the arrangements, equipment, facilities, and procedures used for the receipt, storage, interagency exchange or dissemination, and analysis of criminal intelligence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“Need to know”</w:t>
      </w:r>
      <w:r>
        <w:rPr>
          <w:rFonts w:ascii="Times New Roman" w:hAnsi="Times New Roman"/>
          <w:b w:val="false"/>
          <w:i w:val="false"/>
          <w:color w:val="000000"/>
          <w:sz w:val="24"/>
        </w:rPr>
        <w:t> </w:t>
      </w:r>
      <w:r>
        <w:rPr>
          <w:rFonts w:ascii="Times New Roman" w:hAnsi="Times New Roman"/>
          <w:b w:val="false"/>
          <w:i w:val="false"/>
          <w:color w:val="000000"/>
          <w:sz w:val="24"/>
        </w:rPr>
        <w:t>is established if criminal intelligence information will assist a recipient in anticipating, investigating, monitoring, or preventing possible criminal activity or if criminal intelligence information is pertinent to protecting a person or property from a threat of imminent serious harm.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“Noncriminal identifying information”</w:t>
      </w:r>
      <w:r>
        <w:rPr>
          <w:rFonts w:ascii="Times New Roman" w:hAnsi="Times New Roman"/>
          <w:b w:val="false"/>
          <w:i w:val="false"/>
          <w:color w:val="000000"/>
          <w:sz w:val="24"/>
        </w:rPr>
        <w:t> </w:t>
      </w:r>
      <w:r>
        <w:rPr>
          <w:rFonts w:ascii="Times New Roman" w:hAnsi="Times New Roman"/>
          <w:b w:val="false"/>
          <w:i w:val="false"/>
          <w:color w:val="000000"/>
          <w:sz w:val="24"/>
        </w:rPr>
        <w:t>means information about the characteristics and associations of an identifiable person suspected of being involved in criminal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“Reasonable grounds”</w:t>
      </w:r>
      <w:r>
        <w:rPr>
          <w:rFonts w:ascii="Times New Roman" w:hAnsi="Times New Roman"/>
          <w:b w:val="false"/>
          <w:i w:val="false"/>
          <w:color w:val="000000"/>
          <w:sz w:val="24"/>
        </w:rPr>
        <w:t> </w:t>
      </w:r>
      <w:r>
        <w:rPr>
          <w:rFonts w:ascii="Times New Roman" w:hAnsi="Times New Roman"/>
          <w:b w:val="false"/>
          <w:i w:val="false"/>
          <w:color w:val="000000"/>
          <w:sz w:val="24"/>
        </w:rPr>
        <w:t>means information that establishes sufficient articulable facts that give a trained law enforcement or criminal investigative agency officer, investigator, or employee a reasonable basis to believe that a definable criminal activity or enterprise is, has been, or may be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 to know”</w:t>
      </w:r>
      <w:r>
        <w:rPr>
          <w:rFonts w:ascii="Times New Roman" w:hAnsi="Times New Roman"/>
          <w:b w:val="false"/>
          <w:i w:val="false"/>
          <w:color w:val="000000"/>
          <w:sz w:val="24"/>
        </w:rPr>
        <w:t> </w:t>
      </w:r>
      <w:r>
        <w:rPr>
          <w:rFonts w:ascii="Times New Roman" w:hAnsi="Times New Roman"/>
          <w:b w:val="false"/>
          <w:i w:val="false"/>
          <w:color w:val="000000"/>
          <w:sz w:val="24"/>
        </w:rPr>
        <w:t>is established when a recipient of criminal intelligence information is legally permitted to receive intelligence data or an intelligence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“Surveillance data”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692.1(16)</w:t>
        </w:r>
      </w:hyperlink>
      <w:r>
        <w:rPr>
          <w:rFonts w:ascii="Times New Roman" w:hAnsi="Times New Roman"/>
          <w:b w:val="false"/>
          <w:i w:val="false"/>
          <w:color w:val="000000"/>
          <w:sz w:val="24"/>
        </w:rPr>
        <w:t>. Noncriminal identifying information does not constitute surveillance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“Threat of imminent serious harm”</w:t>
      </w:r>
      <w:r>
        <w:rPr>
          <w:rFonts w:ascii="Times New Roman" w:hAnsi="Times New Roman"/>
          <w:b w:val="false"/>
          <w:i w:val="false"/>
          <w:color w:val="000000"/>
          <w:sz w:val="24"/>
        </w:rPr>
        <w:t> </w:t>
      </w:r>
      <w:r>
        <w:rPr>
          <w:rFonts w:ascii="Times New Roman" w:hAnsi="Times New Roman"/>
          <w:b w:val="false"/>
          <w:i w:val="false"/>
          <w:color w:val="000000"/>
          <w:sz w:val="24"/>
        </w:rPr>
        <w:t>means a credible impending threat to the safety of a person or property. A threat of imminent serious harm justifies the dissemination of intelligence data or an intelligence assessment for the purpose of protecting a person or property from the threat.</w:t>
      </w:r>
    </w:p>
    <w:p>
      <w:pPr>
        <w:spacing w:before="0" w:after="0" w:line="480"/>
        <w:ind w:left="120"/>
        <w:jc w:val="both"/>
      </w:pPr>
      <w:r>
        <w:rPr>
          <w:rFonts w:ascii="Times New Roman" w:hAnsi="Times New Roman"/>
          <w:b/>
          <w:i w:val="false"/>
          <w:color w:val="000000"/>
          <w:sz w:val="24"/>
        </w:rPr>
        <w:t>661—81.2</w:t>
      </w:r>
      <w:r>
        <w:rPr>
          <w:rFonts w:ascii="Times New Roman" w:hAnsi="Times New Roman"/>
          <w:b/>
          <w:i w:val="false"/>
          <w:color w:val="000000"/>
          <w:sz w:val="24"/>
        </w:rPr>
        <w:t xml:space="preserve">(692) </w:t>
      </w:r>
      <w:r>
        <w:rPr>
          <w:rFonts w:ascii="Times New Roman" w:hAnsi="Times New Roman"/>
          <w:b/>
          <w:i w:val="false"/>
          <w:color w:val="000000"/>
          <w:sz w:val="24"/>
        </w:rPr>
        <w:t xml:space="preserve">Iowa law enforcement intelligence network (LEIN) information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w:t>
      </w:r>
      <w:r>
        <w:rPr>
          <w:rFonts w:ascii="Times New Roman" w:hAnsi="Times New Roman"/>
          <w:b w:val="false"/>
          <w:i w:val="false"/>
          <w:color w:val="000000"/>
          <w:sz w:val="24"/>
        </w:rPr>
        <w:t> </w:t>
      </w:r>
      <w:r>
        <w:rPr>
          <w:rFonts w:ascii="Times New Roman" w:hAnsi="Times New Roman"/>
          <w:b w:val="false"/>
          <w:i/>
          <w:color w:val="000000"/>
          <w:sz w:val="24"/>
        </w:rPr>
        <w:t xml:space="preserve">LEIN information system. </w:t>
      </w:r>
      <w:r>
        <w:rPr>
          <w:rFonts w:ascii="Times New Roman" w:hAnsi="Times New Roman"/>
          <w:b w:val="false"/>
          <w:i w:val="false"/>
          <w:color w:val="000000"/>
          <w:sz w:val="24"/>
        </w:rPr>
        <w:t xml:space="preserve">The Iowa law enforcement intelligence network (LEIN) information system is the statewide interjurisdictional intelligence system maintained and operated by the intelligence division of the department of public safety, for the regular interagency exchange of criminal intelligence files. Criminal intelligence files contained in the LEIN information system may be disseminated or redisseminated by the intelligence division of the department of public safety, consistent with Iowa Code chapter </w:t>
      </w:r>
      <w:hyperlink r:id="rId7">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81.2(2)</w:t>
      </w:r>
      <w:r>
        <w:rPr>
          <w:rFonts w:ascii="Times New Roman" w:hAnsi="Times New Roman"/>
          <w:b w:val="false"/>
          <w:i w:val="false"/>
          <w:color w:val="000000"/>
          <w:sz w:val="24"/>
        </w:rPr>
        <w:t> </w:t>
      </w:r>
      <w:r>
        <w:rPr>
          <w:rFonts w:ascii="Times New Roman" w:hAnsi="Times New Roman"/>
          <w:b w:val="false"/>
          <w:i/>
          <w:color w:val="000000"/>
          <w:sz w:val="24"/>
        </w:rPr>
        <w:t xml:space="preserve">Direct computer access. </w:t>
      </w:r>
      <w:r>
        <w:rPr>
          <w:rFonts w:ascii="Times New Roman" w:hAnsi="Times New Roman"/>
          <w:b w:val="false"/>
          <w:i w:val="false"/>
          <w:color w:val="000000"/>
          <w:sz w:val="24"/>
        </w:rPr>
        <w:t>The commissioner may authorize a peace officer, criminal justice agency, or state or federal regulatory agency to access the LEIN information system directly via a remote computer terminal, provided that the authorized individual or agency follows approved procedures regarding receipt, maintenance, dissemination, submission and security of information, and related training. Authorization may be provided in writing or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81.2(3)</w:t>
      </w:r>
      <w:r>
        <w:rPr>
          <w:rFonts w:ascii="Times New Roman" w:hAnsi="Times New Roman"/>
          <w:b w:val="false"/>
          <w:i w:val="false"/>
          <w:color w:val="000000"/>
          <w:sz w:val="24"/>
        </w:rPr>
        <w:t> </w:t>
      </w:r>
      <w:r>
        <w:rPr>
          <w:rFonts w:ascii="Times New Roman" w:hAnsi="Times New Roman"/>
          <w:b w:val="false"/>
          <w:i/>
          <w:color w:val="000000"/>
          <w:sz w:val="24"/>
        </w:rPr>
        <w:t xml:space="preserve">Termination of authorization for direct computer access. </w:t>
      </w:r>
      <w:r>
        <w:rPr>
          <w:rFonts w:ascii="Times New Roman" w:hAnsi="Times New Roman"/>
          <w:b w:val="false"/>
          <w:i w:val="false"/>
          <w:color w:val="000000"/>
          <w:sz w:val="24"/>
        </w:rPr>
        <w:t xml:space="preserve">The commissioner may, at any time for good cause, terminate authorization for direct, remote computer access to the LEIN information system that has been previously approved. An individual or agency whose authorization to directly access the LEIN information system via remote computer has been terminated may appeal the termination in accordance with procedures for contested cases established in </w:t>
      </w:r>
      <w:hyperlink r:id="rId8">
        <w:r>
          <w:rPr>
            <w:rStyle w:val="Hyperlink"/>
            <w:rFonts w:ascii="Times New Roman" w:hAnsi="Times New Roman"/>
            <w:b w:val="false"/>
            <w:i w:val="false"/>
            <w:color w:val="000000"/>
            <w:sz w:val="24"/>
          </w:rPr>
          <w:t>661—Chapter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81.2(4)</w:t>
      </w:r>
      <w:r>
        <w:rPr>
          <w:rFonts w:ascii="Times New Roman" w:hAnsi="Times New Roman"/>
          <w:b w:val="false"/>
          <w:i w:val="false"/>
          <w:color w:val="000000"/>
          <w:sz w:val="24"/>
        </w:rPr>
        <w:t> </w:t>
      </w:r>
      <w:r>
        <w:rPr>
          <w:rFonts w:ascii="Times New Roman" w:hAnsi="Times New Roman"/>
          <w:b w:val="false"/>
          <w:i/>
          <w:color w:val="000000"/>
          <w:sz w:val="24"/>
        </w:rPr>
        <w:t xml:space="preserve">Reinstatement of authorization for direct computer access. </w:t>
      </w:r>
      <w:r>
        <w:rPr>
          <w:rFonts w:ascii="Times New Roman" w:hAnsi="Times New Roman"/>
          <w:b w:val="false"/>
          <w:i w:val="false"/>
          <w:color w:val="000000"/>
          <w:sz w:val="24"/>
        </w:rPr>
        <w:t>Any user whose authorization for direct, remote computer access to the LEIN information system has been terminated may apply for the authorization for access to be reinstated, provided that the problem that led to the termination has been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81.2(5)</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direct computer access. </w:t>
      </w:r>
      <w:r>
        <w:rPr>
          <w:rFonts w:ascii="Times New Roman" w:hAnsi="Times New Roman"/>
          <w:b w:val="false"/>
          <w:i w:val="false"/>
          <w:color w:val="000000"/>
          <w:sz w:val="24"/>
        </w:rPr>
        <w:t>To apply for direct, remote computer access to the LEIN information system or to obtain further information about the LEIN information system, a person may contact the Intelligence Division, Iowa Department of Public Safety, State Public Safety Headquarters Building, 215 East 7th Street, Des Moines, Iowa 50319, or by email at intinfo@dps.state.ia.us.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81.2(6)</w:t>
      </w:r>
      <w:r>
        <w:rPr>
          <w:rFonts w:ascii="Times New Roman" w:hAnsi="Times New Roman"/>
          <w:b w:val="false"/>
          <w:i w:val="false"/>
          <w:color w:val="000000"/>
          <w:sz w:val="24"/>
        </w:rPr>
        <w:t> </w:t>
      </w:r>
      <w:r>
        <w:rPr>
          <w:rFonts w:ascii="Times New Roman" w:hAnsi="Times New Roman"/>
          <w:b w:val="false"/>
          <w:i/>
          <w:color w:val="000000"/>
          <w:sz w:val="24"/>
        </w:rPr>
        <w:t xml:space="preserve">Entry of information—restrictions. </w:t>
      </w:r>
      <w:r>
        <w:rPr>
          <w:rFonts w:ascii="Times New Roman" w:hAnsi="Times New Roman"/>
          <w:b w:val="false"/>
          <w:i w:val="false"/>
          <w:color w:val="000000"/>
          <w:sz w:val="24"/>
        </w:rPr>
        <w:t>Information about the political, religious, racial, or social views, associations, activities or sexual orientation of any individual shall not be entered into the LEIN information system unless such information constitutes noncriminal identifying information or is relevant to an investigation of criminal conduct or activity involving an identifiable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81.2(7)</w:t>
      </w:r>
      <w:r>
        <w:rPr>
          <w:rFonts w:ascii="Times New Roman" w:hAnsi="Times New Roman"/>
          <w:b w:val="false"/>
          <w:i w:val="false"/>
          <w:color w:val="000000"/>
          <w:sz w:val="24"/>
        </w:rPr>
        <w:t> </w:t>
      </w:r>
      <w:r>
        <w:rPr>
          <w:rFonts w:ascii="Times New Roman" w:hAnsi="Times New Roman"/>
          <w:b w:val="false"/>
          <w:i/>
          <w:color w:val="000000"/>
          <w:sz w:val="24"/>
        </w:rPr>
        <w:t xml:space="preserve">Entry of information—conformance with applicable law. </w:t>
      </w:r>
      <w:r>
        <w:rPr>
          <w:rFonts w:ascii="Times New Roman" w:hAnsi="Times New Roman"/>
          <w:b w:val="false"/>
          <w:i w:val="false"/>
          <w:color w:val="000000"/>
          <w:sz w:val="24"/>
        </w:rPr>
        <w:t>No information that is deemed unreliable because it has been obtained in violation of any applicable federal, state, or local law or ordinance, or these rules, may be entered into the LEIN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81.2(8)</w:t>
      </w:r>
      <w:r>
        <w:rPr>
          <w:rFonts w:ascii="Times New Roman" w:hAnsi="Times New Roman"/>
          <w:b w:val="false"/>
          <w:i w:val="false"/>
          <w:color w:val="000000"/>
          <w:sz w:val="24"/>
        </w:rPr>
        <w:t> </w:t>
      </w:r>
      <w:r>
        <w:rPr>
          <w:rFonts w:ascii="Times New Roman" w:hAnsi="Times New Roman"/>
          <w:b w:val="false"/>
          <w:i/>
          <w:color w:val="000000"/>
          <w:sz w:val="24"/>
        </w:rPr>
        <w:t xml:space="preserve">Dissemination. </w:t>
      </w:r>
      <w:r>
        <w:rPr>
          <w:rFonts w:ascii="Times New Roman" w:hAnsi="Times New Roman"/>
          <w:b w:val="false"/>
          <w:i w:val="false"/>
          <w:color w:val="000000"/>
          <w:sz w:val="24"/>
        </w:rPr>
        <w:t>Intelligence data from the LEIN information system may be disseminated only to peace officers, criminal justice agencies, or state or federal regulatory agencies. Intelligence data from the LEIN information system may be disseminated only when there is a right to know and a need to know in the performance of a law enforcement activity. Intelligence data from the LEIN information system shall not be disseminated to any user whose authorization to access the LEIN information system has been terminated and has not been reinstated.</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Intelligence assessments may be disseminated to any agency or organization for an official purpose or to a person in order to protect a person or property from the threat of imminent serious harm as defined in rule </w:t>
      </w:r>
      <w:hyperlink r:id="rId9">
        <w:r>
          <w:rPr>
            <w:rStyle w:val="Hyperlink"/>
            <w:rFonts w:ascii="Times New Roman" w:hAnsi="Times New Roman"/>
            <w:b w:val="false"/>
            <w:i w:val="false"/>
            <w:color w:val="000000"/>
            <w:sz w:val="24"/>
          </w:rPr>
          <w:t>661—81.1</w:t>
        </w:r>
      </w:hyperlink>
      <w:r>
        <w:rPr>
          <w:rFonts w:ascii="Times New Roman" w:hAnsi="Times New Roman"/>
          <w:b w:val="false"/>
          <w:i w:val="false"/>
          <w:color w:val="000000"/>
          <w:sz w:val="24"/>
        </w:rPr>
        <w:t>(692).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81.2(9)</w:t>
      </w:r>
      <w:r>
        <w:rPr>
          <w:rFonts w:ascii="Times New Roman" w:hAnsi="Times New Roman"/>
          <w:b w:val="false"/>
          <w:i w:val="false"/>
          <w:color w:val="000000"/>
          <w:sz w:val="24"/>
        </w:rPr>
        <w:t> </w:t>
      </w:r>
      <w:r>
        <w:rPr>
          <w:rFonts w:ascii="Times New Roman" w:hAnsi="Times New Roman"/>
          <w:b w:val="false"/>
          <w:i/>
          <w:color w:val="000000"/>
          <w:sz w:val="24"/>
        </w:rPr>
        <w:t xml:space="preserve">Redissemination of intelligence data and intelligence assessment. </w:t>
      </w:r>
      <w:r>
        <w:rPr>
          <w:rFonts w:ascii="Times New Roman" w:hAnsi="Times New Roman"/>
          <w:b w:val="false"/>
          <w:i w:val="false"/>
          <w:color w:val="000000"/>
          <w:sz w:val="24"/>
        </w:rPr>
        <w:t xml:space="preserve">An agency, organization, or person receiving intelligence data or an intelligence assessment from the department pursuant to Iowa Code chapter </w:t>
      </w:r>
      <w:hyperlink r:id="rId10">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may redisseminate the intelligence data or intelligence assessment only if authorized by the agency or peace officer who originally provided the data or assessment and if the data or assessment is for an official purpose in connection with the prescribed duties of the recipient. If the agency, organization, or person receiving the information is not a peace officer, criminal or juvenile justice agency, or state or federal regulatory agency, redissemination is allowed only if such redissemination is for an official purpose and if the information is redisseminated in order to protect a person or property from the threat of imminent serious harm. The department may also place restrictions on the redissemination by the agency, organization, or person receiving the intelligence data or intelligence assessment. Any agency, organization, or person who redisseminates intelligence data or an intelligence assessment pursuant to Iowa Code chapter </w:t>
      </w:r>
      <w:hyperlink r:id="rId11">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must maintain a list of the agencies, organizations, and persons receiving the intelligence data or intelligence assessment and the purpose of the redissemination. Intelligence data and intelligence assessments must be maintained separately from and should not be included in any form in any investigative or prosecutorial files. An agency, organization, or person who redisseminates information without proper authorization may be prohibited from receiving further intelligence assessments.</w:t>
      </w:r>
    </w:p>
    <w:p>
      <w:pPr>
        <w:spacing w:before="0" w:after="0" w:line="480"/>
        <w:ind w:left="120"/>
        <w:jc w:val="both"/>
      </w:pPr>
      <w:r>
        <w:rPr>
          <w:rFonts w:ascii="Times New Roman" w:hAnsi="Times New Roman"/>
          <w:b/>
          <w:i w:val="false"/>
          <w:color w:val="000000"/>
          <w:sz w:val="24"/>
        </w:rPr>
        <w:t>661—81.3</w:t>
      </w:r>
      <w:r>
        <w:rPr>
          <w:rFonts w:ascii="Times New Roman" w:hAnsi="Times New Roman"/>
          <w:b/>
          <w:i w:val="false"/>
          <w:color w:val="000000"/>
          <w:sz w:val="24"/>
        </w:rPr>
        <w:t xml:space="preserve">(692) </w:t>
      </w:r>
      <w:r>
        <w:rPr>
          <w:rFonts w:ascii="Times New Roman" w:hAnsi="Times New Roman"/>
          <w:b/>
          <w:i w:val="false"/>
          <w:color w:val="000000"/>
          <w:sz w:val="24"/>
        </w:rPr>
        <w:t xml:space="preserve">Criminal intelligence file security. </w:t>
      </w:r>
      <w:r>
        <w:rPr>
          <w:rFonts w:ascii="Times New Roman" w:hAnsi="Times New Roman"/>
          <w:b w:val="false"/>
          <w:i w:val="false"/>
          <w:color w:val="000000"/>
          <w:sz w:val="24"/>
        </w:rPr>
        <w:t>The intelligence division of the department of public safety adopts administrative, technical, and physical safeguards, including audit trails, to ensure against unauthorized access and against intentional or unintentional damage to the LEIN information system. These safeguards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w:t>
      </w:r>
      <w:r>
        <w:rPr>
          <w:rFonts w:ascii="Times New Roman" w:hAnsi="Times New Roman"/>
          <w:b w:val="false"/>
          <w:i w:val="false"/>
          <w:color w:val="000000"/>
          <w:sz w:val="24"/>
        </w:rPr>
        <w:t> </w:t>
      </w:r>
      <w:r>
        <w:rPr>
          <w:rFonts w:ascii="Times New Roman" w:hAnsi="Times New Roman"/>
          <w:b w:val="false"/>
          <w:i w:val="false"/>
          <w:color w:val="000000"/>
          <w:sz w:val="24"/>
        </w:rPr>
        <w:t>Records indicating who has been given the information, the reason for release of information, and the date of any dissemination shall be maintained until the information has been purged.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81.3(2)</w:t>
      </w:r>
      <w:r>
        <w:rPr>
          <w:rFonts w:ascii="Times New Roman" w:hAnsi="Times New Roman"/>
          <w:b w:val="false"/>
          <w:i w:val="false"/>
          <w:color w:val="000000"/>
          <w:sz w:val="24"/>
        </w:rPr>
        <w:t> </w:t>
      </w:r>
      <w:r>
        <w:rPr>
          <w:rFonts w:ascii="Times New Roman" w:hAnsi="Times New Roman"/>
          <w:b w:val="false"/>
          <w:i w:val="false"/>
          <w:color w:val="000000"/>
          <w:sz w:val="24"/>
        </w:rPr>
        <w:t>Criminal intelligence files shall be labeled to indicate security level and identities of submitting agencies and submitting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81.3(3)</w:t>
      </w:r>
      <w:r>
        <w:rPr>
          <w:rFonts w:ascii="Times New Roman" w:hAnsi="Times New Roman"/>
          <w:b w:val="false"/>
          <w:i w:val="false"/>
          <w:color w:val="000000"/>
          <w:sz w:val="24"/>
        </w:rPr>
        <w:t> </w:t>
      </w:r>
      <w:r>
        <w:rPr>
          <w:rFonts w:ascii="Times New Roman" w:hAnsi="Times New Roman"/>
          <w:b w:val="false"/>
          <w:i w:val="false"/>
          <w:color w:val="000000"/>
          <w:sz w:val="24"/>
        </w:rPr>
        <w:t>Where appropriate, effective and technologically advanced computer software and hardware designs shall be implemented to prevent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81.3(4)</w:t>
      </w:r>
      <w:r>
        <w:rPr>
          <w:rFonts w:ascii="Times New Roman" w:hAnsi="Times New Roman"/>
          <w:b w:val="false"/>
          <w:i w:val="false"/>
          <w:color w:val="000000"/>
          <w:sz w:val="24"/>
        </w:rPr>
        <w:t> </w:t>
      </w:r>
      <w:r>
        <w:rPr>
          <w:rFonts w:ascii="Times New Roman" w:hAnsi="Times New Roman"/>
          <w:b w:val="false"/>
          <w:i w:val="false"/>
          <w:color w:val="000000"/>
          <w:sz w:val="24"/>
        </w:rPr>
        <w:t>Any access to criminal intelligence files and computing facilities in which the files are stored shall be restricted to 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81.3(5)</w:t>
      </w:r>
      <w:r>
        <w:rPr>
          <w:rFonts w:ascii="Times New Roman" w:hAnsi="Times New Roman"/>
          <w:b w:val="false"/>
          <w:i w:val="false"/>
          <w:color w:val="000000"/>
          <w:sz w:val="24"/>
        </w:rPr>
        <w:t> </w:t>
      </w:r>
      <w:r>
        <w:rPr>
          <w:rFonts w:ascii="Times New Roman" w:hAnsi="Times New Roman"/>
          <w:b w:val="false"/>
          <w:i w:val="false"/>
          <w:color w:val="000000"/>
          <w:sz w:val="24"/>
        </w:rPr>
        <w:t>Criminal intelligence files shall be stored in such a manner that the files cannot be modified, destroyed, accessed, purged, or overlaid in any fashion by unauthorized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81.3(6)</w:t>
      </w:r>
      <w:r>
        <w:rPr>
          <w:rFonts w:ascii="Times New Roman" w:hAnsi="Times New Roman"/>
          <w:b w:val="false"/>
          <w:i w:val="false"/>
          <w:color w:val="000000"/>
          <w:sz w:val="24"/>
        </w:rPr>
        <w:t> </w:t>
      </w:r>
      <w:r>
        <w:rPr>
          <w:rFonts w:ascii="Times New Roman" w:hAnsi="Times New Roman"/>
          <w:b w:val="false"/>
          <w:i w:val="false"/>
          <w:color w:val="000000"/>
          <w:sz w:val="24"/>
        </w:rPr>
        <w:t>Computer systems on which criminal intelligence files are stored shall be programmed to detect, reject, and record any unauthorized attempt to access, modify, or destroy criminal intelligence files or to otherwise penetrate the security safeguards on such a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81.3(7)</w:t>
      </w:r>
      <w:r>
        <w:rPr>
          <w:rFonts w:ascii="Times New Roman" w:hAnsi="Times New Roman"/>
          <w:b w:val="false"/>
          <w:i w:val="false"/>
          <w:color w:val="000000"/>
          <w:sz w:val="24"/>
        </w:rPr>
        <w:t> </w:t>
      </w:r>
      <w:r>
        <w:rPr>
          <w:rFonts w:ascii="Times New Roman" w:hAnsi="Times New Roman"/>
          <w:b w:val="false"/>
          <w:i w:val="false"/>
          <w:color w:val="000000"/>
          <w:sz w:val="24"/>
        </w:rPr>
        <w:t>Access to any information required to gain authorized access to criminal intelligence files, including access codes and passwords, shall be restricted only to personnel authorized to access these files. The intelligence division shall ensure that criminal intelligence files remain confidential when specific agreements are entered into with individuals or organizations that provide computer or programming support to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81.3(8)</w:t>
      </w:r>
      <w:r>
        <w:rPr>
          <w:rFonts w:ascii="Times New Roman" w:hAnsi="Times New Roman"/>
          <w:b w:val="false"/>
          <w:i w:val="false"/>
          <w:color w:val="000000"/>
          <w:sz w:val="24"/>
        </w:rPr>
        <w:t> </w:t>
      </w:r>
      <w:r>
        <w:rPr>
          <w:rFonts w:ascii="Times New Roman" w:hAnsi="Times New Roman"/>
          <w:b w:val="false"/>
          <w:i w:val="false"/>
          <w:color w:val="000000"/>
          <w:sz w:val="24"/>
        </w:rPr>
        <w:t>Procedures shall be adopted to protect criminal intelligence files from unauthorized access, theft, sabotage, fire, flood, wind, and natural or other disasters.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81.3(9)</w:t>
      </w:r>
      <w:r>
        <w:rPr>
          <w:rFonts w:ascii="Times New Roman" w:hAnsi="Times New Roman"/>
          <w:b w:val="false"/>
          <w:i w:val="false"/>
          <w:color w:val="000000"/>
          <w:sz w:val="24"/>
        </w:rPr>
        <w:t> </w:t>
      </w:r>
      <w:r>
        <w:rPr>
          <w:rFonts w:ascii="Times New Roman" w:hAnsi="Times New Roman"/>
          <w:b w:val="false"/>
          <w:i w:val="false"/>
          <w:color w:val="000000"/>
          <w:sz w:val="24"/>
        </w:rPr>
        <w:t>Procedures shall be adopted establishing the right of the intelligence division to screen and reject for employment any personnel who would, if hired, have access to criminal intelligence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81.3(10)</w:t>
      </w:r>
      <w:r>
        <w:rPr>
          <w:rFonts w:ascii="Times New Roman" w:hAnsi="Times New Roman"/>
          <w:b w:val="false"/>
          <w:i w:val="false"/>
          <w:color w:val="000000"/>
          <w:sz w:val="24"/>
        </w:rPr>
        <w:t> </w:t>
      </w:r>
      <w:r>
        <w:rPr>
          <w:rFonts w:ascii="Times New Roman" w:hAnsi="Times New Roman"/>
          <w:b w:val="false"/>
          <w:i w:val="false"/>
          <w:color w:val="000000"/>
          <w:sz w:val="24"/>
        </w:rPr>
        <w:t>Procedures shall be established allowing the removal or transfer, based on good cause, of any existing employees from positions in which they have access to criminal intelligence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81.3(11)</w:t>
      </w:r>
      <w:r>
        <w:rPr>
          <w:rFonts w:ascii="Times New Roman" w:hAnsi="Times New Roman"/>
          <w:b w:val="false"/>
          <w:i w:val="false"/>
          <w:color w:val="000000"/>
          <w:sz w:val="24"/>
        </w:rPr>
        <w:t> </w:t>
      </w:r>
      <w:r>
        <w:rPr>
          <w:rFonts w:ascii="Times New Roman" w:hAnsi="Times New Roman"/>
          <w:b w:val="false"/>
          <w:i w:val="false"/>
          <w:color w:val="000000"/>
          <w:sz w:val="24"/>
        </w:rPr>
        <w:t>Any compromise, or suspected compromise, of information that would allow unauthorized access into criminal intelligence files shall be reported without delay and, in any event, by the end of the next business day, to a supervisor within the intelligence division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81.3(12)</w:t>
      </w:r>
      <w:r>
        <w:rPr>
          <w:rFonts w:ascii="Times New Roman" w:hAnsi="Times New Roman"/>
          <w:b w:val="false"/>
          <w:i w:val="false"/>
          <w:color w:val="000000"/>
          <w:sz w:val="24"/>
        </w:rPr>
        <w:t> </w:t>
      </w:r>
      <w:r>
        <w:rPr>
          <w:rFonts w:ascii="Times New Roman" w:hAnsi="Times New Roman"/>
          <w:b w:val="false"/>
          <w:i w:val="false"/>
          <w:color w:val="000000"/>
          <w:sz w:val="24"/>
        </w:rPr>
        <w:t>Any compromise, or suspected compromise, of information contained in criminal intelligence files shall be reported without delay and, in any event, by the end of the next business day, to a supervisor within the intelligence division.</w:t>
      </w:r>
    </w:p>
    <w:p>
      <w:pPr>
        <w:spacing w:before="0" w:after="0" w:line="480"/>
        <w:ind w:left="120"/>
        <w:jc w:val="both"/>
      </w:pPr>
      <w:r>
        <w:rPr>
          <w:rFonts w:ascii="Times New Roman" w:hAnsi="Times New Roman"/>
          <w:b/>
          <w:i w:val="false"/>
          <w:color w:val="000000"/>
          <w:sz w:val="24"/>
        </w:rPr>
        <w:t>661—81.4</w:t>
      </w:r>
      <w:r>
        <w:rPr>
          <w:rFonts w:ascii="Times New Roman" w:hAnsi="Times New Roman"/>
          <w:b/>
          <w:i w:val="false"/>
          <w:color w:val="000000"/>
          <w:sz w:val="24"/>
        </w:rPr>
        <w:t xml:space="preserve">(692) </w:t>
      </w:r>
      <w:r>
        <w:rPr>
          <w:rFonts w:ascii="Times New Roman" w:hAnsi="Times New Roman"/>
          <w:b/>
          <w:i w:val="false"/>
          <w:color w:val="000000"/>
          <w:sz w:val="24"/>
        </w:rPr>
        <w:t xml:space="preserve">Review of criminal intelligence files—purging.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81.4(1)</w:t>
      </w:r>
      <w:r>
        <w:rPr>
          <w:rFonts w:ascii="Times New Roman" w:hAnsi="Times New Roman"/>
          <w:b w:val="false"/>
          <w:i w:val="false"/>
          <w:color w:val="000000"/>
          <w:sz w:val="24"/>
        </w:rPr>
        <w:t> </w:t>
      </w:r>
      <w:r>
        <w:rPr>
          <w:rFonts w:ascii="Times New Roman" w:hAnsi="Times New Roman"/>
          <w:b w:val="false"/>
          <w:i w:val="false"/>
          <w:color w:val="000000"/>
          <w:sz w:val="24"/>
        </w:rPr>
        <w:t>The intelligence division regularly reviews the information in criminal intelligence files for reclassification or purging. Decisions to retain, reclassify, or purge criminal intelligence files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Ensure that the information is current, accurate and relevant to the needs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Safeguard individual privacy interests protected by federal and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Ensure that security classifications remain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81.4(2)</w:t>
      </w:r>
      <w:r>
        <w:rPr>
          <w:rFonts w:ascii="Times New Roman" w:hAnsi="Times New Roman"/>
          <w:b w:val="false"/>
          <w:i w:val="false"/>
          <w:color w:val="000000"/>
          <w:sz w:val="24"/>
        </w:rPr>
        <w:t> </w:t>
      </w:r>
      <w:r>
        <w:rPr>
          <w:rFonts w:ascii="Times New Roman" w:hAnsi="Times New Roman"/>
          <w:b w:val="false"/>
          <w:i w:val="false"/>
          <w:color w:val="000000"/>
          <w:sz w:val="24"/>
        </w:rPr>
        <w:t>Information that is misleading, unreliable, or no longer useful shall be purged or reclassified, when necessary, without delay. Any person or agency to which the criminal intelligence file was disseminated shall be notified of the reclassification or purge.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81.4(3)</w:t>
      </w:r>
      <w:r>
        <w:rPr>
          <w:rFonts w:ascii="Times New Roman" w:hAnsi="Times New Roman"/>
          <w:b w:val="false"/>
          <w:i w:val="false"/>
          <w:color w:val="000000"/>
          <w:sz w:val="24"/>
        </w:rPr>
        <w:t> </w:t>
      </w:r>
      <w:r>
        <w:rPr>
          <w:rFonts w:ascii="Times New Roman" w:hAnsi="Times New Roman"/>
          <w:b w:val="false"/>
          <w:i w:val="false"/>
          <w:color w:val="000000"/>
          <w:sz w:val="24"/>
        </w:rPr>
        <w:t xml:space="preserve">All information is reviewed within a five-year period of its submission to ensure compliance with subrule </w:t>
      </w:r>
      <w:hyperlink r:id="rId12">
        <w:r>
          <w:rPr>
            <w:rStyle w:val="Hyperlink"/>
            <w:rFonts w:ascii="Times New Roman" w:hAnsi="Times New Roman"/>
            <w:b w:val="false"/>
            <w:i w:val="false"/>
            <w:color w:val="000000"/>
            <w:sz w:val="24"/>
          </w:rPr>
          <w:t>81.4(1)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81.4(4)</w:t>
      </w:r>
      <w:r>
        <w:rPr>
          <w:rFonts w:ascii="Times New Roman" w:hAnsi="Times New Roman"/>
          <w:b w:val="false"/>
          <w:i w:val="false"/>
          <w:color w:val="000000"/>
          <w:sz w:val="24"/>
        </w:rPr>
        <w:t> </w:t>
      </w:r>
      <w:r>
        <w:rPr>
          <w:rFonts w:ascii="Times New Roman" w:hAnsi="Times New Roman"/>
          <w:b w:val="false"/>
          <w:i w:val="false"/>
          <w:color w:val="000000"/>
          <w:sz w:val="24"/>
        </w:rPr>
        <w:t>All information retained after a review shall reflect the name of the reviewer, date of review, and an explanation of the decision to retain.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81.4(5)</w:t>
      </w:r>
      <w:r>
        <w:rPr>
          <w:rFonts w:ascii="Times New Roman" w:hAnsi="Times New Roman"/>
          <w:b w:val="false"/>
          <w:i w:val="false"/>
          <w:color w:val="000000"/>
          <w:sz w:val="24"/>
        </w:rPr>
        <w:t> </w:t>
      </w:r>
      <w:r>
        <w:rPr>
          <w:rFonts w:ascii="Times New Roman" w:hAnsi="Times New Roman"/>
          <w:b w:val="false"/>
          <w:i w:val="false"/>
          <w:color w:val="000000"/>
          <w:sz w:val="24"/>
        </w:rPr>
        <w:t>Information that is not retained in a criminal intelligence file after a review shall be deleted from the LEIN information system.</w:t>
      </w:r>
    </w:p>
    <w:p>
      <w:pPr>
        <w:spacing w:before="210" w:after="0" w:line="480"/>
        <w:ind w:left="120"/>
        <w:jc w:val="both"/>
      </w:pPr>
      <w:r>
        <w:rPr>
          <w:rFonts w:ascii="Times New Roman" w:hAnsi="Times New Roman"/>
          <w:b/>
          <w:i w:val="false"/>
          <w:color w:val="000000"/>
          <w:sz w:val="24"/>
        </w:rPr>
        <w:t>661—81.5</w:t>
      </w:r>
      <w:r>
        <w:rPr>
          <w:rFonts w:ascii="Times New Roman" w:hAnsi="Times New Roman"/>
          <w:b/>
          <w:i w:val="false"/>
          <w:color w:val="000000"/>
          <w:sz w:val="24"/>
        </w:rPr>
        <w:t xml:space="preserve">(692) </w:t>
      </w:r>
      <w:r>
        <w:rPr>
          <w:rFonts w:ascii="Times New Roman" w:hAnsi="Times New Roman"/>
          <w:b/>
          <w:i w:val="false"/>
          <w:color w:val="000000"/>
          <w:sz w:val="24"/>
        </w:rPr>
        <w:t xml:space="preserve">Subpoenas and court orders. </w:t>
      </w:r>
      <w:r>
        <w:rPr>
          <w:rFonts w:ascii="Times New Roman" w:hAnsi="Times New Roman"/>
          <w:b w:val="false"/>
          <w:i w:val="false"/>
          <w:color w:val="000000"/>
          <w:sz w:val="24"/>
        </w:rPr>
        <w:t>Any agency or individual shall notify the department in writing without delay and, in any event, by the end of the next business day of the receipt of any subpoena, court order, request for production, or other legal process demanding the production of a criminal intelligence file, so that the department has an opportunity to make a timely resistance.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6/23/26, effective 8/26/26]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692.1.pdf" Type="http://schemas.openxmlformats.org/officeDocument/2006/relationships/hyperlink" Id="rId5"/>
    <Relationship TargetMode="External" Target="https://www.legis.iowa.gov/docs/ico/chapter/692.1.pdf" Type="http://schemas.openxmlformats.org/officeDocument/2006/relationships/hyperlink" Id="rId6"/>
    <Relationship TargetMode="External" Target="https://www.legis.iowa.gov/docs/ico/chapter/692.pdf" Type="http://schemas.openxmlformats.org/officeDocument/2006/relationships/hyperlink" Id="rId7"/>
    <Relationship TargetMode="External" Target="https://www.legis.iowa.gov/docs/iac/chapter/661.10.pdf" Type="http://schemas.openxmlformats.org/officeDocument/2006/relationships/hyperlink" Id="rId8"/>
    <Relationship TargetMode="External" Target="https://www.legis.iowa.gov/docs/iac/rule/661.81.1.pdf" Type="http://schemas.openxmlformats.org/officeDocument/2006/relationships/hyperlink" Id="rId9"/>
    <Relationship TargetMode="External" Target="https://www.legis.iowa.gov/docs/ico/chapter/692.pdf" Type="http://schemas.openxmlformats.org/officeDocument/2006/relationships/hyperlink" Id="rId10"/>
    <Relationship TargetMode="External" Target="https://www.legis.iowa.gov/docs/ico/chapter/692.pdf" Type="http://schemas.openxmlformats.org/officeDocument/2006/relationships/hyperlink" Id="rId11"/>
    <Relationship TargetMode="External" Target="https://www.legis.iowa.gov/docs/iac/rule/661.81.4.pdf" Type="http://schemas.openxmlformats.org/officeDocument/2006/relationships/hyperlink" Id="rId12"/>
    <Relationship TargetMode="External" Target="https://www.legis.iowa.gov/docs/ico/chapter/69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