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2D" w:id="1"/>
    <w:p>
      <w:pPr>
        <w:spacing w:before="0" w:after="0" w:line="480"/>
        <w:ind w:left="120"/>
        <w:jc w:val="right"/>
      </w:pPr>
      <w:r>
        <w:rPr>
          <w:rFonts w:ascii="Times New Roman" w:hAnsi="Times New Roman"/>
          <w:b/>
          <w:i w:val="false"/>
          <w:color w:val="000000"/>
          <w:sz w:val="28"/>
        </w:rPr>
        <w:t>ARC 0452D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vehicle impoundment</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6, “Vehicle Impoundment,”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321.89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80.5 and 321.89.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Chapter 6 is to establish impoundment and abandoned vehicle procedures for the Iowa State Patrol (ISP) and other peace officers of the Department. After reviewing this chapter in accordance with Executive Order 10, the Department has determined this chapter to be duplicative of existing statute. Further, the Department does not possess rulemaking authority for this chapter and hereby rescinds Chapter 6 in its entirety.</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0293D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26,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661—Chapter 6</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6/23/26, effective 8/26/26]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