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2D" w:id="1"/>
    <w:p>
      <w:pPr>
        <w:spacing w:before="0" w:after="0" w:line="480"/>
        <w:ind w:left="120"/>
        <w:jc w:val="right"/>
      </w:pPr>
      <w:r>
        <w:rPr>
          <w:rFonts w:ascii="Times New Roman" w:hAnsi="Times New Roman"/>
          <w:b/>
          <w:i w:val="false"/>
          <w:color w:val="000000"/>
          <w:sz w:val="28"/>
        </w:rPr>
        <w:t>ARC 0442D</w:t>
      </w:r>
    </w:p>
    <w:bookmarkEnd w:id="1"/>
    <w:p>
      <w:pPr>
        <w:pBdr>
          <w:top w:space="5"/>
        </w:pBdr>
        <w:spacing w:before="0" w:after="0" w:line="480"/>
        <w:ind w:left="120"/>
        <w:jc w:val="center"/>
      </w:pPr>
      <w:r>
        <w:rPr>
          <w:rFonts w:ascii="Times New Roman" w:hAnsi="Times New Roman"/>
          <w:b/>
          <w:i w:val="false"/>
          <w:color w:val="000000"/>
          <w:sz w:val="28"/>
        </w:rPr>
        <w:t>IOWA PUBLIC EMPLOYEES’ RETIREMENT SYSTEM[495]</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modifications of the uniform rules on agency procedure</w:t>
      </w:r>
    </w:p>
    <w:p>
      <w:pPr>
        <w:pBdr>
          <w:top w:space="5"/>
        </w:pBdr>
        <w:spacing w:before="0" w:after="0" w:line="480"/>
        <w:ind w:left="120"/>
        <w:jc w:val="both"/>
      </w:pPr>
      <w:r>
        <w:rPr>
          <w:rFonts w:ascii="Times New Roman" w:hAnsi="Times New Roman"/>
          <w:b w:val="false"/>
          <w:i w:val="false"/>
          <w:color w:val="000000"/>
          <w:sz w:val="24"/>
        </w:rPr>
        <w:t>    The Iowa Public Employees’ Retirement System (IPERS) hereby adopts new Chapter 2503, “Declaratory Orders,” Chapter 2504, “Rule Waivers,”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declaratory orders (7—Chapter 2503), rule waivers (7—Chapter 2504), and contested cases (7—Chapter 2506) to exempt certain topics from which IPERS will not issue a declaratory order, add issues upon which IPERS will not grant waivers, and ensure that claims governed by Iowa Code chapter 97B are governed by the administrative procedures of Iowa Code chapter 97B and not certain contested case provisions of 7—Chapter 2506. </w:t>
      </w:r>
    </w:p>
    <w:p>
      <w:pPr>
        <w:spacing w:before="0" w:after="0" w:line="480"/>
        <w:ind w:left="120"/>
        <w:jc w:val="both"/>
      </w:pPr>
      <w:r>
        <w:rPr>
          <w:rFonts w:ascii="Times New Roman" w:hAnsi="Times New Roman"/>
          <w:b w:val="false"/>
          <w:i w:val="false"/>
          <w:color w:val="000000"/>
          <w:sz w:val="24"/>
        </w:rPr>
        <w:t>    Exemptions from declaratory orders are necessary to preserve the integrity of IPERS’ administration of the retirement system. Adoption of this rulemaking will allow IPERS to ensure questions brought before IPERS are answered based on current law and within the bounds of Iowa Code chapter 97B. </w:t>
      </w:r>
    </w:p>
    <w:p>
      <w:pPr>
        <w:spacing w:before="0" w:after="0" w:line="480"/>
        <w:ind w:left="120"/>
        <w:jc w:val="both"/>
      </w:pPr>
      <w:r>
        <w:rPr>
          <w:rFonts w:ascii="Times New Roman" w:hAnsi="Times New Roman"/>
          <w:b w:val="false"/>
          <w:i w:val="false"/>
          <w:color w:val="000000"/>
          <w:sz w:val="24"/>
        </w:rPr>
        <w:t>    IPERS is a qualified governmental plan and must administer the retirement system according to its plan document. Adding issues upon which IPERS will not grant waivers will allow IPERS to ensure it remains a qualified plan. </w:t>
      </w:r>
    </w:p>
    <w:p>
      <w:pPr>
        <w:spacing w:before="0" w:after="0" w:line="480"/>
        <w:ind w:left="120"/>
        <w:jc w:val="both"/>
      </w:pPr>
      <w:r>
        <w:rPr>
          <w:rFonts w:ascii="Times New Roman" w:hAnsi="Times New Roman"/>
          <w:b w:val="false"/>
          <w:i w:val="false"/>
          <w:color w:val="000000"/>
          <w:sz w:val="24"/>
        </w:rPr>
        <w:t>    The new Uniform Rules on Agency Procedure create an inconsistency between certain contested case provisions and the appeals procedure established under Iowa Code chapter 97B. Adoption of this rulemaking will allow IPERS to ensure that any appeal arising under Iowa Code chapter 97B has clear direction as to the appropriate procedural requirements.  </w:t>
      </w:r>
    </w:p>
    <w:p>
      <w:pPr>
        <w:spacing w:before="0" w:after="0" w:line="480"/>
        <w:ind w:left="120"/>
        <w:jc w:val="both"/>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IPERS finds that notice and public participation are unnecessary or impractical because statute so provides. 2026 Iowa Acts, Senate File 2463, section 5, authorizes emergency rulemaking as means by which agencies may adopt new uniform rules containing previously approved variances or opt-outs (additions, exceptions, or amendments) to the Uniform Rules on Agency Procedure adopted by the Administrative Rules Coordinator. IPERS applied for approval of particular variances within Chapters 2503, 2504, and 2506 to prevent conflicts of interest with certain provisions of IPERS’ enabling legislation (Iowa Code chapter 97B). Specific proposed variances were recommended for approval by Administrative Rules Coordinator Stan Thompson and are addressed in this emergency rulemaking pursuant to the provisions of 2026 Iowa Acts, Senate File 2463.</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IPERS also finds that the normal effective date of this rulemaking, 35 days after publication, should be waived and the rulemaking made effective on June 30, 2026, because 2026 Iowa Acts, Senate File 2463, section 5, authorizes emergency rulemaking for the purpose stated above. Moreover, 2026 Iowa Acts, Senate File 2463, specifically mandates June 30, 2026, as the last possible effective date for adoption of new uniform rule chapters that include additions, exceptions, or amendments to the uniform rules created via this legislation and adopted by the Administrative Rules Coordinator.</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Acting Chief Executive Officer on June 15,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0443D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IPERS for a waiver of the discretionary provisions, if any, pursuant to 495—Chapter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495—Chapter 2503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2503</w:t>
      </w:r>
    </w:p>
    <w:p>
      <w:pPr>
        <w:spacing w:before="0" w:after="0" w:line="480"/>
        <w:ind w:left="120"/>
        <w:jc w:val="center"/>
      </w:pPr>
      <w:r>
        <w:rPr>
          <w:rFonts w:ascii="Times New Roman" w:hAnsi="Times New Roman"/>
          <w:b w:val="false"/>
          <w:i w:val="false"/>
          <w:color w:val="000000"/>
          <w:sz w:val="21"/>
        </w:rPr>
        <w:t>DECLARATORY ORDERS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495—2503.8</w:t>
      </w:r>
      <w:r>
        <w:rPr>
          <w:rFonts w:ascii="Times New Roman" w:hAnsi="Times New Roman"/>
          <w:b/>
          <w:i w:val="false"/>
          <w:color w:val="000000"/>
          <w:sz w:val="24"/>
        </w:rPr>
        <w:t xml:space="preserve">(17A) </w:t>
      </w:r>
      <w:r>
        <w:rPr>
          <w:rFonts w:ascii="Times New Roman" w:hAnsi="Times New Roman"/>
          <w:b/>
          <w:i w:val="false"/>
          <w:color w:val="000000"/>
          <w:sz w:val="24"/>
        </w:rPr>
        <w:t xml:space="preserve">Refusal to issue order.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2503.8(4)</w:t>
      </w:r>
      <w:r>
        <w:rPr>
          <w:rFonts w:ascii="Times New Roman" w:hAnsi="Times New Roman"/>
          <w:b w:val="false"/>
          <w:i w:val="false"/>
          <w:color w:val="000000"/>
          <w:sz w:val="24"/>
        </w:rPr>
        <w:t> </w:t>
      </w:r>
      <w:r>
        <w:rPr>
          <w:rFonts w:ascii="Times New Roman" w:hAnsi="Times New Roman"/>
          <w:b w:val="false"/>
          <w:i w:val="false"/>
          <w:color w:val="000000"/>
          <w:sz w:val="24"/>
        </w:rPr>
        <w:t>The agency will not issue declaratory orders 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present value of IPERS retirement monthly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Actuarial assumptions used or proposed to be used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impact of proposed legislation.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Issues that require the disclosure of confidential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matter under appeal or in litigation.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495—Chapter 2504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2504</w:t>
      </w:r>
    </w:p>
    <w:p>
      <w:pPr>
        <w:spacing w:before="0" w:after="0" w:line="480"/>
        <w:ind w:left="120"/>
        <w:jc w:val="center"/>
      </w:pPr>
      <w:r>
        <w:rPr>
          <w:rFonts w:ascii="Times New Roman" w:hAnsi="Times New Roman"/>
          <w:b w:val="false"/>
          <w:i w:val="false"/>
          <w:color w:val="000000"/>
          <w:sz w:val="21"/>
        </w:rPr>
        <w:t>RULE WAIVERS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8">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0">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495—2504.6</w:t>
      </w:r>
      <w:r>
        <w:rPr>
          <w:rFonts w:ascii="Times New Roman" w:hAnsi="Times New Roman"/>
          <w:b/>
          <w:i w:val="false"/>
          <w:color w:val="000000"/>
          <w:sz w:val="24"/>
        </w:rPr>
        <w:t xml:space="preserve">(17A) </w:t>
      </w:r>
      <w:r>
        <w:rPr>
          <w:rFonts w:ascii="Times New Roman" w:hAnsi="Times New Roman"/>
          <w:b/>
          <w:i w:val="false"/>
          <w:color w:val="000000"/>
          <w:sz w:val="24"/>
        </w:rPr>
        <w:t xml:space="preserve">Rules from which the agency shall not grant waivers. </w:t>
      </w:r>
      <w:r>
        <w:rPr>
          <w:rFonts w:ascii="Times New Roman" w:hAnsi="Times New Roman"/>
          <w:b w:val="false"/>
          <w:i w:val="false"/>
          <w:color w:val="000000"/>
          <w:sz w:val="24"/>
        </w:rPr>
        <w:t>The agency shall not grant waivers from the following rules, except as otherwise indicated in the following list.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Rules that implement state or federal law, if the waiver could affect the taxability of pension benefits under the Internal Revenue Code and regulations thereunder or the Iowa Code and rules adopted thereunder.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Rules that set forth the formulas used to calculate IPERS’ monthly retirement benefits, actuarial equivalents, dividends, amounts to be credited to supplemental accounts of active members, refunds, death benefits, and service purchase costs.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Rules that implement contribution rates and actuarial assumptions set by IPERS.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495—Chapter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11">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12">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3">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495—2506.1</w:t>
      </w:r>
      <w:r>
        <w:rPr>
          <w:rFonts w:ascii="Times New Roman" w:hAnsi="Times New Roman"/>
          <w:b/>
          <w:i w:val="false"/>
          <w:color w:val="000000"/>
          <w:sz w:val="24"/>
        </w:rPr>
        <w:t xml:space="preserve">(17A) </w:t>
      </w:r>
      <w:r>
        <w:rPr>
          <w:rFonts w:ascii="Times New Roman" w:hAnsi="Times New Roman"/>
          <w:b/>
          <w:i w:val="false"/>
          <w:color w:val="000000"/>
          <w:sz w:val="24"/>
        </w:rPr>
        <w:t xml:space="preserve">Scope and applicability. </w:t>
      </w:r>
      <w:r>
        <w:rPr>
          <w:rFonts w:ascii="Times New Roman" w:hAnsi="Times New Roman"/>
          <w:b w:val="false"/>
          <w:i w:val="false"/>
          <w:color w:val="000000"/>
          <w:sz w:val="24"/>
        </w:rPr>
        <w:t xml:space="preserve">This chapter applies to contested case proceedings conducted by the agency, including vendor appeals. However, this chapter does not apply to the extent that a claim being addressed by the agency is governed by Iowa Code chapter </w:t>
      </w:r>
      <w:hyperlink r:id="rId14">
        <w:r>
          <w:rPr>
            <w:rStyle w:val="Hyperlink"/>
            <w:rFonts w:ascii="Times New Roman" w:hAnsi="Times New Roman"/>
            <w:b w:val="false"/>
            <w:i w:val="false"/>
            <w:color w:val="000000"/>
            <w:sz w:val="24"/>
          </w:rPr>
          <w:t>97B</w:t>
        </w:r>
      </w:hyperlink>
      <w:r>
        <w:rPr>
          <w:rFonts w:ascii="Times New Roman" w:hAnsi="Times New Roman"/>
          <w:b w:val="false"/>
          <w:i w:val="false"/>
          <w:color w:val="000000"/>
          <w:sz w:val="24"/>
        </w:rPr>
        <w:t xml:space="preserve"> or if the competitive solicitation will be paid for with investment management expenses charged to the investment income of the retirement fund as set forth in Iowa Code section </w:t>
      </w:r>
      <w:hyperlink r:id="rId15">
        <w:r>
          <w:rPr>
            <w:rStyle w:val="Hyperlink"/>
            <w:rFonts w:ascii="Times New Roman" w:hAnsi="Times New Roman"/>
            <w:b w:val="false"/>
            <w:i w:val="false"/>
            <w:color w:val="000000"/>
            <w:sz w:val="24"/>
          </w:rPr>
          <w:t>97B.7(3)</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495—2506.2</w:t>
      </w:r>
      <w:r>
        <w:rPr>
          <w:rFonts w:ascii="Times New Roman" w:hAnsi="Times New Roman"/>
          <w:b/>
          <w:i w:val="false"/>
          <w:color w:val="000000"/>
          <w:sz w:val="24"/>
        </w:rPr>
        <w:t xml:space="preserve">(17A)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“Presiding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administrative law judge designated pursuant to Iowa Code section </w:t>
      </w:r>
      <w:hyperlink r:id="rId16">
        <w:r>
          <w:rPr>
            <w:rStyle w:val="Hyperlink"/>
            <w:rFonts w:ascii="Times New Roman" w:hAnsi="Times New Roman"/>
            <w:b w:val="false"/>
            <w:i w:val="false"/>
            <w:color w:val="000000"/>
            <w:sz w:val="24"/>
          </w:rPr>
          <w:t>97B.20B</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495—2506.6</w:t>
      </w:r>
      <w:r>
        <w:rPr>
          <w:rFonts w:ascii="Times New Roman" w:hAnsi="Times New Roman"/>
          <w:b/>
          <w:i w:val="false"/>
          <w:color w:val="000000"/>
          <w:sz w:val="24"/>
        </w:rPr>
        <w:t xml:space="preserve">(17A) </w:t>
      </w:r>
      <w:r>
        <w:rPr>
          <w:rFonts w:ascii="Times New Roman" w:hAnsi="Times New Roman"/>
          <w:b/>
          <w:i w:val="false"/>
          <w:color w:val="000000"/>
          <w:sz w:val="24"/>
        </w:rPr>
        <w:t xml:space="preserve">Presiding officer.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495—2506.14</w:t>
      </w:r>
      <w:r>
        <w:rPr>
          <w:rFonts w:ascii="Times New Roman" w:hAnsi="Times New Roman"/>
          <w:b/>
          <w:i w:val="false"/>
          <w:color w:val="000000"/>
          <w:sz w:val="24"/>
        </w:rPr>
        <w:t xml:space="preserve">(17A) </w:t>
      </w:r>
      <w:r>
        <w:rPr>
          <w:rFonts w:ascii="Times New Roman" w:hAnsi="Times New Roman"/>
          <w:b/>
          <w:i w:val="false"/>
          <w:color w:val="000000"/>
          <w:sz w:val="24"/>
        </w:rPr>
        <w:t xml:space="preserve">Subpoenas.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2506.14(1)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i w:val="false"/>
          <w:color w:val="000000"/>
          <w:sz w:val="24"/>
        </w:rPr>
        <w:t>495—2506.26</w:t>
      </w:r>
      <w:r>
        <w:rPr>
          <w:rFonts w:ascii="Times New Roman" w:hAnsi="Times New Roman"/>
          <w:b/>
          <w:i w:val="false"/>
          <w:color w:val="000000"/>
          <w:sz w:val="24"/>
        </w:rPr>
        <w:t xml:space="preserve">(17A) </w:t>
      </w:r>
      <w:r>
        <w:rPr>
          <w:rFonts w:ascii="Times New Roman" w:hAnsi="Times New Roman"/>
          <w:b/>
          <w:i w:val="false"/>
          <w:color w:val="000000"/>
          <w:sz w:val="24"/>
        </w:rPr>
        <w:t xml:space="preserve">Final 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i w:val="false"/>
          <w:color w:val="000000"/>
          <w:sz w:val="24"/>
        </w:rPr>
        <w:t>495—2506.27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color w:val="000000"/>
          <w:sz w:val="24"/>
        </w:rPr>
        <w:t xml:space="preserve">Appeal by party. </w:t>
      </w:r>
      <w:r>
        <w:rPr>
          <w:rFonts w:ascii="Times New Roman" w:hAnsi="Times New Roman"/>
          <w:b w:val="false"/>
          <w:i w:val="false"/>
          <w:color w:val="000000"/>
          <w:sz w:val="24"/>
        </w:rPr>
        <w:t xml:space="preserve">Any adversely affected party may appeal a proposed decision to the employment appeal board as provided in Iowa Code section </w:t>
      </w:r>
      <w:hyperlink r:id="rId17">
        <w:r>
          <w:rPr>
            <w:rStyle w:val="Hyperlink"/>
            <w:rFonts w:ascii="Times New Roman" w:hAnsi="Times New Roman"/>
            <w:b w:val="false"/>
            <w:i w:val="false"/>
            <w:color w:val="000000"/>
            <w:sz w:val="24"/>
          </w:rPr>
          <w:t>97B.27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2506.27(3)</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 xml:space="preserve">An appeal of a proposed decision is initiated by filing a timely notice of appeal with the employment appeal board as provided in Iowa Code section </w:t>
      </w:r>
      <w:hyperlink r:id="rId18">
        <w:r>
          <w:rPr>
            <w:rStyle w:val="Hyperlink"/>
            <w:rFonts w:ascii="Times New Roman" w:hAnsi="Times New Roman"/>
            <w:b w:val="false"/>
            <w:i w:val="false"/>
            <w:color w:val="000000"/>
            <w:sz w:val="24"/>
          </w:rPr>
          <w:t>97B.27</w:t>
        </w:r>
      </w:hyperlink>
      <w:r>
        <w:rPr>
          <w:rFonts w:ascii="Times New Roman" w:hAnsi="Times New Roman"/>
          <w:b w:val="false"/>
          <w:i w:val="false"/>
          <w:color w:val="000000"/>
          <w:sz w:val="24"/>
        </w:rPr>
        <w:t>. The notice of appeal is to be signed by the appealing party or a representative of that party and contain a certificate of service. The notice will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2506.27(4)</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2506.27(5)</w:t>
      </w:r>
      <w:r>
        <w:rPr>
          <w:rFonts w:ascii="Times New Roman" w:hAnsi="Times New Roman"/>
          <w:b w:val="false"/>
          <w:i w:val="false"/>
          <w:color w:val="000000"/>
          <w:sz w:val="24"/>
        </w:rPr>
        <w:t> </w:t>
      </w:r>
      <w:r>
        <w:rPr>
          <w:rFonts w:ascii="Times New Roman" w:hAnsi="Times New Roman"/>
          <w:b w:val="false"/>
          <w:i/>
          <w:color w:val="000000"/>
          <w:sz w:val="24"/>
        </w:rPr>
        <w:t xml:space="preserve">Scheduling. </w:t>
      </w:r>
      <w:r>
        <w:rPr>
          <w:rFonts w:ascii="Times New Roman" w:hAnsi="Times New Roman"/>
          <w:b w:val="false"/>
          <w:i w:val="false"/>
          <w:color w:val="000000"/>
          <w:sz w:val="24"/>
        </w:rPr>
        <w:t>The employment appeal board will issue a schedule for consideration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2506.27(6)</w:t>
      </w:r>
      <w:r>
        <w:rPr>
          <w:rFonts w:ascii="Times New Roman" w:hAnsi="Times New Roman"/>
          <w:b w:val="false"/>
          <w:i w:val="false"/>
          <w:color w:val="000000"/>
          <w:sz w:val="24"/>
        </w:rPr>
        <w:t> </w:t>
      </w:r>
      <w:r>
        <w:rPr>
          <w:rFonts w:ascii="Times New Roman" w:hAnsi="Times New Roman"/>
          <w:b w:val="false"/>
          <w:i/>
          <w:color w:val="000000"/>
          <w:sz w:val="24"/>
        </w:rPr>
        <w:t xml:space="preserve">Briefs and arguments. </w:t>
      </w:r>
      <w:r>
        <w:rPr>
          <w:rFonts w:ascii="Times New Roman" w:hAnsi="Times New Roman"/>
          <w:b w:val="false"/>
          <w:i w:val="false"/>
          <w:color w:val="000000"/>
          <w:sz w:val="24"/>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employment appeal board may resolve the appeal on the briefs or provide an opportunity for oral argument. The employment appeal board may shorten or extend the briefing period as appropriate.</w:t>
      </w:r>
    </w:p>
    <w:p>
      <w:pPr>
        <w:spacing w:before="0" w:after="0" w:line="480"/>
        <w:ind w:left="120"/>
        <w:jc w:val="center"/>
      </w:pPr>
      <w:r>
        <w:rPr>
          <w:rFonts w:ascii="Times New Roman" w:hAnsi="Times New Roman"/>
          <w:b w:val="false"/>
          <w:i w:val="false"/>
          <w:color w:val="000000"/>
          <w:sz w:val="24"/>
        </w:rPr>
        <w:t>[Filed Emergency 6/23/26, effective 6/30/26]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chapter/7.2500.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17A.24.pdf" Type="http://schemas.openxmlformats.org/officeDocument/2006/relationships/hyperlink" Id="rId10"/>
    <Relationship TargetMode="External" Target="https://www.legis.iowa.gov/docs/iac/chapter/7.2500.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co/chapter/17A.24.pdf" Type="http://schemas.openxmlformats.org/officeDocument/2006/relationships/hyperlink" Id="rId13"/>
    <Relationship TargetMode="External" Target="https://www.legis.iowa.gov/docs/ico/chapter/97B.pdf" Type="http://schemas.openxmlformats.org/officeDocument/2006/relationships/hyperlink" Id="rId14"/>
    <Relationship TargetMode="External" Target="https://www.legis.iowa.gov/docs/ico/chapter/97B.7.pdf" Type="http://schemas.openxmlformats.org/officeDocument/2006/relationships/hyperlink" Id="rId15"/>
    <Relationship TargetMode="External" Target="https://www.legis.iowa.gov/docs/ico/chapter/97B.20B.pdf" Type="http://schemas.openxmlformats.org/officeDocument/2006/relationships/hyperlink" Id="rId16"/>
    <Relationship TargetMode="External" Target="https://www.legis.iowa.gov/docs/ico/chapter/97B.27.pdf" Type="http://schemas.openxmlformats.org/officeDocument/2006/relationships/hyperlink" Id="rId17"/>
    <Relationship TargetMode="External" Target="https://www.legis.iowa.gov/docs/ico/chapter/97B.27.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