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1D" w:id="1"/>
    <w:p>
      <w:pPr>
        <w:spacing w:before="0" w:after="0" w:line="480"/>
        <w:ind w:left="120"/>
        <w:jc w:val="right"/>
      </w:pPr>
      <w:r>
        <w:rPr>
          <w:rFonts w:ascii="Times New Roman" w:hAnsi="Times New Roman"/>
          <w:b/>
          <w:i w:val="false"/>
          <w:color w:val="000000"/>
          <w:sz w:val="28"/>
        </w:rPr>
        <w:t>ARC 0441D</w:t>
      </w:r>
    </w:p>
    <w:bookmarkEnd w:id="1"/>
    <w:p>
      <w:pPr>
        <w:pBdr>
          <w:top w:space="5"/>
        </w:pBdr>
        <w:spacing w:before="0" w:after="0" w:line="480"/>
        <w:ind w:left="120"/>
        <w:jc w:val="center"/>
      </w:pPr>
      <w:r>
        <w:rPr>
          <w:rFonts w:ascii="Times New Roman" w:hAnsi="Times New Roman"/>
          <w:b/>
          <w:i w:val="false"/>
          <w:color w:val="000000"/>
          <w:sz w:val="28"/>
        </w:rPr>
        <w:t>IOWA PUBLIC EMPLOYEES’ RETIREMENT SYSTEM[495]</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employers</w:t>
      </w:r>
    </w:p>
    <w:p>
      <w:pPr>
        <w:pBdr>
          <w:top w:space="5"/>
        </w:pBdr>
        <w:spacing w:before="0" w:after="0" w:line="480"/>
        <w:ind w:left="120"/>
        <w:jc w:val="both"/>
      </w:pPr>
      <w:r>
        <w:rPr>
          <w:rFonts w:ascii="Times New Roman" w:hAnsi="Times New Roman"/>
          <w:b w:val="false"/>
          <w:i w:val="false"/>
          <w:color w:val="000000"/>
          <w:sz w:val="24"/>
        </w:rPr>
        <w:t xml:space="preserve">    The Iowa Public Employees’ Retirement System (IPERS) hereby amends Chapter 4, “Employers,”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97B.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97B and 2026 Iowa Acts, House File 1023.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is intended to implement the relevant provisions of recently enacted 2026 Iowa Acts, House File 1023, “an Act relating to benefits and contributions for members of the Iowa public employees’ retirement system who are employed in a protection occupation.” The Act enhances benefits for such members and outlines a new contribution rate split between employers and members, outlines an increase in the multiplier maximum to 80 percent with 30 years of service and makes class retirees meeting specific criteria eligible for a 1.5 percent annual compounding cost-of-living adjustment. Pursuant to the Iowa Code, contribution rates must be published and made effective by July 1 of each fiscal year, which requires emergency rulemaking in this instance.</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IPERS finds that notice and public participation are unnecessary or impractical because emergency adoption was approved by the Administrative Rules Review Committee. In compliance with Iowa Code section 17A.4(3)“a,” the Administrative Rules Review Committee at its June 16, 2026, meeting reviewed IPERS’ determination and this rulemaking and approved the emergency adoption.</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17A.5(2)“b”(1)(b), IPERS also finds that the normal effective date of this rulemaking, 35 days after publication, should be waived and the rulemaking made effective on July 1, 2026, because IPERS’ enabling statute, Iowa Code chapter 97B, requires an annual actuarial valuation of assets and certification of new contribution rates (Iowa Code section 97B.4(4)“d”) and the updated contribution rates are to be calculated prior to their mandatory annual effective date of July 1, the first day of the new fiscal year.</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Acting Chief Executive Officer on June 16,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0440D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IPERS for a waiver of the discretionary provisions, if any, pursuant to 495—Chapter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4.6(3)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4.6(3)</w:t>
      </w:r>
      <w:r>
        <w:rPr>
          <w:rFonts w:ascii="Times New Roman" w:hAnsi="Times New Roman"/>
          <w:b w:val="false"/>
          <w:i w:val="false"/>
          <w:color w:val="000000"/>
          <w:sz w:val="24"/>
        </w:rPr>
        <w:t> </w:t>
      </w:r>
      <w:r>
        <w:rPr>
          <w:rFonts w:ascii="Times New Roman" w:hAnsi="Times New Roman"/>
          <w:b w:val="false"/>
          <w:i w:val="false"/>
          <w:color w:val="000000"/>
          <w:sz w:val="24"/>
        </w:rPr>
        <w:t>Contribution rates for protection occupations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0"/>
        <w:gridCol w:w="1824"/>
      </w:tblGrid>
      <w:tr>
        <w:trPr>
          <w:trHeight w:val="3210"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 July 1, 2026</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9.185%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strike/>
                <w:color w:val="000000"/>
                <w:sz w:val="14"/>
              </w:rPr>
              <w:t>9.185%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7.635%</w:t>
            </w:r>
          </w:p>
        </w:tc>
      </w:tr>
      <w:tr>
        <w:trPr>
          <w:trHeight w:val="97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6.335%</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strike/>
                <w:color w:val="000000"/>
                <w:sz w:val="14"/>
              </w:rPr>
              <w:t>6.335%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7.885%</w:t>
            </w:r>
          </w:p>
        </w:tc>
      </w:tr>
    </w:tbl>
    <w:p>
      <w:pPr>
        <w:spacing w:before="0" w:after="0" w:line="480"/>
        <w:ind w:left="120"/>
        <w:jc w:val="center"/>
      </w:pPr>
      <w:r>
        <w:rPr>
          <w:rFonts w:ascii="Times New Roman" w:hAnsi="Times New Roman"/>
          <w:b w:val="false"/>
          <w:i w:val="false"/>
          <w:color w:val="000000"/>
          <w:sz w:val="24"/>
        </w:rPr>
        <w:t>[Filed Emergency 6/23/26, effective 7/1/26]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