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8D" w:id="1"/>
    <w:p>
      <w:pPr>
        <w:spacing w:before="0" w:after="0" w:line="480"/>
        <w:ind w:left="120"/>
        <w:jc w:val="right"/>
      </w:pPr>
      <w:r>
        <w:rPr>
          <w:rFonts w:ascii="Times New Roman" w:hAnsi="Times New Roman"/>
          <w:b/>
          <w:i w:val="false"/>
          <w:color w:val="000000"/>
          <w:sz w:val="28"/>
        </w:rPr>
        <w:t>ARC 0438D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extracurricular interscholastic competition</w:t>
      </w:r>
    </w:p>
    <w:p>
      <w:pPr>
        <w:pBdr>
          <w:top w:space="5"/>
        </w:pBdr>
        <w:spacing w:before="0" w:after="0" w:line="480"/>
        <w:ind w:left="120"/>
        <w:jc w:val="both"/>
      </w:pPr>
      <w:r>
        <w:rPr>
          <w:rFonts w:ascii="Times New Roman" w:hAnsi="Times New Roman"/>
          <w:b w:val="false"/>
          <w:i w:val="false"/>
          <w:color w:val="000000"/>
          <w:sz w:val="24"/>
        </w:rPr>
        <w:t>    The State Board of Education hereby amends Chapter 36, “Extracurricular Interscholastic Competition,”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2026 Iowa Acts, House File 2591 as amended by 2026 Iowa Acts, House File 2800.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2591 as amended by 2026 Iowa Acts, House File 2800.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changes to rules on interscholastic athletics by expanding the ability of eighth-grade students to compete on high school teams and by changing how periods of ineligibility due to transfers or open enrollment transfers are calculated. This rulemaking also makes a clarifying amendment to the physical examination requirement to account for the potential participation of eighth-grade students at the high school level.</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State Board finds that notice and public participation are unnecessary or impractical because statute so provides. 2026 Iowa Acts, House File 2591 as amended by 2026 Iowa Acts, House File 2800, requires emergency rulemaking to implement the expanded ability of eighth-grade students as described above. The legislation requires that the rules, the transfer period, and the open enrollment period become effective August 1, 2026.</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State Board also finds that the normal effective date of this rulemaking, 35 days after publication, should be waived and the rulemaking made effective on August 1, 2026, because the legislation described above requires that date.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State Board on June 18,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0439D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State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281—36.1(280)</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“Student,”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val="false"/>
          <w:color w:val="000000"/>
          <w:sz w:val="24"/>
        </w:rPr>
        <w:t> </w:t>
      </w:r>
      <w:r>
        <w:rPr>
          <w:rFonts w:ascii="Times New Roman" w:hAnsi="Times New Roman"/>
          <w:b w:val="false"/>
          <w:i w:val="false"/>
          <w:color w:val="000000"/>
          <w:sz w:val="24"/>
        </w:rPr>
        <w:t>means a person under 20 years of age enrolled in grades 9 through 12. For purposes of these rules, ninth grade begins with the summer immediately following eighth grade. The rules contained herein apply uniformly to all students.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also includes students in eighth grade who are allowed to participate in an interscholastic athletic contest or competition pursuant to a local policy adopted by the board of directors of a school district, the authorities in charge of a nonpublic school, or the governing board of a charter school. An eighth-grade student who participates pursuant to this policy shall not also participate in the same sports season for an eighth-grade team.</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36.7(1)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36.7(1)</w:t>
      </w:r>
      <w:r>
        <w:rPr>
          <w:rFonts w:ascii="Times New Roman" w:hAnsi="Times New Roman"/>
          <w:b w:val="false"/>
          <w:i w:val="false"/>
          <w:color w:val="000000"/>
          <w:sz w:val="24"/>
        </w:rPr>
        <w:t> </w:t>
      </w:r>
      <w:r>
        <w:rPr>
          <w:rFonts w:ascii="Times New Roman" w:hAnsi="Times New Roman"/>
          <w:b w:val="false"/>
          <w:i/>
          <w:color w:val="000000"/>
          <w:sz w:val="24"/>
        </w:rPr>
        <w:t xml:space="preserve">Physical examination. </w:t>
      </w:r>
      <w:r>
        <w:rPr>
          <w:rFonts w:ascii="Times New Roman" w:hAnsi="Times New Roman"/>
          <w:b w:val="false"/>
          <w:i w:val="false"/>
          <w:color w:val="000000"/>
          <w:sz w:val="24"/>
        </w:rPr>
        <w:t xml:space="preserve">Every year, each student will present to the student’s superintendent a certificate signed by a licensed physician and surgeon, osteopathic physician and surgeon, osteopath, qualified doctor of chiropractic, licensed physician </w:t>
      </w:r>
      <w:r>
        <w:rPr>
          <w:rFonts w:ascii="Times New Roman" w:hAnsi="Times New Roman"/>
          <w:b w:val="false"/>
          <w:i w:val="false"/>
          <w:strike/>
          <w:color w:val="000000"/>
          <w:sz w:val="24"/>
        </w:rPr>
        <w:t>assistant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associate</w:t>
      </w:r>
      <w:r>
        <w:rPr>
          <w:rFonts w:ascii="Times New Roman" w:hAnsi="Times New Roman"/>
          <w:b w:val="false"/>
          <w:i w:val="false"/>
          <w:color w:val="000000"/>
          <w:sz w:val="24"/>
        </w:rPr>
        <w:t>, or advanced registered nurse practitioner, to the effect that the student has been examined and may safely engage in athletic competition</w:t>
      </w:r>
      <w:r>
        <w:rPr>
          <w:rFonts w:ascii="Times New Roman" w:hAnsi="Times New Roman"/>
          <w:b w:val="false"/>
          <w:i w:val="false"/>
          <w:color w:val="000000"/>
          <w:sz w:val="24"/>
          <w:u w:val="single"/>
        </w:rPr>
        <w:t>, considering the nature of the athletic competition and the student’s health and development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Each doctor of chiropractic licensed as of July 1, 1974, is to affirm on each certificate of physical examination completed that the affidavit required by Iowa Code section </w:t>
      </w:r>
      <w:hyperlink r:id="rId5">
        <w:r>
          <w:rPr>
            <w:rStyle w:val="Hyperlink"/>
            <w:rFonts w:ascii="Times New Roman" w:hAnsi="Times New Roman"/>
            <w:b w:val="false"/>
            <w:i w:val="false"/>
            <w:color w:val="000000"/>
            <w:sz w:val="24"/>
          </w:rPr>
          <w:t>151.8</w:t>
        </w:r>
      </w:hyperlink>
      <w:r>
        <w:rPr>
          <w:rFonts w:ascii="Times New Roman" w:hAnsi="Times New Roman"/>
          <w:b w:val="false"/>
          <w:i w:val="false"/>
          <w:color w:val="000000"/>
          <w:sz w:val="24"/>
        </w:rPr>
        <w:t xml:space="preserve"> is on file with the Iowa board of chiropractic.</w:t>
      </w:r>
    </w:p>
    <w:p>
      <w:pPr>
        <w:spacing w:before="0" w:after="0" w:line="480"/>
        <w:ind w:left="120"/>
        <w:jc w:val="both"/>
      </w:pPr>
      <w:r>
        <w:rPr>
          <w:rFonts w:ascii="Times New Roman" w:hAnsi="Times New Roman"/>
          <w:b w:val="false"/>
          <w:i w:val="false"/>
          <w:color w:val="000000"/>
          <w:sz w:val="24"/>
        </w:rPr>
        <w:t>The certificate of physical examination is valid for the purpose of this rule for one calendar year. A grace period not to exceed 30 calendar days is allowed for expired physical certifications.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36.8(2)“c”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contestants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 grades 9 through 12</w:t>
      </w:r>
      <w:r>
        <w:rPr>
          <w:rFonts w:ascii="Times New Roman" w:hAnsi="Times New Roman"/>
          <w:b w:val="false"/>
          <w:i w:val="false"/>
          <w:color w:val="000000"/>
          <w:sz w:val="24"/>
        </w:rPr>
        <w:t xml:space="preserve"> will receive credit in at least four subjects, each of one period or “hour” or the equivalent thereof, at all times. To qualify under this rule, a “subject” will meet the requirements of </w:t>
      </w:r>
      <w:hyperlink r:id="rId6">
        <w:r>
          <w:rPr>
            <w:rStyle w:val="Hyperlink"/>
            <w:rFonts w:ascii="Times New Roman" w:hAnsi="Times New Roman"/>
            <w:b w:val="false"/>
            <w:i w:val="false"/>
            <w:color w:val="000000"/>
            <w:sz w:val="24"/>
          </w:rPr>
          <w:t>281—Chapter 12</w:t>
        </w:r>
      </w:hyperlink>
      <w:r>
        <w:rPr>
          <w:rFonts w:ascii="Times New Roman" w:hAnsi="Times New Roman"/>
          <w:b w:val="false"/>
          <w:i w:val="false"/>
          <w:color w:val="000000"/>
          <w:sz w:val="24"/>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36.8(2)“e”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student who meets all other qualifications may be eligible to participate in interscholastic athletics for a maximum of eight consecutive semesters upon entering the ninth grade for the first time</w:t>
      </w:r>
      <w:r>
        <w:rPr>
          <w:rFonts w:ascii="Times New Roman" w:hAnsi="Times New Roman"/>
          <w:b w:val="false"/>
          <w:i w:val="false"/>
          <w:color w:val="000000"/>
          <w:sz w:val="24"/>
          <w:u w:val="single"/>
        </w:rPr>
        <w:t>, including students who participated during eighth grade</w:t>
      </w:r>
      <w:r>
        <w:rPr>
          <w:rFonts w:ascii="Times New Roman" w:hAnsi="Times New Roman"/>
          <w:b w:val="false"/>
          <w:i w:val="false"/>
          <w:color w:val="000000"/>
          <w:sz w:val="24"/>
        </w:rPr>
        <w:t>.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36.8(2)“g”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student is academically eligible upon entering the ninth grade</w:t>
      </w:r>
      <w:r>
        <w:rPr>
          <w:rFonts w:ascii="Times New Roman" w:hAnsi="Times New Roman"/>
          <w:b w:val="false"/>
          <w:i w:val="false"/>
          <w:color w:val="000000"/>
          <w:sz w:val="24"/>
          <w:u w:val="single"/>
        </w:rPr>
        <w:t>, including students who participated in eighth grade</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36.8(3)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36.8(3)</w:t>
      </w:r>
      <w:r>
        <w:rPr>
          <w:rFonts w:ascii="Times New Roman" w:hAnsi="Times New Roman"/>
          <w:b w:val="false"/>
          <w:i w:val="false"/>
          <w:color w:val="000000"/>
          <w:sz w:val="24"/>
        </w:rPr>
        <w:t> </w:t>
      </w:r>
      <w:r>
        <w:rPr>
          <w:rFonts w:ascii="Times New Roman" w:hAnsi="Times New Roman"/>
          <w:b w:val="false"/>
          <w:i/>
          <w:color w:val="000000"/>
          <w:sz w:val="24"/>
        </w:rPr>
        <w:t xml:space="preserve">General transfer rule. </w:t>
      </w:r>
      <w:r>
        <w:rPr>
          <w:rFonts w:ascii="Times New Roman" w:hAnsi="Times New Roman"/>
          <w:b w:val="false"/>
          <w:i w:val="false"/>
          <w:color w:val="000000"/>
          <w:sz w:val="24"/>
        </w:rPr>
        <w:t>A student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 grades 9 through 12</w:t>
      </w:r>
      <w:r>
        <w:rPr>
          <w:rFonts w:ascii="Times New Roman" w:hAnsi="Times New Roman"/>
          <w:b w:val="false"/>
          <w:i w:val="false"/>
          <w:color w:val="000000"/>
          <w:sz w:val="24"/>
        </w:rPr>
        <w:t xml:space="preserve"> who transfers from a school in another state or country or from one member or associate member school to another member or associate member school shall be ineligible to compete in interscholastic athletics for a period of </w:t>
      </w:r>
      <w:r>
        <w:rPr>
          <w:rFonts w:ascii="Times New Roman" w:hAnsi="Times New Roman"/>
          <w:b w:val="false"/>
          <w:i w:val="false"/>
          <w:strike/>
          <w:color w:val="000000"/>
          <w:sz w:val="24"/>
        </w:rPr>
        <w:t>90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140</w:t>
      </w:r>
      <w:r>
        <w:rPr>
          <w:rFonts w:ascii="Times New Roman" w:hAnsi="Times New Roman"/>
          <w:b w:val="false"/>
          <w:i w:val="false"/>
          <w:color w:val="000000"/>
          <w:sz w:val="24"/>
        </w:rPr>
        <w:t xml:space="preserve"> consecutive </w:t>
      </w:r>
      <w:r>
        <w:rPr>
          <w:rFonts w:ascii="Times New Roman" w:hAnsi="Times New Roman"/>
          <w:b w:val="false"/>
          <w:i w:val="false"/>
          <w:strike/>
          <w:color w:val="000000"/>
          <w:sz w:val="24"/>
        </w:rPr>
        <w:t>school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calendar</w:t>
      </w:r>
      <w:r>
        <w:rPr>
          <w:rFonts w:ascii="Times New Roman" w:hAnsi="Times New Roman"/>
          <w:b w:val="false"/>
          <w:i w:val="false"/>
          <w:color w:val="000000"/>
          <w:sz w:val="24"/>
        </w:rPr>
        <w:t xml:space="preserve"> days, as defined in </w:t>
      </w:r>
      <w:hyperlink r:id="rId7">
        <w:r>
          <w:rPr>
            <w:rStyle w:val="Hyperlink"/>
            <w:rFonts w:ascii="Times New Roman" w:hAnsi="Times New Roman"/>
            <w:b w:val="false"/>
            <w:i w:val="false"/>
            <w:color w:val="000000"/>
            <w:sz w:val="24"/>
          </w:rPr>
          <w:t>281—Chapter 12</w:t>
        </w:r>
      </w:hyperlink>
      <w:r>
        <w:rPr>
          <w:rFonts w:ascii="Times New Roman" w:hAnsi="Times New Roman"/>
          <w:b w:val="false"/>
          <w:i w:val="false"/>
          <w:color w:val="000000"/>
          <w:sz w:val="24"/>
        </w:rPr>
        <w:t xml:space="preserve">, exclusive of summer enrollment, unless one of the exceptions listed in </w:t>
      </w:r>
      <w:hyperlink r:id="rId8">
        <w:r>
          <w:rPr>
            <w:rStyle w:val="Hyperlink"/>
            <w:rFonts w:ascii="Times New Roman" w:hAnsi="Times New Roman"/>
            <w:b w:val="false"/>
            <w:i w:val="false"/>
            <w:color w:val="000000"/>
            <w:sz w:val="24"/>
          </w:rPr>
          <w:t>paragraph 36.8(3)</w:t>
        </w:r>
      </w:hyperlink>
      <w:r>
        <w:rPr>
          <w:rFonts w:ascii="Times New Roman" w:hAnsi="Times New Roman"/>
          <w:b w:val="false"/>
          <w:i/>
          <w:color w:val="000000"/>
          <w:sz w:val="24"/>
        </w:rPr>
        <w:t>“a”</w:t>
      </w:r>
      <w:r>
        <w:rPr>
          <w:rFonts w:ascii="Times New Roman" w:hAnsi="Times New Roman"/>
          <w:b w:val="false"/>
          <w:i w:val="false"/>
          <w:color w:val="000000"/>
          <w:sz w:val="24"/>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student who participates in the name of a member or associate member school during the summer following eighth grade is ineligible to participate in the name of another member or associate member school in the first </w:t>
      </w:r>
      <w:r>
        <w:rPr>
          <w:rFonts w:ascii="Times New Roman" w:hAnsi="Times New Roman"/>
          <w:b w:val="false"/>
          <w:i w:val="false"/>
          <w:strike/>
          <w:color w:val="000000"/>
          <w:sz w:val="24"/>
        </w:rPr>
        <w:t>90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140</w:t>
      </w:r>
      <w:r>
        <w:rPr>
          <w:rFonts w:ascii="Times New Roman" w:hAnsi="Times New Roman"/>
          <w:b w:val="false"/>
          <w:i w:val="false"/>
          <w:color w:val="000000"/>
          <w:sz w:val="24"/>
        </w:rPr>
        <w:t xml:space="preserve"> consecutive </w:t>
      </w:r>
      <w:r>
        <w:rPr>
          <w:rFonts w:ascii="Times New Roman" w:hAnsi="Times New Roman"/>
          <w:b w:val="false"/>
          <w:i w:val="false"/>
          <w:strike/>
          <w:color w:val="000000"/>
          <w:sz w:val="24"/>
        </w:rPr>
        <w:t>school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calendar</w:t>
      </w:r>
      <w:r>
        <w:rPr>
          <w:rFonts w:ascii="Times New Roman" w:hAnsi="Times New Roman"/>
          <w:b w:val="false"/>
          <w:i w:val="false"/>
          <w:color w:val="000000"/>
          <w:sz w:val="24"/>
        </w:rPr>
        <w:t xml:space="preserve"> days of ninth grade unless a change of residence has occurred after the student began participating in the summer.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center"/>
      </w:pPr>
      <w:r>
        <w:rPr>
          <w:rFonts w:ascii="Times New Roman" w:hAnsi="Times New Roman"/>
          <w:b w:val="false"/>
          <w:i w:val="false"/>
          <w:color w:val="000000"/>
          <w:sz w:val="24"/>
        </w:rPr>
        <w:t>[Filed Emergency 6/19/26, effective 8/1/26]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51.8.pdf" Type="http://schemas.openxmlformats.org/officeDocument/2006/relationships/hyperlink" Id="rId5"/>
    <Relationship TargetMode="External" Target="https://www.legis.iowa.gov/docs/iac/chapter/281.12.pdf" Type="http://schemas.openxmlformats.org/officeDocument/2006/relationships/hyperlink" Id="rId6"/>
    <Relationship TargetMode="External" Target="https://www.legis.iowa.gov/docs/iac/chapter/281.12.pdf" Type="http://schemas.openxmlformats.org/officeDocument/2006/relationships/hyperlink" Id="rId7"/>
    <Relationship TargetMode="External" Target="https://www.legis.iowa.gov/docs/iac/rule/281.36.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