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7D" w:id="1"/>
    <w:p>
      <w:pPr>
        <w:spacing w:before="0" w:after="0" w:line="480"/>
        <w:ind w:left="120"/>
        <w:jc w:val="right"/>
      </w:pPr>
      <w:r>
        <w:rPr>
          <w:rFonts w:ascii="Times New Roman" w:hAnsi="Times New Roman"/>
          <w:b/>
          <w:i w:val="false"/>
          <w:color w:val="000000"/>
          <w:sz w:val="28"/>
        </w:rPr>
        <w:t>ARC 0437D</w:t>
      </w:r>
    </w:p>
    <w:bookmarkEnd w:id="1"/>
    <w:p>
      <w:pPr>
        <w:pBdr>
          <w:top w:space="5"/>
        </w:pBdr>
        <w:spacing w:before="0" w:after="0" w:line="480"/>
        <w:ind w:left="120"/>
        <w:jc w:val="center"/>
      </w:pPr>
      <w:r>
        <w:rPr>
          <w:rFonts w:ascii="Times New Roman" w:hAnsi="Times New Roman"/>
          <w:b/>
          <w:i w:val="false"/>
          <w:color w:val="000000"/>
          <w:sz w:val="28"/>
        </w:rPr>
        <w:t>REVENUE DEPARTMENT[701]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 xml:space="preserve">Rulemaking related to uniform rules on agency procedure </w:t>
      </w:r>
    </w:p>
    <w:p>
      <w:pPr>
        <w:pBdr>
          <w:top w:space="5"/>
        </w:pBdr>
        <w:spacing w:before="0" w:after="0" w:line="480"/>
        <w:ind w:left="120"/>
        <w:jc w:val="both"/>
      </w:pPr>
      <w:r>
        <w:rPr>
          <w:rFonts w:ascii="Times New Roman" w:hAnsi="Times New Roman"/>
          <w:b w:val="false"/>
          <w:i w:val="false"/>
          <w:color w:val="000000"/>
          <w:sz w:val="24"/>
        </w:rPr>
        <w:t>    The Department of Revenue hereby amends Chapter 2, “Organization”; rescinds Chapter 5, “Public Records and Fair Information Practices”; amends Chapter 103, “Examination and Certification of Assessors and Deputy Assessors,” Chapter 201, “Sales and Use Tax Permits,” Chapter 230, “Administration of Cigarette, Tobacco, Vapor Products, and Alternative Nicotine Products,” and Chapter 260, “Motor Fuel and Undyed Special Fuel”; and adopts Chapter 2502, “Petitions for Rulemaking,” Chapter 2503, “Declaratory Orders,” Chapter 2504, “Rule Waivers,” Chapter 2505, “Fair Information Practices,” Chapter 2506, “Contested Cases,” and Chapter 2507, “Filing a Tax Appeal and the Informal Proceedings Before a Contested Case,”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xml:space="preserve">    This rulemaking is adopted under the authority provided in Iowa Code chapters 17A and 22; Iowa Code sections 99G.9, 123.10 and 421.17; and 2026 Iowa Acts, Senate File 2463. </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17A.24 and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Department is adopting emergency rules under Iowa Code sections 17A.4(3) and 17A.5(2)“b,” providing for additions, exceptions, or amendments to the Uniform Rules on Agency Procedure adopted by the Administrative Rules Coordinator pursuant to 2026 Iowa Acts, Senate File 2463. Senate File 2463 does not rescind rule 701—5.1(17A,22,99G,123,421-453E) or 701—5.10(17A,22,99G,123,421-453E); therefore, the content of the two rules is to be moved to Chapter 2505 for consistency. The definitions from rule 701—5.1(17A,22,99G,123,421-453E) are being incorporated into rule 701—2505.1(17A,22), and content from rule 701—5.10(17A,22,99G,123,421-453E) is moved under rule 701—2505.11(17A,22,99G,123,421-453E). Additionally, the 701—Chapter 7 rules on the informal tax appeal process prior to a contested case are moved to Chapter 2507. These rules are intended to later be editorially moved back to 701—Chapter 7 after the rescission of the chapter goes into effect on January 1, 2027. Taxpayers are most familiar with finding rules on appeals and related administrative procedures within 701—Chapter 7; therefore, the Department has determined it to be most beneficial to maintain these rules in this location for clarity and convenience to taxpayers.</w:t>
      </w:r>
    </w:p>
    <w:p>
      <w:pPr>
        <w:spacing w:before="0" w:after="0" w:line="480"/>
        <w:ind w:left="120"/>
        <w:jc w:val="both"/>
      </w:pPr>
      <w:r>
        <w:rPr>
          <w:rFonts w:ascii="Times New Roman" w:hAnsi="Times New Roman"/>
          <w:b w:val="false"/>
          <w:i w:val="false"/>
          <w:color w:val="000000"/>
          <w:sz w:val="24"/>
        </w:rPr>
        <w:t>    The following amendments are necessary to comply with legal obligations imposed on the Department: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Rule 701—2502.1(17A), to adopt an additional content requirement for petitions for rulemaking found under numbered paragraph “7” that reads as follows:</w:t>
      </w:r>
    </w:p>
    <w:p>
      <w:pPr>
        <w:spacing w:before="0" w:after="0" w:line="480"/>
        <w:ind w:left="120"/>
        <w:jc w:val="both"/>
      </w:pPr>
      <w:r>
        <w:rPr>
          <w:rFonts w:ascii="Times New Roman" w:hAnsi="Times New Roman"/>
          <w:b w:val="false"/>
          <w:i w:val="false"/>
          <w:color w:val="000000"/>
          <w:sz w:val="24"/>
        </w:rPr>
        <w:t>“7. Any other matters deemed relevant that are not covered by the above requirements.”</w:t>
      </w:r>
    </w:p>
    <w:p>
      <w:pPr>
        <w:spacing w:before="0" w:after="0" w:line="480"/>
        <w:ind w:left="120"/>
        <w:jc w:val="both"/>
      </w:pPr>
      <w:r>
        <w:rPr>
          <w:rFonts w:ascii="Times New Roman" w:hAnsi="Times New Roman"/>
          <w:b w:val="false"/>
          <w:i w:val="false"/>
          <w:color w:val="000000"/>
          <w:sz w:val="24"/>
        </w:rPr>
        <w:t>The Department has the authority to prescribe by rule the form for petitions and the procedure for their submission, consideration, and disposition under  Iowa Code section 17A.7(1). To make the petition review process efficient for customers, the Department currently asks petitioners to provide a complete history of any prior contacts between the petitioner and the Department relating to the activity affected by this rulemaking, including audits, notices of assessment, refund claims, appeals, contested case hearings, or investigative reports relating to the activity within the last five years. Retaining the ability to request this information ensures thorough and efficient review of rulemaking requests. The existing uniform rule is deemed insufficient by not stating that an agency has additional discretion to add other petition form requirements that may aid both the agency and petitioner in the review and disposition of the petition, and Iowa Code section 17A.7(1) supports the inclusion of such a rule.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Subrule 2503.1(1), to make revisions under the Department’s authority to adopt rules that provide for the form, contents, and filing of petitions for declaratory orders provided by Iowa Code section 17A.9(2). The existing uniform rule is deemed insufficient to provide clarity to customers to ensure petitions include adequate information.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Paragraph 2503.1(1)“a,” to adopt an additional requirement for a filed petition for declaratory order found under numbered paragraph “9” and a clarifying requirement under numbered paragraph “10.” The requirement in numbered paragraph “9” includes whether the petitioner is presently under audit or investigation by the agency, something that can be a strong determining factor as to the applicability to specified circumstances of a statute, rule, or order when a person is petitioning for a declaratory order. Numbered paragraph “10” clarifies that petitions submitted by a representative must have a valid Department power of attorney form or representative certification form on file with the agency, which is required by Iowa Code section 421.59.</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Paragraphs 2503.1(1)“b” and “c,” to adopt amendments for clarity. First, a paragraph on standing is included to provide clarity for petitioners prior to submission to avoid the need to provide such information solely through a refusal to issue an order. Second, a paragraph is included to clarify that an association or representative group cannot file a petition for declaratory order on behalf of its members. This is prohibited due to the fact that each member may not be similarly situated or represented by the factual scenario set forth in the petition. These additions will ensure an entity receives an appropriate review on the specified circumstances of a statute, rule, or order within the primary jurisdiction of the agency and that customers are aware of these requirements up front rather than awaiting an order only to receive a refusal on these grounds.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Subrule 2504.1(1), to adopt definitions of discretionary and interpretive rules to provide more clarity beyond Iowa Code section 17A.9A on what types of rules the Department has the authority to waive. These definitions were part of the Department’s effort to comply with uniform waiver rule requirements, paragraphs D and H, outlined in Executive Order No. 11 (1999), which Governor Reynolds has retained. The Department deems the existing uniform rule as insufficient to cover the requirements for rule waivers for the subject matter required by Department rules, as required by Executive Order No. 11 (1999).</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Subrule 2505.4(8), to adopt an additional subrule directing how to request a copy of a tax return. The existing uniform rule does not cover this specific type of request required by Iowa Code section 421.17(37).</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Rules 701—2505.7(17A,22), 701—2505.9(17A,22,99G,123,421-453E), and 701—2505.10(17A,22,99G,123,421-453E), to replace the uniform rules to address how to properly handle confidential records as authorized and required by Iowa Code sections 22.7, 99G.34, 123.38A, 422.20, and 422.72. Additionally, the amendment to rule 701—2505.7(17A,22) provides the necessary rules for Information Disclosure Designation, Form IA 8821. The uniform rules that cover this material are insufficient to cover the specific statutory confidentiality requirements for effective tax administration.</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Subrule 2506.3(1), to amend the rule cross-reference to accurately reflect the Department-specific computation of time required by Iowa Code section 421.9A. The uniform rule provides for the time computation outlined in Iowa Code section 4.1, but Iowa Code section 421.9A is a Department-specific statute on computation of time that supersedes Iowa Code section 4.1.</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Subrule 2506.20(3), to amend the subrule to add rule and statutory references for accuracy to comply with Iowa Code section 421.59 regarding who may represent a party at a hearing or prehearing conference. The uniform rule is sufficient for how parties are represented for some matters with the Department; however, there are additional statutory requirements for tax administration.</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Subrule 2506.26(2), to adopt an amendment to adhere to how the Department’s tax-related contested cases become a decision subject to judicial review and provide necessary information regarding litigation costs as required by Iowa Code sections 421.60 and 422.29. The uniform rule is insufficient due to not covering information regarding litigation costs covered in statute and describing a judicial review process that differs from the standard the Department currently follows.</w:t>
      </w:r>
    </w:p>
    <w:p>
      <w:pPr>
        <w:spacing w:before="0" w:after="0" w:line="480"/>
        <w:ind w:left="120"/>
        <w:jc w:val="both"/>
      </w:pPr>
      <w:r>
        <w:rPr>
          <w:rFonts w:ascii="Times New Roman" w:hAnsi="Times New Roman"/>
          <w:b w:val="false"/>
          <w:i w:val="false"/>
          <w:color w:val="000000"/>
          <w:sz w:val="24"/>
        </w:rPr>
        <w:t>    The following amendments are determined to be necessary by the Department: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Subrule 2504.1(3), to amend the petition for waiver requirement under 7—numbered paragraph 2504.1(3)“6” to require the petitioner to provide a full contact history between the petitioner and the Department upon submission of a petition, in order to give adequate consideration of a petition for rule waiver. Retaining this requirement makes the petition review and deliberation faster and more efficient for both the requester and the Department; thus, the Uniform Rules on Agency Procedure are insufficient.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Subrule 2505.3(3), to amend the uniform rule on requesting records to provide more clarity on the process for public records compared to confidential records. The process for the Department to fulfill a request for confidential records may include additional requirements, including a signed affidavit that has protections to prevent perjury outlined under Iowa Code section 421.27A. The Uniform Rules on Agency Procedure do not provide for this distinction.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Rule 701—2506.2(17A), to adopt a definition of pleadings, which is not defined in statute or in the Uniform Rules on Agency Procedure. Including a definition provides clarity for customers in both informal appeals and contested cases. The existing language of the Uniform Rules on Agency Procedure is insufficient.</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Rule 701—2506.11(17A), to maintain the Department’s rule content on pleadings in the informal tax appeal chapter of 701—Chapter 2507 and incorporate into this rule the current language from rule 701—subrule 6.10(2) to provide specific guidance for the Department and local authorities to take action on alcohol-related violations. The existing language of the Uniform Rules on Agency Procedure is insufficient. The Department has more detailed content on pleadings in the existing informal tax appeal chapter that can also apply to the contested cases procedures described in the Uniform Rules on Agency Procedure. The alcohol-regulation-specific 701—subrule 6.10(2) is a pleadings subrule that local authorities consider highly beneficial to helping them understand procedures on alcohol-related violations to benefit public health and safety.</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Rule 701—2506.17(17A), to amend the rule for a continuance to be requested no later than three days, rather than seven, and allow each party to be entitled to one continuance without the need for a good cause showing. This time frame is more appropriate for Department contested cases on alcohol matters than those provided by the Uniform Rules on Agency Procedure. Self-represented persons are common in alcohol contested cases, and they historically have benefited from the three-day time frame.</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statute so provides. 2026 Iowa Acts, Senate File 2463, section 5, authorizes emergency rulemaking to provide for additions, exceptions, or amendments to the Uniform Rules on Agency Procedure. </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Department also finds that the normal effective date of this rulemaking, 35 days after publication, should be waived and the rulemaking made effective on June 30, 2026, because 2026 Iowa Acts, Senate File 2463, section 5, authorizes emergency rulemaking for the purpose stated above. This rulemaking confers a benefit on the public by ensuring that essential rules on agency procedure remain in continuous effect following the statutory rescission of the Department’s current Uniform Rules on Agency Procedure effective July 1, 2026.</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19,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0436D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701—Chapter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701—Chapter 2</w:t>
      </w:r>
      <w:r>
        <w:rPr>
          <w:rFonts w:ascii="Times New Roman" w:hAnsi="Times New Roman"/>
          <w:b w:val="false"/>
          <w:i w:val="false"/>
          <w:color w:val="000000"/>
          <w:sz w:val="24"/>
        </w:rPr>
        <w:t>, title</w:t>
      </w:r>
      <w:r>
        <w:rPr>
          <w:rFonts w:ascii="Times New Roman" w:hAnsi="Times New Roman"/>
          <w:b w:val="false"/>
          <w:i w:val="false"/>
          <w:color w:val="000000"/>
          <w:sz w:val="24"/>
        </w:rPr>
        <w:t>, as follows:</w:t>
      </w:r>
    </w:p>
    <w:p>
      <w:pPr>
        <w:spacing w:before="0" w:after="0" w:line="480"/>
        <w:ind w:left="120"/>
        <w:jc w:val="center"/>
      </w:pPr>
      <w:r>
        <w:rPr>
          <w:rFonts w:ascii="Times New Roman" w:hAnsi="Times New Roman"/>
          <w:b w:val="false"/>
          <w:i w:val="false"/>
          <w:color w:val="000000"/>
          <w:sz w:val="21"/>
        </w:rPr>
        <w:t>ORGANIZATION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GENERAL DEFINITIONS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701—2.6</w:t>
      </w:r>
      <w:r>
        <w:rPr>
          <w:rFonts w:ascii="Times New Roman" w:hAnsi="Times New Roman"/>
          <w:b w:val="false"/>
          <w:i w:val="false"/>
          <w:color w:val="000000"/>
          <w:sz w:val="24"/>
        </w:rPr>
        <w:t>(17A,22,99G,123,421-453E):</w:t>
      </w:r>
    </w:p>
    <w:p>
      <w:pPr>
        <w:spacing w:before="0" w:after="0" w:line="480"/>
        <w:ind w:left="120"/>
        <w:jc w:val="both"/>
      </w:pPr>
      <w:r>
        <w:rPr>
          <w:rFonts w:ascii="Times New Roman" w:hAnsi="Times New Roman"/>
          <w:b/>
          <w:i w:val="false"/>
          <w:color w:val="000000"/>
          <w:sz w:val="24"/>
        </w:rPr>
        <w:t>701—2.6</w:t>
      </w:r>
      <w:r>
        <w:rPr>
          <w:rFonts w:ascii="Times New Roman" w:hAnsi="Times New Roman"/>
          <w:b/>
          <w:i w:val="false"/>
          <w:color w:val="000000"/>
          <w:sz w:val="24"/>
        </w:rPr>
        <w:t xml:space="preserve">(17A,22,99G,123,421-453E)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the department’s rules, the following definitions apply unless otherwise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“IDR”</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department or the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“GovConnectIowa”</w:t>
      </w:r>
      <w:r>
        <w:rPr>
          <w:rFonts w:ascii="Times New Roman" w:hAnsi="Times New Roman"/>
          <w:b w:val="false"/>
          <w:i w:val="false"/>
          <w:color w:val="000000"/>
          <w:sz w:val="24"/>
        </w:rPr>
        <w:t> </w:t>
      </w:r>
      <w:r>
        <w:rPr>
          <w:rFonts w:ascii="Times New Roman" w:hAnsi="Times New Roman"/>
          <w:b w:val="false"/>
          <w:i w:val="false"/>
          <w:color w:val="000000"/>
          <w:sz w:val="24"/>
        </w:rPr>
        <w:t>means the e-services portal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“Issuance”</w:t>
      </w:r>
      <w:r>
        <w:rPr>
          <w:rFonts w:ascii="Times New Roman" w:hAnsi="Times New Roman"/>
          <w:b w:val="false"/>
          <w:i w:val="false"/>
          <w:color w:val="000000"/>
          <w:sz w:val="24"/>
        </w:rPr>
        <w:t> </w:t>
      </w:r>
      <w:r>
        <w:rPr>
          <w:rFonts w:ascii="Times New Roman" w:hAnsi="Times New Roman"/>
          <w:b w:val="false"/>
          <w:i w:val="false"/>
          <w:color w:val="000000"/>
          <w:sz w:val="24"/>
        </w:rPr>
        <w:t>means the date specified in the decision or order, the date of mailing of a decision, or order or date of delivery of the decision or order if service is by other means.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701—103.19</w:t>
      </w:r>
      <w:r>
        <w:rPr>
          <w:rFonts w:ascii="Times New Roman" w:hAnsi="Times New Roman"/>
          <w:b w:val="false"/>
          <w:i w:val="false"/>
          <w:color w:val="000000"/>
          <w:sz w:val="24"/>
        </w:rPr>
        <w:t>(441):</w:t>
      </w:r>
    </w:p>
    <w:p>
      <w:pPr>
        <w:spacing w:before="0" w:after="0" w:line="480"/>
        <w:ind w:left="120"/>
        <w:jc w:val="both"/>
      </w:pPr>
      <w:r>
        <w:rPr>
          <w:rFonts w:ascii="Times New Roman" w:hAnsi="Times New Roman"/>
          <w:b/>
          <w:i w:val="false"/>
          <w:color w:val="000000"/>
          <w:sz w:val="24"/>
        </w:rPr>
        <w:t>701—103.19</w:t>
      </w:r>
      <w:r>
        <w:rPr>
          <w:rFonts w:ascii="Times New Roman" w:hAnsi="Times New Roman"/>
          <w:b/>
          <w:i w:val="false"/>
          <w:color w:val="000000"/>
          <w:sz w:val="24"/>
        </w:rPr>
        <w:t xml:space="preserve">(441) </w:t>
      </w:r>
      <w:r>
        <w:rPr>
          <w:rFonts w:ascii="Times New Roman" w:hAnsi="Times New Roman"/>
          <w:b/>
          <w:i w:val="false"/>
          <w:color w:val="000000"/>
          <w:sz w:val="24"/>
        </w:rPr>
        <w:t xml:space="preserve">Appeals of director’s rejection of assessor appointment or reappointment.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103.19(1)</w:t>
      </w:r>
      <w:r>
        <w:rPr>
          <w:rFonts w:ascii="Times New Roman" w:hAnsi="Times New Roman"/>
          <w:b w:val="false"/>
          <w:i w:val="false"/>
          <w:color w:val="000000"/>
          <w:sz w:val="24"/>
        </w:rPr>
        <w:t> </w:t>
      </w:r>
      <w:r>
        <w:rPr>
          <w:rFonts w:ascii="Times New Roman" w:hAnsi="Times New Roman"/>
          <w:b w:val="false"/>
          <w:i/>
          <w:color w:val="000000"/>
          <w:sz w:val="24"/>
        </w:rPr>
        <w:t xml:space="preserve">Written request for appeal. </w:t>
      </w:r>
      <w:r>
        <w:rPr>
          <w:rFonts w:ascii="Times New Roman" w:hAnsi="Times New Roman"/>
          <w:b w:val="false"/>
          <w:i w:val="false"/>
          <w:color w:val="000000"/>
          <w:sz w:val="24"/>
        </w:rPr>
        <w:t xml:space="preserve">Any assessor or conference board wishing to contest the director’s rejection of the conference board’s appointment of an assessor under </w:t>
      </w:r>
      <w:hyperlink r:id="rId5">
        <w:r>
          <w:rPr>
            <w:rStyle w:val="Hyperlink"/>
            <w:rFonts w:ascii="Times New Roman" w:hAnsi="Times New Roman"/>
            <w:b w:val="false"/>
            <w:i w:val="false"/>
            <w:color w:val="000000"/>
            <w:sz w:val="24"/>
          </w:rPr>
          <w:t>subrule 103.15(4)</w:t>
        </w:r>
      </w:hyperlink>
      <w:r>
        <w:rPr>
          <w:rFonts w:ascii="Times New Roman" w:hAnsi="Times New Roman"/>
          <w:b w:val="false"/>
          <w:i w:val="false"/>
          <w:color w:val="000000"/>
          <w:sz w:val="24"/>
        </w:rPr>
        <w:t xml:space="preserve"> or reappointment of an assessor under </w:t>
      </w:r>
      <w:hyperlink r:id="rId6">
        <w:r>
          <w:rPr>
            <w:rStyle w:val="Hyperlink"/>
            <w:rFonts w:ascii="Times New Roman" w:hAnsi="Times New Roman"/>
            <w:b w:val="false"/>
            <w:i w:val="false"/>
            <w:color w:val="000000"/>
            <w:sz w:val="24"/>
          </w:rPr>
          <w:t>subrule 103.16(3)</w:t>
        </w:r>
      </w:hyperlink>
      <w:r>
        <w:rPr>
          <w:rFonts w:ascii="Times New Roman" w:hAnsi="Times New Roman"/>
          <w:b w:val="false"/>
          <w:i w:val="false"/>
          <w:color w:val="000000"/>
          <w:sz w:val="24"/>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103.19(2)</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Appeals will be governed by the procedures set forth in this rule together with the procedures set forth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7">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8">
        <w:r>
          <w:rPr>
            <w:rStyle w:val="Hyperlink"/>
            <w:rFonts w:ascii="Times New Roman" w:hAnsi="Times New Roman"/>
            <w:b w:val="false"/>
            <w:i w:val="false"/>
            <w:color w:val="000000"/>
            <w:sz w:val="24"/>
          </w:rPr>
          <w:t>7—2506.4(17A)</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7—2506.5(17A)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10">
        <w:r>
          <w:rPr>
            <w:rStyle w:val="Hyperlink"/>
            <w:rFonts w:ascii="Times New Roman" w:hAnsi="Times New Roman"/>
            <w:b w:val="false"/>
            <w:i w:val="false"/>
            <w:color w:val="000000"/>
            <w:sz w:val="24"/>
          </w:rPr>
          <w:t>7—2506.12(17A)</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7—2506.14(17A)</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7—2506.15(17A)</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7—2506.20(17A)</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7—2506.22(17A)</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7—2506.25(17A)</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7—2506.27(17A)</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701—2506.25(17A)</w:t>
        </w:r>
      </w:hyperlink>
      <w:r>
        <w:rPr>
          <w:rFonts w:ascii="Times New Roman" w:hAnsi="Times New Roman"/>
          <w:b w:val="false"/>
          <w:i w:val="false"/>
          <w:color w:val="000000"/>
          <w:sz w:val="24"/>
        </w:rPr>
        <w:t xml:space="preserve">; additionally, Iowa Code section </w:t>
      </w:r>
      <w:hyperlink r:id="rId18">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 xml:space="preserve"> shall not apply; and rules </w:t>
      </w:r>
      <w:hyperlink r:id="rId19">
        <w:r>
          <w:rPr>
            <w:rStyle w:val="Hyperlink"/>
            <w:rFonts w:ascii="Times New Roman" w:hAnsi="Times New Roman"/>
            <w:b w:val="false"/>
            <w:i w:val="false"/>
            <w:color w:val="000000"/>
            <w:sz w:val="24"/>
          </w:rPr>
          <w:t>7—2506.10(17A)</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7—2506.29(17A)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21">
        <w:r>
          <w:rPr>
            <w:rStyle w:val="Hyperlink"/>
            <w:rFonts w:ascii="Times New Roman" w:hAnsi="Times New Roman"/>
            <w:b w:val="false"/>
            <w:i w:val="false"/>
            <w:color w:val="000000"/>
            <w:sz w:val="24"/>
          </w:rPr>
          <w:t>7—2506.13(17A)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22">
        <w:r>
          <w:rPr>
            <w:rStyle w:val="Hyperlink"/>
            <w:rFonts w:ascii="Times New Roman" w:hAnsi="Times New Roman"/>
            <w:b w:val="false"/>
            <w:i w:val="false"/>
            <w:color w:val="000000"/>
            <w:sz w:val="24"/>
          </w:rPr>
          <w:t>7—2506.16(17A)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23">
        <w:r>
          <w:rPr>
            <w:rStyle w:val="Hyperlink"/>
            <w:rFonts w:ascii="Times New Roman" w:hAnsi="Times New Roman"/>
            <w:b w:val="false"/>
            <w:i w:val="false"/>
            <w:color w:val="000000"/>
            <w:sz w:val="24"/>
          </w:rPr>
          <w:t>7—2506.19(17A)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24">
        <w:r>
          <w:rPr>
            <w:rStyle w:val="Hyperlink"/>
            <w:rFonts w:ascii="Times New Roman" w:hAnsi="Times New Roman"/>
            <w:b w:val="false"/>
            <w:i w:val="false"/>
            <w:color w:val="000000"/>
            <w:sz w:val="24"/>
          </w:rPr>
          <w:t>7—2506.21(17A)</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7—2506.24(17A)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26">
        <w:r>
          <w:rPr>
            <w:rStyle w:val="Hyperlink"/>
            <w:rFonts w:ascii="Times New Roman" w:hAnsi="Times New Roman"/>
            <w:b w:val="false"/>
            <w:i w:val="false"/>
            <w:color w:val="000000"/>
            <w:sz w:val="24"/>
          </w:rPr>
          <w:t>7—2506.23(17A)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27">
        <w:r>
          <w:rPr>
            <w:rStyle w:val="Hyperlink"/>
            <w:rFonts w:ascii="Times New Roman" w:hAnsi="Times New Roman"/>
            <w:b w:val="false"/>
            <w:i w:val="false"/>
            <w:color w:val="000000"/>
            <w:sz w:val="24"/>
          </w:rPr>
          <w:t>7—2506.28(17A)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hyperlink r:id="rId28">
        <w:r>
          <w:rPr>
            <w:rStyle w:val="Hyperlink"/>
            <w:rFonts w:ascii="Times New Roman" w:hAnsi="Times New Roman"/>
            <w:b w:val="false"/>
            <w:i w:val="false"/>
            <w:color w:val="000000"/>
            <w:sz w:val="24"/>
          </w:rPr>
          <w:t>701—subrule 2507.3(2)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29">
        <w:r>
          <w:rPr>
            <w:rStyle w:val="Hyperlink"/>
            <w:rFonts w:ascii="Times New Roman" w:hAnsi="Times New Roman"/>
            <w:b w:val="false"/>
            <w:i w:val="false"/>
            <w:color w:val="000000"/>
            <w:sz w:val="24"/>
          </w:rPr>
          <w:t>701—2507.7</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introductory paragraph of rule </w:t>
      </w:r>
      <w:hyperlink r:id="rId30">
        <w:r>
          <w:rPr>
            <w:rStyle w:val="Hyperlink"/>
            <w:rFonts w:ascii="Times New Roman" w:hAnsi="Times New Roman"/>
            <w:b w:val="false"/>
            <w:i w:val="false"/>
            <w:color w:val="000000"/>
            <w:sz w:val="24"/>
          </w:rPr>
          <w:t>701—2507.8</w:t>
        </w:r>
      </w:hyperlink>
      <w:r>
        <w:rPr>
          <w:rFonts w:ascii="Times New Roman" w:hAnsi="Times New Roman"/>
          <w:b w:val="false"/>
          <w:i w:val="false"/>
          <w:color w:val="000000"/>
          <w:sz w:val="24"/>
        </w:rPr>
        <w:t xml:space="preserve">(17A) and </w:t>
      </w:r>
      <w:hyperlink r:id="rId31">
        <w:r>
          <w:rPr>
            <w:rStyle w:val="Hyperlink"/>
            <w:rFonts w:ascii="Times New Roman" w:hAnsi="Times New Roman"/>
            <w:b w:val="false"/>
            <w:i w:val="false"/>
            <w:color w:val="000000"/>
            <w:sz w:val="24"/>
          </w:rPr>
          <w:t>701—subrule 2507.8(6)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701—subrules </w:t>
      </w:r>
      <w:hyperlink r:id="rId32">
        <w:r>
          <w:rPr>
            <w:rStyle w:val="Hyperlink"/>
            <w:rFonts w:ascii="Times New Roman" w:hAnsi="Times New Roman"/>
            <w:b w:val="false"/>
            <w:i w:val="false"/>
            <w:color w:val="000000"/>
            <w:sz w:val="24"/>
          </w:rPr>
          <w:t>2507.11(1)</w:t>
        </w:r>
      </w:hyperlink>
      <w:r>
        <w:rPr>
          <w:rFonts w:ascii="Times New Roman" w:hAnsi="Times New Roman"/>
          <w:b w:val="false"/>
          <w:i w:val="false"/>
          <w:color w:val="000000"/>
          <w:sz w:val="24"/>
        </w:rPr>
        <w:t xml:space="preserve"> through </w:t>
      </w:r>
      <w:hyperlink r:id="rId33">
        <w:r>
          <w:rPr>
            <w:rStyle w:val="Hyperlink"/>
            <w:rFonts w:ascii="Times New Roman" w:hAnsi="Times New Roman"/>
            <w:b w:val="false"/>
            <w:i w:val="false"/>
            <w:color w:val="000000"/>
            <w:sz w:val="24"/>
          </w:rPr>
          <w:t>2507.11(3)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34">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(17A,421).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701—subrules </w:t>
      </w:r>
      <w:hyperlink r:id="rId35">
        <w:r>
          <w:rPr>
            <w:rStyle w:val="Hyperlink"/>
            <w:rFonts w:ascii="Times New Roman" w:hAnsi="Times New Roman"/>
            <w:b w:val="false"/>
            <w:i w:val="false"/>
            <w:color w:val="000000"/>
            <w:sz w:val="24"/>
          </w:rPr>
          <w:t>2507.14(1)</w:t>
        </w:r>
      </w:hyperlink>
      <w:r>
        <w:rPr>
          <w:rFonts w:ascii="Times New Roman" w:hAnsi="Times New Roman"/>
          <w:b w:val="false"/>
          <w:i w:val="false"/>
          <w:color w:val="000000"/>
          <w:sz w:val="24"/>
        </w:rPr>
        <w:t xml:space="preserve"> through </w:t>
      </w:r>
      <w:hyperlink r:id="rId36">
        <w:r>
          <w:rPr>
            <w:rStyle w:val="Hyperlink"/>
            <w:rFonts w:ascii="Times New Roman" w:hAnsi="Times New Roman"/>
            <w:b w:val="false"/>
            <w:i w:val="false"/>
            <w:color w:val="000000"/>
            <w:sz w:val="24"/>
          </w:rPr>
          <w:t>2507.14(3)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37">
        <w:r>
          <w:rPr>
            <w:rStyle w:val="Hyperlink"/>
            <w:rFonts w:ascii="Times New Roman" w:hAnsi="Times New Roman"/>
            <w:b w:val="false"/>
            <w:i w:val="false"/>
            <w:color w:val="000000"/>
            <w:sz w:val="24"/>
          </w:rPr>
          <w:t>701—2507.15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103.19(3)</w:t>
      </w:r>
      <w:r>
        <w:rPr>
          <w:rFonts w:ascii="Times New Roman" w:hAnsi="Times New Roman"/>
          <w:b w:val="false"/>
          <w:i w:val="false"/>
          <w:color w:val="000000"/>
          <w:sz w:val="24"/>
        </w:rPr>
        <w:t> </w:t>
      </w:r>
      <w:r>
        <w:rPr>
          <w:rFonts w:ascii="Times New Roman" w:hAnsi="Times New Roman"/>
          <w:b w:val="false"/>
          <w:i/>
          <w:color w:val="000000"/>
          <w:sz w:val="24"/>
        </w:rPr>
        <w:t xml:space="preserve">Presiding officer. </w:t>
      </w:r>
      <w:r>
        <w:rPr>
          <w:rFonts w:ascii="Times New Roman" w:hAnsi="Times New Roman"/>
          <w:b w:val="false"/>
          <w:i w:val="false"/>
          <w:color w:val="000000"/>
          <w:sz w:val="24"/>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103.19(4)</w:t>
      </w:r>
      <w:r>
        <w:rPr>
          <w:rFonts w:ascii="Times New Roman" w:hAnsi="Times New Roman"/>
          <w:b w:val="false"/>
          <w:i w:val="false"/>
          <w:color w:val="000000"/>
          <w:sz w:val="24"/>
        </w:rPr>
        <w:t> </w:t>
      </w:r>
      <w:r>
        <w:rPr>
          <w:rFonts w:ascii="Times New Roman" w:hAnsi="Times New Roman"/>
          <w:b w:val="false"/>
          <w:i/>
          <w:color w:val="000000"/>
          <w:sz w:val="24"/>
        </w:rPr>
        <w:t xml:space="preserve">Contents of the appeal. </w:t>
      </w:r>
      <w:r>
        <w:rPr>
          <w:rFonts w:ascii="Times New Roman" w:hAnsi="Times New Roman"/>
          <w:b w:val="false"/>
          <w:i w:val="false"/>
          <w:color w:val="000000"/>
          <w:sz w:val="24"/>
        </w:rPr>
        <w:t>The appeal shall contain the following in separate numbered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error alleged to have been committed, listed as a separate paragraph. For each error listed, an explanation of the error and all relevant facts related to the error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Reference to the particular statutes, rules, or agreement terms,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References to and copies of any documents or other evidence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matters deemed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statement setting forth 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signature, mailing address, and telephone number of the person or that person’s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103.19(5)</w:t>
      </w:r>
      <w:r>
        <w:rPr>
          <w:rFonts w:ascii="Times New Roman" w:hAnsi="Times New Roman"/>
          <w:b w:val="false"/>
          <w:i w:val="false"/>
          <w:color w:val="000000"/>
          <w:sz w:val="24"/>
        </w:rPr>
        <w:t> </w:t>
      </w:r>
      <w:r>
        <w:rPr>
          <w:rFonts w:ascii="Times New Roman" w:hAnsi="Times New Roman"/>
          <w:b w:val="false"/>
          <w:i/>
          <w:color w:val="000000"/>
          <w:sz w:val="24"/>
        </w:rPr>
        <w:t xml:space="preserve">Burden of proof. </w:t>
      </w:r>
      <w:r>
        <w:rPr>
          <w:rFonts w:ascii="Times New Roman" w:hAnsi="Times New Roman"/>
          <w:b w:val="false"/>
          <w:i w:val="false"/>
          <w:color w:val="000000"/>
          <w:sz w:val="24"/>
        </w:rPr>
        <w:t xml:space="preserve">The burden of proof is on the party challenging the director’s decision under subrule </w:t>
      </w:r>
      <w:hyperlink r:id="rId38">
        <w:r>
          <w:rPr>
            <w:rStyle w:val="Hyperlink"/>
            <w:rFonts w:ascii="Times New Roman" w:hAnsi="Times New Roman"/>
            <w:b w:val="false"/>
            <w:i w:val="false"/>
            <w:color w:val="000000"/>
            <w:sz w:val="24"/>
          </w:rPr>
          <w:t>103.15(4)</w:t>
        </w:r>
      </w:hyperlink>
      <w:r>
        <w:rPr>
          <w:rFonts w:ascii="Times New Roman" w:hAnsi="Times New Roman"/>
          <w:b w:val="false"/>
          <w:i w:val="false"/>
          <w:color w:val="000000"/>
          <w:sz w:val="24"/>
        </w:rPr>
        <w:t xml:space="preserve"> or </w:t>
      </w:r>
      <w:hyperlink r:id="rId39">
        <w:r>
          <w:rPr>
            <w:rStyle w:val="Hyperlink"/>
            <w:rFonts w:ascii="Times New Roman" w:hAnsi="Times New Roman"/>
            <w:b w:val="false"/>
            <w:i w:val="false"/>
            <w:color w:val="000000"/>
            <w:sz w:val="24"/>
          </w:rPr>
          <w:t>103.16(3)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0">
        <w:r>
          <w:rPr>
            <w:rStyle w:val="Hyperlink"/>
            <w:rFonts w:ascii="Times New Roman" w:hAnsi="Times New Roman"/>
            <w:b w:val="false"/>
            <w:i w:val="false"/>
            <w:color w:val="000000"/>
            <w:sz w:val="24"/>
          </w:rPr>
          <w:t>441.6(3)</w:t>
        </w:r>
      </w:hyperlink>
      <w:r>
        <w:rPr>
          <w:rFonts w:ascii="Times New Roman" w:hAnsi="Times New Roman"/>
          <w:b w:val="false"/>
          <w:i w:val="false"/>
          <w:color w:val="000000"/>
          <w:sz w:val="24"/>
        </w:rPr>
        <w:t xml:space="preserve"> and chapter </w:t>
      </w:r>
      <w:hyperlink r:id="rId4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701—103.20</w:t>
      </w:r>
      <w:r>
        <w:rPr>
          <w:rFonts w:ascii="Times New Roman" w:hAnsi="Times New Roman"/>
          <w:b w:val="false"/>
          <w:i w:val="false"/>
          <w:color w:val="000000"/>
          <w:sz w:val="24"/>
        </w:rPr>
        <w:t>(441):</w:t>
      </w:r>
    </w:p>
    <w:p>
      <w:pPr>
        <w:spacing w:before="0" w:after="0" w:line="480"/>
        <w:ind w:left="120"/>
        <w:jc w:val="both"/>
      </w:pPr>
      <w:r>
        <w:rPr>
          <w:rFonts w:ascii="Times New Roman" w:hAnsi="Times New Roman"/>
          <w:b/>
          <w:i w:val="false"/>
          <w:color w:val="000000"/>
          <w:sz w:val="24"/>
        </w:rPr>
        <w:t>701—103.20</w:t>
      </w:r>
      <w:r>
        <w:rPr>
          <w:rFonts w:ascii="Times New Roman" w:hAnsi="Times New Roman"/>
          <w:b/>
          <w:i w:val="false"/>
          <w:color w:val="000000"/>
          <w:sz w:val="24"/>
        </w:rPr>
        <w:t xml:space="preserve">(441) </w:t>
      </w:r>
      <w:r>
        <w:rPr>
          <w:rFonts w:ascii="Times New Roman" w:hAnsi="Times New Roman"/>
          <w:b/>
          <w:i w:val="false"/>
          <w:color w:val="000000"/>
          <w:sz w:val="24"/>
        </w:rPr>
        <w:t xml:space="preserve">Appeals and hearings regarding the director’s intent to remove a member of the board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103.20(1)</w:t>
      </w:r>
      <w:r>
        <w:rPr>
          <w:rFonts w:ascii="Times New Roman" w:hAnsi="Times New Roman"/>
          <w:b w:val="false"/>
          <w:i w:val="false"/>
          <w:color w:val="000000"/>
          <w:sz w:val="24"/>
        </w:rPr>
        <w:t> </w:t>
      </w:r>
      <w:r>
        <w:rPr>
          <w:rFonts w:ascii="Times New Roman" w:hAnsi="Times New Roman"/>
          <w:b w:val="false"/>
          <w:i/>
          <w:color w:val="000000"/>
          <w:sz w:val="24"/>
        </w:rPr>
        <w:t xml:space="preserve">Written request for hearing. </w:t>
      </w:r>
      <w:r>
        <w:rPr>
          <w:rFonts w:ascii="Times New Roman" w:hAnsi="Times New Roman"/>
          <w:b w:val="false"/>
          <w:i w:val="false"/>
          <w:color w:val="000000"/>
          <w:sz w:val="24"/>
        </w:rPr>
        <w:t>A member of the board of review who has received a notice of intent to remove the member of the board of review from the director and who wishes to contest the removal shall file a written request for a hearing within 30 days after the receipt of the notice of the director’s intent to remove the member of the board of review. Any person who does not seek a hearing within 30 days of receipt of the notice of the director’s intent to remove shall be precluded from challenging the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103.20(2)</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r>
        <w:rPr>
          <w:rFonts w:ascii="Times New Roman" w:hAnsi="Times New Roman"/>
          <w:b w:val="false"/>
          <w:i w:val="false"/>
          <w:color w:val="000000"/>
          <w:sz w:val="24"/>
        </w:rPr>
        <w:t>Hearings will be governed by the procedures set forth in this rule together with the procedures set forth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42">
        <w:r>
          <w:rPr>
            <w:rStyle w:val="Hyperlink"/>
            <w:rFonts w:ascii="Times New Roman" w:hAnsi="Times New Roman"/>
            <w:b w:val="false"/>
            <w:i w:val="false"/>
            <w:color w:val="000000"/>
            <w:sz w:val="24"/>
          </w:rPr>
          <w:t>7—2506.4(17A)</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7—2506.5(17A)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44">
        <w:r>
          <w:rPr>
            <w:rStyle w:val="Hyperlink"/>
            <w:rFonts w:ascii="Times New Roman" w:hAnsi="Times New Roman"/>
            <w:b w:val="false"/>
            <w:i w:val="false"/>
            <w:color w:val="000000"/>
            <w:sz w:val="24"/>
          </w:rPr>
          <w:t>7—2506.12(17A)</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7—2506.14(17A)</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7—2506.15(17A)</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7—2506.20(17A)</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7—2506.22(17A)</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7—2506.25(17A)</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7—2506.27(17A)</w:t>
        </w:r>
      </w:hyperlink>
      <w:r>
        <w:rPr>
          <w:rFonts w:ascii="Times New Roman" w:hAnsi="Times New Roman"/>
          <w:b w:val="false"/>
          <w:i w:val="false"/>
          <w:color w:val="000000"/>
          <w:sz w:val="24"/>
        </w:rPr>
        <w:t xml:space="preserve">; additionally, Iowa Code section </w:t>
      </w:r>
      <w:hyperlink r:id="rId51">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 xml:space="preserve"> shall not apply; and rules </w:t>
      </w:r>
      <w:hyperlink r:id="rId52">
        <w:r>
          <w:rPr>
            <w:rStyle w:val="Hyperlink"/>
            <w:rFonts w:ascii="Times New Roman" w:hAnsi="Times New Roman"/>
            <w:b w:val="false"/>
            <w:i w:val="false"/>
            <w:color w:val="000000"/>
            <w:sz w:val="24"/>
          </w:rPr>
          <w:t>7—2506.10(17A)</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7—2506.29(17A)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54">
        <w:r>
          <w:rPr>
            <w:rStyle w:val="Hyperlink"/>
            <w:rFonts w:ascii="Times New Roman" w:hAnsi="Times New Roman"/>
            <w:b w:val="false"/>
            <w:i w:val="false"/>
            <w:color w:val="000000"/>
            <w:sz w:val="24"/>
          </w:rPr>
          <w:t>7—2506.16(17A)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55">
        <w:r>
          <w:rPr>
            <w:rStyle w:val="Hyperlink"/>
            <w:rFonts w:ascii="Times New Roman" w:hAnsi="Times New Roman"/>
            <w:b w:val="false"/>
            <w:i w:val="false"/>
            <w:color w:val="000000"/>
            <w:sz w:val="24"/>
          </w:rPr>
          <w:t>7—2506.19(17A)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Rules </w:t>
      </w:r>
      <w:hyperlink r:id="rId56">
        <w:r>
          <w:rPr>
            <w:rStyle w:val="Hyperlink"/>
            <w:rFonts w:ascii="Times New Roman" w:hAnsi="Times New Roman"/>
            <w:b w:val="false"/>
            <w:i w:val="false"/>
            <w:color w:val="000000"/>
            <w:sz w:val="24"/>
          </w:rPr>
          <w:t>7—2506.21(17A)</w:t>
        </w:r>
      </w:hyperlink>
      <w:r>
        <w:rPr>
          <w:rFonts w:ascii="Times New Roman" w:hAnsi="Times New Roman"/>
          <w:b w:val="false"/>
          <w:i w:val="false"/>
          <w:color w:val="000000"/>
          <w:sz w:val="24"/>
        </w:rPr>
        <w:t xml:space="preserve"> and </w:t>
      </w:r>
      <w:hyperlink r:id="rId57">
        <w:r>
          <w:rPr>
            <w:rStyle w:val="Hyperlink"/>
            <w:rFonts w:ascii="Times New Roman" w:hAnsi="Times New Roman"/>
            <w:b w:val="false"/>
            <w:i w:val="false"/>
            <w:color w:val="000000"/>
            <w:sz w:val="24"/>
          </w:rPr>
          <w:t>7—2506.24(17A)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58">
        <w:r>
          <w:rPr>
            <w:rStyle w:val="Hyperlink"/>
            <w:rFonts w:ascii="Times New Roman" w:hAnsi="Times New Roman"/>
            <w:b w:val="false"/>
            <w:i w:val="false"/>
            <w:color w:val="000000"/>
            <w:sz w:val="24"/>
          </w:rPr>
          <w:t>7—2506.28(17A)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59">
        <w:r>
          <w:rPr>
            <w:rStyle w:val="Hyperlink"/>
            <w:rFonts w:ascii="Times New Roman" w:hAnsi="Times New Roman"/>
            <w:b w:val="false"/>
            <w:i w:val="false"/>
            <w:color w:val="000000"/>
            <w:sz w:val="24"/>
          </w:rPr>
          <w:t>701—2507.7</w:t>
        </w:r>
      </w:hyperlink>
      <w:r>
        <w:rPr>
          <w:rFonts w:ascii="Times New Roman" w:hAnsi="Times New Roman"/>
          <w:b w:val="false"/>
          <w:i w:val="false"/>
          <w:color w:val="000000"/>
          <w:sz w:val="24"/>
        </w:rPr>
        <w:t xml:space="preserve">(17A) and </w:t>
      </w:r>
      <w:hyperlink r:id="rId60">
        <w:r>
          <w:rPr>
            <w:rStyle w:val="Hyperlink"/>
            <w:rFonts w:ascii="Times New Roman" w:hAnsi="Times New Roman"/>
            <w:b w:val="false"/>
            <w:i w:val="false"/>
            <w:color w:val="000000"/>
            <w:sz w:val="24"/>
          </w:rPr>
          <w:t>701—subrule 2507.8(6)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hyperlink r:id="rId61">
        <w:r>
          <w:rPr>
            <w:rStyle w:val="Hyperlink"/>
            <w:rFonts w:ascii="Times New Roman" w:hAnsi="Times New Roman"/>
            <w:b w:val="false"/>
            <w:i w:val="false"/>
            <w:color w:val="000000"/>
            <w:sz w:val="24"/>
          </w:rPr>
          <w:t>701—subrule 2507.8(1)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2">
        <w:r>
          <w:rPr>
            <w:rStyle w:val="Hyperlink"/>
            <w:rFonts w:ascii="Times New Roman" w:hAnsi="Times New Roman"/>
            <w:b w:val="false"/>
            <w:i w:val="false"/>
            <w:color w:val="000000"/>
            <w:sz w:val="24"/>
          </w:rPr>
          <w:t>701—2507.9</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701—subrules </w:t>
      </w:r>
      <w:hyperlink r:id="rId63">
        <w:r>
          <w:rPr>
            <w:rStyle w:val="Hyperlink"/>
            <w:rFonts w:ascii="Times New Roman" w:hAnsi="Times New Roman"/>
            <w:b w:val="false"/>
            <w:i w:val="false"/>
            <w:color w:val="000000"/>
            <w:sz w:val="24"/>
          </w:rPr>
          <w:t>2507.11(1)</w:t>
        </w:r>
      </w:hyperlink>
      <w:r>
        <w:rPr>
          <w:rFonts w:ascii="Times New Roman" w:hAnsi="Times New Roman"/>
          <w:b w:val="false"/>
          <w:i w:val="false"/>
          <w:color w:val="000000"/>
          <w:sz w:val="24"/>
        </w:rPr>
        <w:t xml:space="preserve"> through </w:t>
      </w:r>
      <w:hyperlink r:id="rId64">
        <w:r>
          <w:rPr>
            <w:rStyle w:val="Hyperlink"/>
            <w:rFonts w:ascii="Times New Roman" w:hAnsi="Times New Roman"/>
            <w:b w:val="false"/>
            <w:i w:val="false"/>
            <w:color w:val="000000"/>
            <w:sz w:val="24"/>
          </w:rPr>
          <w:t>2507.11(3)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5">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(17A,421).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6">
        <w:r>
          <w:rPr>
            <w:rStyle w:val="Hyperlink"/>
            <w:rFonts w:ascii="Times New Roman" w:hAnsi="Times New Roman"/>
            <w:b w:val="false"/>
            <w:i w:val="false"/>
            <w:color w:val="000000"/>
            <w:sz w:val="24"/>
          </w:rPr>
          <w:t>701—2507.14</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Rule </w:t>
      </w:r>
      <w:hyperlink r:id="rId67">
        <w:r>
          <w:rPr>
            <w:rStyle w:val="Hyperlink"/>
            <w:rFonts w:ascii="Times New Roman" w:hAnsi="Times New Roman"/>
            <w:b w:val="false"/>
            <w:i w:val="false"/>
            <w:color w:val="000000"/>
            <w:sz w:val="24"/>
          </w:rPr>
          <w:t>701—2507.15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103.20(3)</w:t>
      </w:r>
      <w:r>
        <w:rPr>
          <w:rFonts w:ascii="Times New Roman" w:hAnsi="Times New Roman"/>
          <w:b w:val="false"/>
          <w:i w:val="false"/>
          <w:color w:val="000000"/>
          <w:sz w:val="24"/>
        </w:rPr>
        <w:t> </w:t>
      </w:r>
      <w:r>
        <w:rPr>
          <w:rFonts w:ascii="Times New Roman" w:hAnsi="Times New Roman"/>
          <w:b w:val="false"/>
          <w:i/>
          <w:color w:val="000000"/>
          <w:sz w:val="24"/>
        </w:rPr>
        <w:t xml:space="preserve">Presiding officer. </w:t>
      </w:r>
      <w:r>
        <w:rPr>
          <w:rFonts w:ascii="Times New Roman" w:hAnsi="Times New Roman"/>
          <w:b w:val="false"/>
          <w:i w:val="false"/>
          <w:color w:val="000000"/>
          <w:sz w:val="24"/>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103.20(4)</w:t>
      </w:r>
      <w:r>
        <w:rPr>
          <w:rFonts w:ascii="Times New Roman" w:hAnsi="Times New Roman"/>
          <w:b w:val="false"/>
          <w:i w:val="false"/>
          <w:color w:val="000000"/>
          <w:sz w:val="24"/>
        </w:rPr>
        <w:t> </w:t>
      </w:r>
      <w:r>
        <w:rPr>
          <w:rFonts w:ascii="Times New Roman" w:hAnsi="Times New Roman"/>
          <w:b w:val="false"/>
          <w:i/>
          <w:color w:val="000000"/>
          <w:sz w:val="24"/>
        </w:rPr>
        <w:t xml:space="preserve">Contents of the appeal. </w:t>
      </w:r>
      <w:r>
        <w:rPr>
          <w:rFonts w:ascii="Times New Roman" w:hAnsi="Times New Roman"/>
          <w:b w:val="false"/>
          <w:i w:val="false"/>
          <w:color w:val="000000"/>
          <w:sz w:val="24"/>
        </w:rPr>
        <w:t>The appeal shall contain the following in separate numbered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statement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of the department action giving rise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Each error alleged to have been committed, listed as a separate paragraph. For each error listed, an explanation of the error and all relevant facts related to the error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Reference to the particular statutes, rules, or agreement terms,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References to and copies of any documents or other evidence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matters deemed relevant to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statement setting forth 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signature, mailing address, and telephone number of the person or that person’s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103.20(5)</w:t>
      </w:r>
      <w:r>
        <w:rPr>
          <w:rFonts w:ascii="Times New Roman" w:hAnsi="Times New Roman"/>
          <w:b w:val="false"/>
          <w:i w:val="false"/>
          <w:color w:val="000000"/>
          <w:sz w:val="24"/>
        </w:rPr>
        <w:t> </w:t>
      </w:r>
      <w:r>
        <w:rPr>
          <w:rFonts w:ascii="Times New Roman" w:hAnsi="Times New Roman"/>
          <w:b w:val="false"/>
          <w:i/>
          <w:color w:val="000000"/>
          <w:sz w:val="24"/>
        </w:rPr>
        <w:t xml:space="preserve">Burden of proof. </w:t>
      </w:r>
      <w:r>
        <w:rPr>
          <w:rFonts w:ascii="Times New Roman" w:hAnsi="Times New Roman"/>
          <w:b w:val="false"/>
          <w:i w:val="false"/>
          <w:color w:val="000000"/>
          <w:sz w:val="24"/>
        </w:rPr>
        <w:t>The burden of proof is on the party challenging the director’s intent to remove a board member.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8">
        <w:r>
          <w:rPr>
            <w:rStyle w:val="Hyperlink"/>
            <w:rFonts w:ascii="Times New Roman" w:hAnsi="Times New Roman"/>
            <w:b w:val="false"/>
            <w:i w:val="false"/>
            <w:color w:val="000000"/>
            <w:sz w:val="24"/>
          </w:rPr>
          <w:t>441.32(2)</w:t>
        </w:r>
      </w:hyperlink>
      <w:r>
        <w:rPr>
          <w:rFonts w:ascii="Times New Roman" w:hAnsi="Times New Roman"/>
          <w:b w:val="false"/>
          <w:i/>
          <w:color w:val="000000"/>
          <w:sz w:val="24"/>
        </w:rPr>
        <w:t>“e”</w:t>
      </w:r>
      <w:r>
        <w:rPr>
          <w:rFonts w:ascii="Times New Roman" w:hAnsi="Times New Roman"/>
          <w:b w:val="false"/>
          <w:i w:val="false"/>
          <w:color w:val="000000"/>
          <w:sz w:val="24"/>
        </w:rPr>
        <w:t xml:space="preserve"> and chapter </w:t>
      </w:r>
      <w:hyperlink r:id="rId6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201.10(3)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201.10(3)</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The department will provide notice of a sales permit denial </w:t>
      </w:r>
      <w:r>
        <w:rPr>
          <w:rFonts w:ascii="Times New Roman" w:hAnsi="Times New Roman"/>
          <w:b w:val="false"/>
          <w:i w:val="false"/>
          <w:strike/>
          <w:color w:val="000000"/>
          <w:sz w:val="24"/>
        </w:rPr>
        <w:t xml:space="preserve">according to </w:t>
      </w:r>
      <w:hyperlink r:id="rId70">
        <w:r>
          <w:rPr>
            <w:rStyle w:val="Hyperlink"/>
            <w:rFonts w:ascii="Times New Roman" w:hAnsi="Times New Roman"/>
            <w:b w:val="false"/>
            <w:i w:val="false"/>
            <w:strike/>
            <w:color w:val="000000"/>
            <w:sz w:val="24"/>
          </w:rPr>
          <w:t>701—subrule 7.26(2)</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notice will contain a statement of facts or conduct and the provisions of law that warrant the denial of the license or the refusal to renew a license. The notice will provide the licensee or applicant with 30 days to request a hearing and information about how to contact the department to make such a request.</w:t>
      </w:r>
      <w:r>
        <w:rPr>
          <w:rFonts w:ascii="Times New Roman" w:hAnsi="Times New Roman"/>
          <w:b w:val="false"/>
          <w:i w:val="false"/>
          <w:color w:val="000000"/>
          <w:sz w:val="24"/>
        </w:rPr>
        <w:t>  Any request for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hearing or contested case of the department’s intent to deny a sales tax permit application is governed by rule </w:t>
      </w:r>
      <w:hyperlink r:id="rId71">
        <w:r>
          <w:rPr>
            <w:rStyle w:val="Hyperlink"/>
            <w:rFonts w:ascii="Times New Roman" w:hAnsi="Times New Roman"/>
            <w:b w:val="false"/>
            <w:i w:val="false"/>
            <w:strike/>
            <w:color w:val="000000"/>
            <w:sz w:val="24"/>
          </w:rPr>
          <w:t>701—7.15</w:t>
        </w:r>
      </w:hyperlink>
      <w:r>
        <w:rPr>
          <w:rFonts w:ascii="Times New Roman" w:hAnsi="Times New Roman"/>
          <w:b w:val="false"/>
          <w:i w:val="false"/>
          <w:strike/>
          <w:color w:val="000000"/>
          <w:sz w:val="24"/>
        </w:rPr>
        <w:t>(17A)</w:t>
      </w:r>
      <w:r>
        <w:rPr>
          <w:rFonts w:ascii="Times New Roman" w:hAnsi="Times New Roman"/>
          <w:b w:val="false"/>
          <w:i w:val="false"/>
          <w:color w:val="000000"/>
          <w:sz w:val="24"/>
          <w:u w:val="single"/>
        </w:rPr>
        <w:t> </w:t>
      </w:r>
      <w:hyperlink r:id="rId72">
        <w:r>
          <w:rPr>
            <w:rStyle w:val="Hyperlink"/>
            <w:rFonts w:ascii="Times New Roman" w:hAnsi="Times New Roman"/>
            <w:b w:val="false"/>
            <w:i w:val="false"/>
            <w:color w:val="000000"/>
            <w:sz w:val="24"/>
            <w:u w:val="single"/>
          </w:rPr>
          <w:t>701—2506.4(17A)</w:t>
        </w:r>
      </w:hyperlink>
      <w:r>
        <w:rPr>
          <w:rFonts w:ascii="Times New Roman" w:hAnsi="Times New Roman"/>
          <w:b w:val="false"/>
          <w:i w:val="false"/>
          <w:color w:val="000000"/>
          <w:sz w:val="24"/>
          <w:u w:val="single"/>
        </w:rPr>
        <w:t xml:space="preserve">, </w:t>
      </w:r>
      <w:r>
        <w:rPr>
          <w:rFonts w:ascii="Times New Roman" w:hAnsi="Times New Roman"/>
          <w:b w:val="false"/>
          <w:i w:val="false"/>
          <w:color w:val="000000"/>
          <w:sz w:val="24"/>
        </w:rPr>
        <w:t xml:space="preserve">and the contested rules in </w:t>
      </w:r>
      <w:hyperlink r:id="rId73">
        <w:r>
          <w:rPr>
            <w:rStyle w:val="Hyperlink"/>
            <w:rFonts w:ascii="Times New Roman" w:hAnsi="Times New Roman"/>
            <w:b w:val="false"/>
            <w:i w:val="false"/>
            <w:strike/>
            <w:color w:val="000000"/>
            <w:sz w:val="24"/>
          </w:rPr>
          <w:t>701—Chapter 7</w:t>
        </w:r>
      </w:hyperlink>
      <w:r>
        <w:rPr>
          <w:rFonts w:ascii="Times New Roman" w:hAnsi="Times New Roman"/>
          <w:b w:val="false"/>
          <w:i w:val="false"/>
          <w:color w:val="000000"/>
          <w:sz w:val="24"/>
          <w:u w:val="single"/>
        </w:rPr>
        <w:t> </w:t>
      </w:r>
      <w:hyperlink r:id="rId74">
        <w:r>
          <w:rPr>
            <w:rStyle w:val="Hyperlink"/>
            <w:rFonts w:ascii="Times New Roman" w:hAnsi="Times New Roman"/>
            <w:b w:val="false"/>
            <w:i w:val="false"/>
            <w:color w:val="000000"/>
            <w:sz w:val="24"/>
            <w:u w:val="single"/>
          </w:rPr>
          <w:t>7—Chapter 2506</w:t>
        </w:r>
      </w:hyperlink>
      <w:r>
        <w:rPr>
          <w:rFonts w:ascii="Times New Roman" w:hAnsi="Times New Roman"/>
          <w:b w:val="false"/>
          <w:i w:val="false"/>
          <w:color w:val="000000"/>
          <w:sz w:val="24"/>
          <w:u w:val="single"/>
        </w:rPr>
        <w:t xml:space="preserve"> and </w:t>
      </w:r>
      <w:hyperlink r:id="rId75">
        <w:r>
          <w:rPr>
            <w:rStyle w:val="Hyperlink"/>
            <w:rFonts w:ascii="Times New Roman" w:hAnsi="Times New Roman"/>
            <w:b w:val="false"/>
            <w:i w:val="false"/>
            <w:color w:val="000000"/>
            <w:sz w:val="24"/>
            <w:u w:val="single"/>
          </w:rPr>
          <w:t>701—Chapter 2506</w:t>
        </w:r>
      </w:hyperlink>
      <w:r>
        <w:rPr>
          <w:rFonts w:ascii="Times New Roman" w:hAnsi="Times New Roman"/>
          <w:b w:val="false"/>
          <w:i w:val="false"/>
          <w:color w:val="000000"/>
          <w:sz w:val="24"/>
          <w:u w:val="single"/>
        </w:rPr>
        <w:t xml:space="preserve"> shall apply</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230.6(1)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230.6(1)</w:t>
      </w:r>
      <w:r>
        <w:rPr>
          <w:rFonts w:ascii="Times New Roman" w:hAnsi="Times New Roman"/>
          <w:b w:val="false"/>
          <w:i w:val="false"/>
          <w:color w:val="000000"/>
          <w:sz w:val="24"/>
        </w:rPr>
        <w:t> </w:t>
      </w:r>
      <w:r>
        <w:rPr>
          <w:rFonts w:ascii="Times New Roman" w:hAnsi="Times New Roman"/>
          <w:b w:val="false"/>
          <w:i/>
          <w:color w:val="000000"/>
          <w:sz w:val="24"/>
        </w:rPr>
        <w:t xml:space="preserve">Revocation by the department. </w:t>
      </w:r>
      <w:r>
        <w:rPr>
          <w:rFonts w:ascii="Times New Roman" w:hAnsi="Times New Roman"/>
          <w:b w:val="false"/>
          <w:i w:val="false"/>
          <w:color w:val="000000"/>
          <w:sz w:val="24"/>
        </w:rPr>
        <w:t xml:space="preserve">Any permit revocation by the department under Iowa Code chapter </w:t>
      </w:r>
      <w:hyperlink r:id="rId76">
        <w:r>
          <w:rPr>
            <w:rStyle w:val="Hyperlink"/>
            <w:rFonts w:ascii="Times New Roman" w:hAnsi="Times New Roman"/>
            <w:b w:val="false"/>
            <w:i w:val="false"/>
            <w:color w:val="000000"/>
            <w:sz w:val="24"/>
          </w:rPr>
          <w:t>453A</w:t>
        </w:r>
      </w:hyperlink>
      <w:r>
        <w:rPr>
          <w:rFonts w:ascii="Times New Roman" w:hAnsi="Times New Roman"/>
          <w:b w:val="false"/>
          <w:i w:val="false"/>
          <w:color w:val="000000"/>
          <w:sz w:val="24"/>
        </w:rPr>
        <w:t xml:space="preserve"> and this rule is subject to the requirements of </w:t>
      </w:r>
      <w:r>
        <w:rPr>
          <w:rFonts w:ascii="Times New Roman" w:hAnsi="Times New Roman"/>
          <w:b w:val="false"/>
          <w:i w:val="false"/>
          <w:strike/>
          <w:color w:val="000000"/>
          <w:sz w:val="24"/>
        </w:rPr>
        <w:t>rules</w:t>
      </w:r>
      <w:r>
        <w:rPr>
          <w:rFonts w:ascii="Times New Roman" w:hAnsi="Times New Roman"/>
          <w:b w:val="false"/>
          <w:i w:val="false"/>
          <w:color w:val="000000"/>
          <w:sz w:val="24"/>
        </w:rPr>
        <w:t xml:space="preserve"> </w:t>
      </w:r>
      <w:hyperlink r:id="rId77">
        <w:r>
          <w:rPr>
            <w:rStyle w:val="Hyperlink"/>
            <w:rFonts w:ascii="Times New Roman" w:hAnsi="Times New Roman"/>
            <w:b w:val="false"/>
            <w:i w:val="false"/>
            <w:strike/>
            <w:color w:val="000000"/>
            <w:sz w:val="24"/>
          </w:rPr>
          <w:t>701—7.19</w:t>
        </w:r>
      </w:hyperlink>
      <w:r>
        <w:rPr>
          <w:rFonts w:ascii="Times New Roman" w:hAnsi="Times New Roman"/>
          <w:b w:val="false"/>
          <w:i w:val="false"/>
          <w:strike/>
          <w:color w:val="000000"/>
          <w:sz w:val="24"/>
        </w:rPr>
        <w:t xml:space="preserve">(17A) and </w:t>
      </w:r>
      <w:hyperlink r:id="rId78">
        <w:r>
          <w:rPr>
            <w:rStyle w:val="Hyperlink"/>
            <w:rFonts w:ascii="Times New Roman" w:hAnsi="Times New Roman"/>
            <w:b w:val="false"/>
            <w:i w:val="false"/>
            <w:strike/>
            <w:color w:val="000000"/>
            <w:sz w:val="24"/>
          </w:rPr>
          <w:t>701—7.39</w:t>
        </w:r>
      </w:hyperlink>
      <w:r>
        <w:rPr>
          <w:rFonts w:ascii="Times New Roman" w:hAnsi="Times New Roman"/>
          <w:b w:val="false"/>
          <w:i w:val="false"/>
          <w:strike/>
          <w:color w:val="000000"/>
          <w:sz w:val="24"/>
        </w:rPr>
        <w:t>(17A)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7—Chapter </w:t>
      </w:r>
      <w:hyperlink r:id="rId79">
        <w:r>
          <w:rPr>
            <w:rStyle w:val="Hyperlink"/>
            <w:rFonts w:ascii="Times New Roman" w:hAnsi="Times New Roman"/>
            <w:b w:val="false"/>
            <w:i w:val="false"/>
            <w:color w:val="000000"/>
            <w:sz w:val="24"/>
            <w:u w:val="single"/>
          </w:rPr>
          <w:t>2506</w:t>
        </w:r>
      </w:hyperlink>
      <w:r>
        <w:rPr>
          <w:rFonts w:ascii="Times New Roman" w:hAnsi="Times New Roman"/>
          <w:b w:val="false"/>
          <w:i w:val="false"/>
          <w:color w:val="000000"/>
          <w:sz w:val="24"/>
          <w:u w:val="single"/>
        </w:rPr>
        <w:t xml:space="preserve"> and </w:t>
      </w:r>
      <w:hyperlink r:id="rId80">
        <w:r>
          <w:rPr>
            <w:rStyle w:val="Hyperlink"/>
            <w:rFonts w:ascii="Times New Roman" w:hAnsi="Times New Roman"/>
            <w:b w:val="false"/>
            <w:i w:val="false"/>
            <w:color w:val="000000"/>
            <w:sz w:val="24"/>
            <w:u w:val="single"/>
          </w:rPr>
          <w:t>701</w:t>
        </w:r>
      </w:hyperlink>
      <w:r>
        <w:rPr>
          <w:rFonts w:ascii="Times New Roman" w:hAnsi="Times New Roman"/>
          <w:b w:val="false"/>
          <w:i w:val="false"/>
          <w:color w:val="000000"/>
          <w:sz w:val="24"/>
          <w:u w:val="single"/>
        </w:rPr>
        <w:t xml:space="preserve">—Chapter </w:t>
      </w:r>
      <w:hyperlink r:id="rId81">
        <w:r>
          <w:rPr>
            <w:rStyle w:val="Hyperlink"/>
            <w:rFonts w:ascii="Times New Roman" w:hAnsi="Times New Roman"/>
            <w:b w:val="false"/>
            <w:i w:val="false"/>
            <w:color w:val="000000"/>
            <w:sz w:val="24"/>
            <w:u w:val="single"/>
          </w:rPr>
          <w:t>2506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260.10(4)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260.10(4)</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 xml:space="preserve">Any permit revocation by the department under Iowa Code chapter </w:t>
      </w:r>
      <w:hyperlink r:id="rId82">
        <w:r>
          <w:rPr>
            <w:rStyle w:val="Hyperlink"/>
            <w:rFonts w:ascii="Times New Roman" w:hAnsi="Times New Roman"/>
            <w:b w:val="false"/>
            <w:i w:val="false"/>
            <w:color w:val="000000"/>
            <w:sz w:val="24"/>
          </w:rPr>
          <w:t>453A</w:t>
        </w:r>
      </w:hyperlink>
      <w:r>
        <w:rPr>
          <w:rFonts w:ascii="Times New Roman" w:hAnsi="Times New Roman"/>
          <w:b w:val="false"/>
          <w:i w:val="false"/>
          <w:color w:val="000000"/>
          <w:sz w:val="24"/>
        </w:rPr>
        <w:t xml:space="preserve"> and this rule is subject to the requirements of 7—Chapter </w:t>
      </w:r>
      <w:hyperlink r:id="rId83">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and </w:t>
      </w:r>
      <w:hyperlink r:id="rId84">
        <w:r>
          <w:rPr>
            <w:rStyle w:val="Hyperlink"/>
            <w:rFonts w:ascii="Times New Roman" w:hAnsi="Times New Roman"/>
            <w:b w:val="false"/>
            <w:i w:val="false"/>
            <w:color w:val="000000"/>
            <w:sz w:val="24"/>
          </w:rPr>
          <w:t>701</w:t>
        </w:r>
      </w:hyperlink>
      <w:r>
        <w:rPr>
          <w:rFonts w:ascii="Times New Roman" w:hAnsi="Times New Roman"/>
          <w:b w:val="false"/>
          <w:i w:val="false"/>
          <w:color w:val="000000"/>
          <w:sz w:val="24"/>
        </w:rPr>
        <w:t xml:space="preserve">—Chapter </w:t>
      </w:r>
      <w:hyperlink r:id="rId85">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701—Chapter 2502</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2502</w:t>
      </w:r>
    </w:p>
    <w:p>
      <w:pPr>
        <w:spacing w:before="0" w:after="0" w:line="480"/>
        <w:ind w:left="120"/>
        <w:jc w:val="center"/>
      </w:pPr>
      <w:r>
        <w:rPr>
          <w:rFonts w:ascii="Times New Roman" w:hAnsi="Times New Roman"/>
          <w:b w:val="false"/>
          <w:i w:val="false"/>
          <w:color w:val="000000"/>
          <w:sz w:val="21"/>
        </w:rPr>
        <w:t>PETITIONS FOR RULEMAKING</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86">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87">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88">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701—2502.1</w:t>
      </w:r>
      <w:r>
        <w:rPr>
          <w:rFonts w:ascii="Times New Roman" w:hAnsi="Times New Roman"/>
          <w:b/>
          <w:i w:val="false"/>
          <w:color w:val="000000"/>
          <w:sz w:val="24"/>
        </w:rPr>
        <w:t xml:space="preserve">(17A) </w:t>
      </w:r>
      <w:r>
        <w:rPr>
          <w:rFonts w:ascii="Times New Roman" w:hAnsi="Times New Roman"/>
          <w:b/>
          <w:i w:val="false"/>
          <w:color w:val="000000"/>
          <w:sz w:val="24"/>
        </w:rPr>
        <w:t xml:space="preserve">Requesting rules be made. </w:t>
      </w:r>
      <w:r>
        <w:rPr>
          <w:rFonts w:ascii="Times New Roman" w:hAnsi="Times New Roman"/>
          <w:b w:val="false"/>
          <w:i w:val="false"/>
          <w:color w:val="000000"/>
          <w:sz w:val="24"/>
        </w:rPr>
        <w:t>Any person may file a petition for rulemaking with the agency by submitting an original petition for rulemaking to the agency at the agency’s address or agency’s email. The petition is considered filed when received at either address. The agency will provide the petitioner with a file-stamped copy of the petition upon request. 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none"/>
          <w:right w:val="none"/>
          <w:insideH w:val="none"/>
          <w:insideV w:val="none"/>
        </w:tblBorders>
      </w:tblPr>
      <w:tblGrid>
        <w:gridCol w:w="5376"/>
        <w:gridCol w:w="537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[AGENCY NAME]</w:t>
            </w:r>
          </w:p>
        </w:tc>
      </w:tr>
      <w:tr>
        <w:trPr>
          <w:trHeight w:val="2445" w:hRule="atLeast"/>
        </w:trPr>
        <w:tc>
          <w:tcPr>
            <w:tcW w:w="5376"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Petition by [name of petitioner] for the </w:t>
            </w:r>
            <w:r>
              <w:br/>
            </w:r>
            <w:r>
              <w:rPr>
                <w:rFonts w:ascii="Times New Roman" w:hAnsi="Times New Roman"/>
                <w:b w:val="false"/>
                <w:i w:val="false"/>
                <w:color w:val="000000"/>
                <w:sz w:val="24"/>
              </w:rPr>
              <w:t xml:space="preserve">[adoption, amendment, or rescission] of </w:t>
            </w:r>
            <w:r>
              <w:br/>
            </w:r>
            <w:r>
              <w:rPr>
                <w:rFonts w:ascii="Times New Roman" w:hAnsi="Times New Roman"/>
                <w:b w:val="false"/>
                <w:i w:val="false"/>
                <w:color w:val="000000"/>
                <w:sz w:val="24"/>
              </w:rPr>
              <w:t>rules relating to [state subject matter].</w:t>
            </w:r>
          </w:p>
          <w:p>
            <w:pPr>
              <w:spacing w:before="0" w:after="0" w:line="480"/>
              <w:ind w:left="160"/>
              <w:jc w:val="left"/>
            </w:pPr>
            <w:r>
              <w:rPr>
                <w:rFonts w:ascii="Times New Roman" w:hAnsi="Times New Roman"/>
                <w:b w:val="false"/>
                <w:i w:val="false"/>
                <w:color w:val="000000"/>
                <w:sz w:val="24"/>
              </w:rPr>
              <w:t> </w:t>
            </w:r>
          </w:p>
        </w:tc>
        <w:tc>
          <w:tcPr>
            <w:tcW w:w="5376"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RULEMAKING</w:t>
            </w:r>
          </w:p>
        </w:tc>
      </w:tr>
    </w:tbl>
    <w:p>
      <w:pPr>
        <w:spacing w:before="0" w:after="0" w:line="480"/>
        <w:ind w:left="120"/>
        <w:jc w:val="both"/>
      </w:pPr>
      <w:r>
        <w:rPr>
          <w:rFonts w:ascii="Times New Roman" w:hAnsi="Times New Roman"/>
          <w:b w:val="false"/>
          <w:i w:val="false"/>
          <w:color w:val="000000"/>
          <w:sz w:val="24"/>
        </w:rPr>
        <w:t>Petitioners are obligated to provide the following information in the petition:</w:t>
      </w:r>
    </w:p>
    <w:p>
      <w:pPr>
        <w:spacing w:before="0" w:after="0" w:line="480"/>
        <w:ind w:left="120"/>
        <w:jc w:val="both"/>
      </w:pPr>
      <w:r>
        <w:rPr>
          <w:rFonts w:ascii="Times New Roman" w:hAnsi="Times New Roman"/>
          <w:b w:val="false"/>
          <w:i w:val="false"/>
          <w:color w:val="000000"/>
          <w:sz w:val="24"/>
        </w:rPr>
        <w:t>7. Any other matters deemed relevant that are not covered by the above requirements.</w:t>
      </w:r>
    </w:p>
    <w:p>
      <w:pPr>
        <w:spacing w:before="0" w:after="0" w:line="480"/>
        <w:ind w:left="120"/>
        <w:jc w:val="left"/>
      </w:pP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701—Chapter 2503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2503</w:t>
      </w:r>
    </w:p>
    <w:p>
      <w:pPr>
        <w:spacing w:before="0" w:after="0" w:line="480"/>
        <w:ind w:left="120"/>
        <w:jc w:val="center"/>
      </w:pPr>
      <w:r>
        <w:rPr>
          <w:rFonts w:ascii="Times New Roman" w:hAnsi="Times New Roman"/>
          <w:b w:val="false"/>
          <w:i w:val="false"/>
          <w:color w:val="000000"/>
          <w:sz w:val="21"/>
        </w:rPr>
        <w:t>DECLARATORY ORDERS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89">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90">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91">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701—2503.1</w:t>
      </w:r>
      <w:r>
        <w:rPr>
          <w:rFonts w:ascii="Times New Roman" w:hAnsi="Times New Roman"/>
          <w:b/>
          <w:i w:val="false"/>
          <w:color w:val="000000"/>
          <w:sz w:val="24"/>
        </w:rPr>
        <w:t xml:space="preserve">(17A) </w:t>
      </w:r>
      <w:r>
        <w:rPr>
          <w:rFonts w:ascii="Times New Roman" w:hAnsi="Times New Roman"/>
          <w:b/>
          <w:i w:val="false"/>
          <w:color w:val="000000"/>
          <w:sz w:val="24"/>
        </w:rPr>
        <w:t xml:space="preserve">Petition for declaratory order. </w:t>
      </w:r>
    </w:p>
    <w:p>
      <w:pPr>
        <w:spacing w:before="0" w:after="0" w:line="480"/>
        <w:ind w:left="120"/>
        <w:jc w:val="both"/>
      </w:pPr>
      <w:r>
        <w:rPr>
          <w:rFonts w:ascii="Times New Roman" w:hAnsi="Times New Roman"/>
          <w:b/>
          <w:i w:val="false"/>
          <w:color w:val="000000"/>
          <w:sz w:val="24"/>
        </w:rPr>
        <w:t>2503.1(1)</w:t>
      </w:r>
      <w:r>
        <w:rPr>
          <w:rFonts w:ascii="Times New Roman" w:hAnsi="Times New Roman"/>
          <w:b w:val="false"/>
          <w:i w:val="false"/>
          <w:color w:val="000000"/>
          <w:sz w:val="24"/>
        </w:rPr>
        <w:t> </w:t>
      </w:r>
      <w:r>
        <w:rPr>
          <w:rFonts w:ascii="Times New Roman" w:hAnsi="Times New Roman"/>
          <w:b w:val="false"/>
          <w:i w:val="false"/>
          <w:color w:val="000000"/>
          <w:sz w:val="24"/>
        </w:rPr>
        <w:t xml:space="preserve">Any person may file a petition with the agency requesting that the agency issue a declaratory order in accordance with Iowa Code section </w:t>
      </w:r>
      <w:hyperlink r:id="rId92">
        <w:r>
          <w:rPr>
            <w:rStyle w:val="Hyperlink"/>
            <w:rFonts w:ascii="Times New Roman" w:hAnsi="Times New Roman"/>
            <w:b w:val="false"/>
            <w:i w:val="false"/>
            <w:color w:val="000000"/>
            <w:sz w:val="24"/>
          </w:rPr>
          <w:t>17A.9</w:t>
        </w:r>
      </w:hyperlink>
      <w:r>
        <w:rPr>
          <w:rFonts w:ascii="Times New Roman" w:hAnsi="Times New Roman"/>
          <w:b w:val="false"/>
          <w:i w:val="false"/>
          <w:color w:val="000000"/>
          <w:sz w:val="24"/>
        </w:rPr>
        <w:t>. The petition can only be reviewed by the agency if the agency has the authority to consider the petition. Petitioners seeking a declaratory order are obligated to file the petition at the agency’s address or agency’s email. The petition is considered filed when received at either address. The agency will provide the petitioner with a file-stamped copy of the petition upon request.</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Petition. </w:t>
      </w:r>
      <w:r>
        <w:rPr>
          <w:rFonts w:ascii="Times New Roman" w:hAnsi="Times New Roman"/>
          <w:b w:val="false"/>
          <w:i w:val="false"/>
          <w:color w:val="000000"/>
          <w:sz w:val="24"/>
        </w:rPr>
        <w:t>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none"/>
          <w:right w:val="none"/>
          <w:insideH w:val="none"/>
          <w:insideV w:val="none"/>
        </w:tblBorders>
      </w:tblPr>
      <w:tblGrid>
        <w:gridCol w:w="5585"/>
        <w:gridCol w:w="5605"/>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[AGENCY NAME]</w:t>
            </w:r>
          </w:p>
        </w:tc>
      </w:tr>
      <w:tr>
        <w:trPr>
          <w:trHeight w:val="2445" w:hRule="atLeast"/>
        </w:trPr>
        <w:tc>
          <w:tcPr>
            <w:tcW w:w="5585"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Petition by [name of petitioner] </w:t>
            </w:r>
            <w:r>
              <w:br/>
            </w:r>
            <w:r>
              <w:rPr>
                <w:rFonts w:ascii="Times New Roman" w:hAnsi="Times New Roman"/>
                <w:b w:val="false"/>
                <w:i w:val="false"/>
                <w:color w:val="000000"/>
                <w:sz w:val="24"/>
              </w:rPr>
              <w:t xml:space="preserve">for a declaratory order on </w:t>
            </w:r>
            <w:r>
              <w:br/>
            </w:r>
            <w:r>
              <w:rPr>
                <w:rFonts w:ascii="Times New Roman" w:hAnsi="Times New Roman"/>
                <w:b w:val="false"/>
                <w:i w:val="false"/>
                <w:color w:val="000000"/>
                <w:sz w:val="24"/>
              </w:rPr>
              <w:t>[cite provisions of law involved].</w:t>
            </w:r>
          </w:p>
          <w:p>
            <w:pPr>
              <w:spacing w:before="0" w:after="0" w:line="480"/>
              <w:ind w:left="160"/>
              <w:jc w:val="left"/>
            </w:pPr>
            <w:r>
              <w:rPr>
                <w:rFonts w:ascii="Times New Roman" w:hAnsi="Times New Roman"/>
                <w:b w:val="false"/>
                <w:i w:val="false"/>
                <w:color w:val="000000"/>
                <w:sz w:val="24"/>
              </w:rPr>
              <w:t> </w:t>
            </w:r>
          </w:p>
        </w:tc>
        <w:tc>
          <w:tcPr>
            <w:tcW w:w="5605"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DECLARATORY ORDER</w:t>
            </w:r>
          </w:p>
        </w:tc>
      </w:tr>
    </w:tbl>
    <w:p>
      <w:pPr>
        <w:spacing w:before="0" w:after="0" w:line="480"/>
        <w:ind w:left="120"/>
        <w:jc w:val="both"/>
      </w:pPr>
      <w:r>
        <w:rPr>
          <w:rFonts w:ascii="Times New Roman" w:hAnsi="Times New Roman"/>
          <w:b w:val="false"/>
          <w:i w:val="false"/>
          <w:color w:val="000000"/>
          <w:sz w:val="24"/>
        </w:rPr>
        <w:t>Petitioners are obligated to provide the following information in the petition:</w:t>
      </w:r>
    </w:p>
    <w:p>
      <w:pPr>
        <w:spacing w:before="0" w:after="0" w:line="480"/>
        <w:ind w:left="120"/>
        <w:jc w:val="both"/>
      </w:pPr>
      <w:r>
        <w:rPr>
          <w:rFonts w:ascii="Times New Roman" w:hAnsi="Times New Roman"/>
          <w:b w:val="false"/>
          <w:i w:val="false"/>
          <w:color w:val="000000"/>
          <w:sz w:val="24"/>
        </w:rPr>
        <w:t>9. Whether the petitioner is presently under audit or investigation by the agency; and</w:t>
      </w:r>
    </w:p>
    <w:p>
      <w:pPr>
        <w:spacing w:before="0" w:after="0" w:line="480"/>
        <w:ind w:left="120"/>
        <w:jc w:val="both"/>
      </w:pPr>
      <w:r>
        <w:rPr>
          <w:rFonts w:ascii="Times New Roman" w:hAnsi="Times New Roman"/>
          <w:b w:val="false"/>
          <w:i w:val="false"/>
          <w:color w:val="000000"/>
          <w:sz w:val="24"/>
        </w:rPr>
        <w:t xml:space="preserve">10. The signature of the petitioner or the petitioner’s representative and date of signature. The petition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93">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 on file with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Standing. </w:t>
      </w:r>
      <w:r>
        <w:rPr>
          <w:rFonts w:ascii="Times New Roman" w:hAnsi="Times New Roman"/>
          <w:b w:val="false"/>
          <w:i w:val="false"/>
          <w:color w:val="000000"/>
          <w:sz w:val="24"/>
        </w:rPr>
        <w:t>The petitioner must be potentially aggrieved or adversely affected by the agency action or failure to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Associations. </w:t>
      </w:r>
      <w:r>
        <w:rPr>
          <w:rFonts w:ascii="Times New Roman" w:hAnsi="Times New Roman"/>
          <w:b w:val="false"/>
          <w:i w:val="false"/>
          <w:color w:val="000000"/>
          <w:sz w:val="24"/>
        </w:rPr>
        <w:t>An association or a representative group is not considered to be an entity qualifying for filing a petition requesting a declaratory order on behalf of all of the association or group members. Each member of an association may not be similarly situated or represented by the factual scenario set forth in such a petition.</w:t>
      </w:r>
    </w:p>
    <w:p>
      <w:pPr>
        <w:spacing w:before="0" w:after="0" w:line="480"/>
        <w:ind w:left="120"/>
        <w:jc w:val="left"/>
      </w:pP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701—Chapter 2504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2504</w:t>
      </w:r>
    </w:p>
    <w:p>
      <w:pPr>
        <w:spacing w:before="0" w:after="0" w:line="480"/>
        <w:ind w:left="120"/>
        <w:jc w:val="center"/>
      </w:pPr>
      <w:r>
        <w:rPr>
          <w:rFonts w:ascii="Times New Roman" w:hAnsi="Times New Roman"/>
          <w:b w:val="false"/>
          <w:i w:val="false"/>
          <w:color w:val="000000"/>
          <w:sz w:val="21"/>
        </w:rPr>
        <w:t>RULE WAIVERS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94">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95">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96">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701—2504.1</w:t>
      </w:r>
      <w:r>
        <w:rPr>
          <w:rFonts w:ascii="Times New Roman" w:hAnsi="Times New Roman"/>
          <w:b/>
          <w:i w:val="false"/>
          <w:color w:val="000000"/>
          <w:sz w:val="24"/>
        </w:rPr>
        <w:t xml:space="preserve">(17A) </w:t>
      </w:r>
      <w:r>
        <w:rPr>
          <w:rFonts w:ascii="Times New Roman" w:hAnsi="Times New Roman"/>
          <w:b/>
          <w:i w:val="false"/>
          <w:color w:val="000000"/>
          <w:sz w:val="24"/>
        </w:rPr>
        <w:t xml:space="preserve">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2504.1(1)</w:t>
      </w: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Submission. </w:t>
      </w:r>
      <w:r>
        <w:rPr>
          <w:rFonts w:ascii="Times New Roman" w:hAnsi="Times New Roman"/>
          <w:b w:val="false"/>
          <w:i w:val="false"/>
          <w:color w:val="000000"/>
          <w:sz w:val="24"/>
        </w:rPr>
        <w:t>Any person may submit a petition to waive, in whole or in part, any discretionary rule filed outside of a contested case proceeding in the agency’s jurisdiction by submitting the petition to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terms apply to the interpretation and application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“Discretionary rule”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“discretionary provisions in a rule”</w:t>
      </w:r>
      <w:r>
        <w:rPr>
          <w:rFonts w:ascii="Times New Roman" w:hAnsi="Times New Roman"/>
          <w:b w:val="false"/>
          <w:i w:val="false"/>
          <w:color w:val="000000"/>
          <w:sz w:val="24"/>
        </w:rPr>
        <w:t> </w:t>
      </w:r>
      <w:r>
        <w:rPr>
          <w:rFonts w:ascii="Times New Roman" w:hAnsi="Times New Roman"/>
          <w:b w:val="false"/>
          <w:i w:val="false"/>
          <w:color w:val="000000"/>
          <w:sz w:val="24"/>
        </w:rPr>
        <w:t>means rules or provisions in rules resulting from a delegation by the legislature to the agency to create a binding rule to govern a given issue or area. The agency is not interpreting any statutory provision of the law promulgated by the legislature in a discretionary rule. Instead, a discretionary rule is authorized by the legislature when the legislature has delegated the creation of binding rules to the agency and the contents of such rules are at the discretion of the agency. A rule that contains both discretionary and interpretive provisions is deemed to be a discretionary rule to the extent of the discretionary provisions in the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“Interpretive rules”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“interpretive provisions in a rule”</w:t>
      </w:r>
      <w:r>
        <w:rPr>
          <w:rFonts w:ascii="Times New Roman" w:hAnsi="Times New Roman"/>
          <w:b w:val="false"/>
          <w:i w:val="false"/>
          <w:color w:val="000000"/>
          <w:sz w:val="24"/>
        </w:rPr>
        <w:t> </w:t>
      </w:r>
      <w:r>
        <w:rPr>
          <w:rFonts w:ascii="Times New Roman" w:hAnsi="Times New Roman"/>
          <w:b w:val="false"/>
          <w:i w:val="false"/>
          <w:color w:val="000000"/>
          <w:sz w:val="24"/>
        </w:rPr>
        <w:t>means rules or provisions in rules that define the meaning of a statute or other provision of law or precedent where the agency does not possess the delegated authority to bind the courts to any extent with its definition.</w:t>
      </w:r>
    </w:p>
    <w:p>
      <w:pPr>
        <w:spacing w:before="0" w:after="0" w:line="480"/>
        <w:ind w:left="120"/>
        <w:jc w:val="both"/>
      </w:pPr>
      <w:r>
        <w:rPr>
          <w:rFonts w:ascii="Times New Roman" w:hAnsi="Times New Roman"/>
          <w:b/>
          <w:i w:val="false"/>
          <w:color w:val="000000"/>
          <w:sz w:val="24"/>
        </w:rPr>
        <w:t>2504.1(3)</w:t>
      </w:r>
      <w:r>
        <w:rPr>
          <w:rFonts w:ascii="Times New Roman" w:hAnsi="Times New Roman"/>
          <w:b w:val="false"/>
          <w:i w:val="false"/>
          <w:color w:val="000000"/>
          <w:sz w:val="24"/>
        </w:rPr>
        <w:t> </w:t>
      </w:r>
      <w:r>
        <w:rPr>
          <w:rFonts w:ascii="Times New Roman" w:hAnsi="Times New Roman"/>
          <w:b w:val="false"/>
          <w:i w:val="false"/>
          <w:color w:val="000000"/>
          <w:sz w:val="24"/>
        </w:rPr>
        <w:t>A petitioner seeking to have a rule waived is obligated to file the petition for waiver at the agency’s address or agency’s email. The petition for waiver is considered filed when received at either address. The agency will provide the petitioner with a file-stamped copy of the petition upon request. The agency can only accept petitions for waiver that are typewritten or legibly handwritten in ink. Petitioners are also obligated to submit the petition so that it substantially conforms with the following:</w:t>
      </w:r>
    </w:p>
    <w:tbl>
      <w:tblPr>
        <w:tblW w:w="0" w:type="auto"/>
        <w:tblCellSpacing w:w="0" w:type="auto"/>
        <w:tblBorders>
          <w:top w:val="none"/>
          <w:left w:val="none"/>
          <w:bottom w:val="none"/>
          <w:right w:val="none"/>
          <w:insideH w:val="none"/>
          <w:insideV w:val="none"/>
        </w:tblBorders>
      </w:tblPr>
      <w:tblGrid>
        <w:gridCol w:w="5376"/>
        <w:gridCol w:w="5376"/>
      </w:tblGrid>
      <w:tr>
        <w:trPr>
          <w:trHeight w:val="5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BEFORE THE [INSERT NAME OF AGENCY]</w:t>
            </w:r>
          </w:p>
        </w:tc>
      </w:tr>
      <w:tr>
        <w:trPr>
          <w:trHeight w:val="2445" w:hRule="atLeast"/>
        </w:trPr>
        <w:tc>
          <w:tcPr>
            <w:tcW w:w="5376" w:type="dxa"/>
            <w:tcBorders>
              <w:bottom w:val="single" w:color="000000" w:sz="8"/>
              <w:right w:val="single" w:color="000000" w:sz="8"/>
            </w:tcBorders>
            <w:tcMar>
              <w:top w:w="30" w:type="dxa"/>
              <w:left w:w="30" w:type="dxa"/>
              <w:bottom w:w="15" w:type="dxa"/>
              <w:right w:w="30" w:type="dxa"/>
            </w:tcMar>
            <w:vAlign w:val="center"/>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Petition by [name of petitioner]</w:t>
            </w:r>
            <w:r>
              <w:br/>
            </w:r>
            <w:r>
              <w:rPr>
                <w:rFonts w:ascii="Times New Roman" w:hAnsi="Times New Roman"/>
                <w:b w:val="false"/>
                <w:i w:val="false"/>
                <w:color w:val="000000"/>
                <w:sz w:val="24"/>
              </w:rPr>
              <w:t xml:space="preserve"> for the waiver of [rule citation]</w:t>
            </w:r>
            <w:r>
              <w:br/>
            </w:r>
            <w:r>
              <w:rPr>
                <w:rFonts w:ascii="Times New Roman" w:hAnsi="Times New Roman"/>
                <w:b w:val="false"/>
                <w:i w:val="false"/>
                <w:color w:val="000000"/>
                <w:sz w:val="24"/>
              </w:rPr>
              <w:t xml:space="preserve"> related to [state subject matter].</w:t>
            </w:r>
          </w:p>
          <w:p>
            <w:pPr>
              <w:spacing w:before="0" w:after="0" w:line="480"/>
              <w:ind w:left="160"/>
              <w:jc w:val="left"/>
            </w:pPr>
            <w:r>
              <w:rPr>
                <w:rFonts w:ascii="Times New Roman" w:hAnsi="Times New Roman"/>
                <w:b w:val="false"/>
                <w:i w:val="false"/>
                <w:color w:val="000000"/>
                <w:sz w:val="24"/>
              </w:rPr>
              <w:t> </w:t>
            </w:r>
          </w:p>
        </w:tc>
        <w:tc>
          <w:tcPr>
            <w:tcW w:w="5376" w:type="dxa"/>
            <w:tcBorders>
              <w:bottom w:val="single" w:color="000000" w:sz="8"/>
            </w:tcBorders>
            <w:tcMar>
              <w:top w:w="30" w:type="dxa"/>
              <w:left w:w="30" w:type="dxa"/>
              <w:bottom w:w="15" w:type="dxa"/>
              <w:right w:w="30" w:type="dxa"/>
            </w:tcMar>
            <w:vAlign w:val="center"/>
          </w:tcPr>
          <w:p>
            <w:pPr>
              <w:spacing w:before="0" w:after="0" w:line="480"/>
              <w:ind w:left="0"/>
              <w:jc w:val="center"/>
            </w:pPr>
            <w:r>
              <w:rPr>
                <w:rFonts w:ascii="Times New Roman" w:hAnsi="Times New Roman"/>
                <w:b w:val="false"/>
                <w:i w:val="false"/>
                <w:color w:val="000000"/>
                <w:sz w:val="24"/>
              </w:rPr>
              <w:t>PETITION FOR WAIVER</w:t>
            </w:r>
          </w:p>
        </w:tc>
      </w:tr>
    </w:tbl>
    <w:p>
      <w:pPr>
        <w:spacing w:before="0" w:after="0" w:line="480"/>
        <w:ind w:left="120"/>
        <w:jc w:val="both"/>
      </w:pPr>
      <w:r>
        <w:rPr>
          <w:rFonts w:ascii="Times New Roman" w:hAnsi="Times New Roman"/>
          <w:b w:val="false"/>
          <w:i w:val="false"/>
          <w:color w:val="000000"/>
          <w:sz w:val="24"/>
        </w:rPr>
        <w:t>6. If applicable, a complete history of any prior contacts between the petitioner and the agency relating to the activity or license affected by the proposed waiver, including audits, notices of assessment, refund claims, appeals, a description of each affected license held by the requester, any notices of violation, contested case hearings, or investigative reports relating to the activity within the last five years.</w:t>
      </w:r>
    </w:p>
    <w:p>
      <w:pPr>
        <w:spacing w:before="0" w:after="0" w:line="480"/>
        <w:ind w:left="120"/>
        <w:jc w:val="both"/>
      </w:pPr>
      <w:r>
        <w:rPr>
          <w:rFonts w:ascii="Times New Roman" w:hAnsi="Times New Roman"/>
          <w:b w:val="false"/>
          <w:i w:val="false"/>
          <w:color w:val="000000"/>
          <w:sz w:val="24"/>
        </w:rPr>
        <w:t xml:space="preserve">11. A dated signature by the petitioner or, if applicable, petitioner’s representative. Petitions submitted by a representative must have a valid IDR power of attorney form or representative certification form, as applicable in accordance with rule </w:t>
      </w:r>
      <w:hyperlink r:id="rId97">
        <w:r>
          <w:rPr>
            <w:rStyle w:val="Hyperlink"/>
            <w:rFonts w:ascii="Times New Roman" w:hAnsi="Times New Roman"/>
            <w:b w:val="false"/>
            <w:i w:val="false"/>
            <w:color w:val="000000"/>
            <w:sz w:val="24"/>
          </w:rPr>
          <w:t>701—2507.6</w:t>
        </w:r>
      </w:hyperlink>
      <w:r>
        <w:rPr>
          <w:rFonts w:ascii="Times New Roman" w:hAnsi="Times New Roman"/>
          <w:b w:val="false"/>
          <w:i w:val="false"/>
          <w:color w:val="000000"/>
          <w:sz w:val="24"/>
        </w:rPr>
        <w:t>(17A), on file with the agency.</w:t>
      </w:r>
    </w:p>
    <w:p>
      <w:pPr>
        <w:spacing w:before="0" w:after="0" w:line="480"/>
        <w:ind w:left="120"/>
        <w:jc w:val="left"/>
      </w:pP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701—Chapter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98">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99">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00">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701—2505.1</w:t>
      </w:r>
      <w:r>
        <w:rPr>
          <w:rFonts w:ascii="Times New Roman" w:hAnsi="Times New Roman"/>
          <w:b/>
          <w:i w:val="false"/>
          <w:color w:val="000000"/>
          <w:sz w:val="24"/>
        </w:rPr>
        <w:t xml:space="preserve">(17A,22)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“Confidential 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record that is not available as a matter of right for examination and copying by members of the public under applicable provisions of law. Confidential records include but are not limited to records or information contained in records that the agency is prohibited by law from making available for examination by members of the public; records or information contained in records that are specified as confidential by Iowa Code section </w:t>
      </w:r>
      <w:hyperlink r:id="rId101">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w:t>
      </w:r>
      <w:hyperlink r:id="rId102">
        <w:r>
          <w:rPr>
            <w:rStyle w:val="Hyperlink"/>
            <w:rFonts w:ascii="Times New Roman" w:hAnsi="Times New Roman"/>
            <w:b w:val="false"/>
            <w:i w:val="false"/>
            <w:color w:val="000000"/>
            <w:sz w:val="24"/>
          </w:rPr>
          <w:t>99G.34</w:t>
        </w:r>
      </w:hyperlink>
      <w:r>
        <w:rPr>
          <w:rFonts w:ascii="Times New Roman" w:hAnsi="Times New Roman"/>
          <w:b w:val="false"/>
          <w:i w:val="false"/>
          <w:color w:val="000000"/>
          <w:sz w:val="24"/>
        </w:rPr>
        <w:t xml:space="preserve">, or </w:t>
      </w:r>
      <w:hyperlink r:id="rId103">
        <w:r>
          <w:rPr>
            <w:rStyle w:val="Hyperlink"/>
            <w:rFonts w:ascii="Times New Roman" w:hAnsi="Times New Roman"/>
            <w:b w:val="false"/>
            <w:i w:val="false"/>
            <w:color w:val="000000"/>
            <w:sz w:val="24"/>
          </w:rPr>
          <w:t>123.38A</w:t>
        </w:r>
      </w:hyperlink>
      <w:r>
        <w:rPr>
          <w:rFonts w:ascii="Times New Roman" w:hAnsi="Times New Roman"/>
          <w:b w:val="false"/>
          <w:i w:val="false"/>
          <w:color w:val="000000"/>
          <w:sz w:val="24"/>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“Confidential state tax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information that is protected from disclosure by Iowa Code sections </w:t>
      </w:r>
      <w:hyperlink r:id="rId104">
        <w:r>
          <w:rPr>
            <w:rStyle w:val="Hyperlink"/>
            <w:rFonts w:ascii="Times New Roman" w:hAnsi="Times New Roman"/>
            <w:b w:val="false"/>
            <w:i w:val="false"/>
            <w:color w:val="000000"/>
            <w:sz w:val="24"/>
          </w:rPr>
          <w:t>422.20</w:t>
        </w:r>
      </w:hyperlink>
      <w:r>
        <w:rPr>
          <w:rFonts w:ascii="Times New Roman" w:hAnsi="Times New Roman"/>
          <w:b w:val="false"/>
          <w:i w:val="false"/>
          <w:color w:val="000000"/>
          <w:sz w:val="24"/>
        </w:rPr>
        <w:t xml:space="preserve">, </w:t>
      </w:r>
      <w:hyperlink r:id="rId105">
        <w:r>
          <w:rPr>
            <w:rStyle w:val="Hyperlink"/>
            <w:rFonts w:ascii="Times New Roman" w:hAnsi="Times New Roman"/>
            <w:b w:val="false"/>
            <w:i w:val="false"/>
            <w:color w:val="000000"/>
            <w:sz w:val="24"/>
          </w:rPr>
          <w:t>422.72</w:t>
        </w:r>
      </w:hyperlink>
      <w:r>
        <w:rPr>
          <w:rFonts w:ascii="Times New Roman" w:hAnsi="Times New Roman"/>
          <w:b w:val="false"/>
          <w:i w:val="false"/>
          <w:color w:val="000000"/>
          <w:sz w:val="24"/>
        </w:rPr>
        <w:t xml:space="preserve">, </w:t>
      </w:r>
      <w:hyperlink r:id="rId106">
        <w:r>
          <w:rPr>
            <w:rStyle w:val="Hyperlink"/>
            <w:rFonts w:ascii="Times New Roman" w:hAnsi="Times New Roman"/>
            <w:b w:val="false"/>
            <w:i w:val="false"/>
            <w:color w:val="000000"/>
            <w:sz w:val="24"/>
          </w:rPr>
          <w:t>437A.14</w:t>
        </w:r>
      </w:hyperlink>
      <w:r>
        <w:rPr>
          <w:rFonts w:ascii="Times New Roman" w:hAnsi="Times New Roman"/>
          <w:b w:val="false"/>
          <w:i w:val="false"/>
          <w:color w:val="000000"/>
          <w:sz w:val="24"/>
        </w:rPr>
        <w:t xml:space="preserve">, </w:t>
      </w:r>
      <w:hyperlink r:id="rId107">
        <w:r>
          <w:rPr>
            <w:rStyle w:val="Hyperlink"/>
            <w:rFonts w:ascii="Times New Roman" w:hAnsi="Times New Roman"/>
            <w:b w:val="false"/>
            <w:i w:val="false"/>
            <w:color w:val="000000"/>
            <w:sz w:val="24"/>
          </w:rPr>
          <w:t>437B.10</w:t>
        </w:r>
      </w:hyperlink>
      <w:r>
        <w:rPr>
          <w:rFonts w:ascii="Times New Roman" w:hAnsi="Times New Roman"/>
          <w:b w:val="false"/>
          <w:i w:val="false"/>
          <w:color w:val="000000"/>
          <w:sz w:val="24"/>
        </w:rPr>
        <w:t xml:space="preserve">, </w:t>
      </w:r>
      <w:hyperlink r:id="rId108">
        <w:r>
          <w:rPr>
            <w:rStyle w:val="Hyperlink"/>
            <w:rFonts w:ascii="Times New Roman" w:hAnsi="Times New Roman"/>
            <w:b w:val="false"/>
            <w:i w:val="false"/>
            <w:color w:val="000000"/>
            <w:sz w:val="24"/>
          </w:rPr>
          <w:t>453B.10</w:t>
        </w:r>
      </w:hyperlink>
      <w:r>
        <w:rPr>
          <w:rFonts w:ascii="Times New Roman" w:hAnsi="Times New Roman"/>
          <w:b w:val="false"/>
          <w:i w:val="false"/>
          <w:color w:val="000000"/>
          <w:sz w:val="24"/>
        </w:rPr>
        <w:t xml:space="preserve">, </w:t>
      </w:r>
      <w:hyperlink r:id="rId109">
        <w:r>
          <w:rPr>
            <w:rStyle w:val="Hyperlink"/>
            <w:rFonts w:ascii="Times New Roman" w:hAnsi="Times New Roman"/>
            <w:b w:val="false"/>
            <w:i w:val="false"/>
            <w:color w:val="000000"/>
            <w:sz w:val="24"/>
          </w:rPr>
          <w:t>450.68</w:t>
        </w:r>
      </w:hyperlink>
      <w:r>
        <w:rPr>
          <w:rFonts w:ascii="Times New Roman" w:hAnsi="Times New Roman"/>
          <w:b w:val="false"/>
          <w:i w:val="false"/>
          <w:color w:val="000000"/>
          <w:sz w:val="24"/>
        </w:rPr>
        <w:t xml:space="preserve">, and </w:t>
      </w:r>
      <w:hyperlink r:id="rId110">
        <w:r>
          <w:rPr>
            <w:rStyle w:val="Hyperlink"/>
            <w:rFonts w:ascii="Times New Roman" w:hAnsi="Times New Roman"/>
            <w:b w:val="false"/>
            <w:i w:val="false"/>
            <w:color w:val="000000"/>
            <w:sz w:val="24"/>
          </w:rPr>
          <w:t>452A.63</w:t>
        </w:r>
      </w:hyperlink>
      <w:r>
        <w:rPr>
          <w:rFonts w:ascii="Times New Roman" w:hAnsi="Times New Roman"/>
          <w:b w:val="false"/>
          <w:i w:val="false"/>
          <w:color w:val="000000"/>
          <w:sz w:val="24"/>
        </w:rPr>
        <w:t xml:space="preserve">. Confidential state tax information includes but is not limited to state tax returns and return information. Confidential state tax information does not include FTI. If confidential state tax information is contained in a record, that record may also be considered a confidential record protected by Iowa Code chapter </w:t>
      </w:r>
      <w:hyperlink r:id="rId11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tax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“FTI”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return or return information received directly from the Internal Revenue Service or obtained through an authorized secondary source acting on behalf of the Internal Revenue Service pursuant to an Internal Revenue Code Section 6103(p)(2)(B) agreement. Copies of tax returns or return information provided to the agency directly by a taxpayer or the taxpayer’s representative, including but not limited to tax returns or return information provided to the agency through electronic filing as defined in </w:t>
      </w:r>
      <w:hyperlink r:id="rId112">
        <w:r>
          <w:rPr>
            <w:rStyle w:val="Hyperlink"/>
            <w:rFonts w:ascii="Times New Roman" w:hAnsi="Times New Roman"/>
            <w:b w:val="false"/>
            <w:i w:val="false"/>
            <w:color w:val="000000"/>
            <w:sz w:val="24"/>
          </w:rPr>
          <w:t>701—subrule 8.5(1)</w:t>
        </w:r>
      </w:hyperlink>
      <w:r>
        <w:rPr>
          <w:rFonts w:ascii="Times New Roman" w:hAnsi="Times New Roman"/>
          <w:b w:val="false"/>
          <w:i w:val="false"/>
          <w:color w:val="000000"/>
          <w:sz w:val="24"/>
        </w:rPr>
        <w:t>, or obtained from public information files (e.g., federal tax liens on file with the county clerk, Offers in Compromise available for public inspection, and court records) are not considered FTI.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“Lawful custodian”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agency, the director of revenue, the agency’s public information officer, or a person lawfully delegated authority by the agency to act for the agency in implementing Iowa Code chapter </w:t>
      </w:r>
      <w:hyperlink r:id="rId113">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“Personally identifiable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information about or pertaining to an individual in a record that identifies the individual and that is contained in a record system. The term “personally identifiable information” includes “personal information” as defined in Iowa Code section </w:t>
      </w:r>
      <w:hyperlink r:id="rId114">
        <w:r>
          <w:rPr>
            <w:rStyle w:val="Hyperlink"/>
            <w:rFonts w:ascii="Times New Roman" w:hAnsi="Times New Roman"/>
            <w:b w:val="false"/>
            <w:i w:val="false"/>
            <w:color w:val="000000"/>
            <w:sz w:val="24"/>
          </w:rPr>
          <w:t>715C.1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“Record system”</w:t>
      </w:r>
      <w:r>
        <w:rPr>
          <w:rFonts w:ascii="Times New Roman" w:hAnsi="Times New Roman"/>
          <w:b w:val="false"/>
          <w:i w:val="false"/>
          <w:color w:val="000000"/>
          <w:sz w:val="24"/>
        </w:rPr>
        <w:t> </w:t>
      </w:r>
      <w:r>
        <w:rPr>
          <w:rFonts w:ascii="Times New Roman" w:hAnsi="Times New Roman"/>
          <w:b w:val="false"/>
          <w:i w:val="false"/>
          <w:color w:val="000000"/>
          <w:sz w:val="24"/>
        </w:rPr>
        <w:t>means any group of records under the control of the agency from which a record may be retrieved by a personal identifier, such as the name of an individual, number, symbol, or other unique retriever assigned to an individual. A record system is a “system” as defined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“Routine use”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disclosure of a record without the consent of the subject or subjects, for a purpose that is compatible with the purpose for which the record was collected. “Routine use” includes disclosures required by statute other than the public records laws codified at Iowa Code chapter </w:t>
      </w:r>
      <w:hyperlink r:id="rId115">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“System”</w:t>
      </w:r>
      <w:r>
        <w:rPr>
          <w:rFonts w:ascii="Times New Roman" w:hAnsi="Times New Roman"/>
          <w:b w:val="false"/>
          <w:i w:val="false"/>
          <w:color w:val="000000"/>
          <w:sz w:val="24"/>
        </w:rPr>
        <w:t> </w:t>
      </w:r>
      <w:r>
        <w:rPr>
          <w:rFonts w:ascii="Times New Roman" w:hAnsi="Times New Roman"/>
          <w:b w:val="false"/>
          <w:i w:val="false"/>
          <w:color w:val="000000"/>
          <w:sz w:val="24"/>
        </w:rPr>
        <w:t>means any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Computer hardware or software;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Computerized processes and procedures;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Noncomputerized processes and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 administration”</w:t>
      </w:r>
      <w:r>
        <w:rPr>
          <w:rFonts w:ascii="Times New Roman" w:hAnsi="Times New Roman"/>
          <w:b w:val="false"/>
          <w:i w:val="false"/>
          <w:color w:val="000000"/>
          <w:sz w:val="24"/>
        </w:rPr>
        <w:t> </w:t>
      </w:r>
      <w:r>
        <w:rPr>
          <w:rFonts w:ascii="Times New Roman" w:hAnsi="Times New Roman"/>
          <w:b w:val="false"/>
          <w:i w:val="false"/>
          <w:color w:val="000000"/>
          <w:sz w:val="24"/>
        </w:rPr>
        <w:t>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w:t>
      </w:r>
    </w:p>
    <w:p>
      <w:pPr>
        <w:spacing w:before="0" w:after="0" w:line="480"/>
        <w:ind w:left="120"/>
        <w:jc w:val="both"/>
      </w:pPr>
      <w:r>
        <w:rPr>
          <w:rFonts w:ascii="Times New Roman" w:hAnsi="Times New Roman"/>
          <w:b/>
          <w:i w:val="false"/>
          <w:color w:val="000000"/>
          <w:sz w:val="24"/>
        </w:rPr>
        <w:t>701—2505.3</w:t>
      </w:r>
      <w:r>
        <w:rPr>
          <w:rFonts w:ascii="Times New Roman" w:hAnsi="Times New Roman"/>
          <w:b/>
          <w:i w:val="false"/>
          <w:color w:val="000000"/>
          <w:sz w:val="24"/>
        </w:rPr>
        <w:t xml:space="preserve">(17A,22) </w:t>
      </w:r>
      <w:r>
        <w:rPr>
          <w:rFonts w:ascii="Times New Roman" w:hAnsi="Times New Roman"/>
          <w:b/>
          <w:i w:val="false"/>
          <w:color w:val="000000"/>
          <w:sz w:val="24"/>
        </w:rPr>
        <w:t xml:space="preserve">Requests for access to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2505.3(3)</w:t>
      </w:r>
      <w:r>
        <w:rPr>
          <w:rFonts w:ascii="Times New Roman" w:hAnsi="Times New Roman"/>
          <w:b w:val="false"/>
          <w:i w:val="false"/>
          <w:color w:val="000000"/>
          <w:sz w:val="24"/>
        </w:rPr>
        <w:t> </w:t>
      </w:r>
      <w:r>
        <w:rPr>
          <w:rFonts w:ascii="Times New Roman" w:hAnsi="Times New Roman"/>
          <w:b w:val="false"/>
          <w:i/>
          <w:color w:val="000000"/>
          <w:sz w:val="24"/>
        </w:rPr>
        <w:t xml:space="preserve">Request for access.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Requests for public records. </w:t>
      </w:r>
      <w:r>
        <w:rPr>
          <w:rFonts w:ascii="Times New Roman" w:hAnsi="Times New Roman"/>
          <w:b w:val="false"/>
          <w:i w:val="false"/>
          <w:color w:val="000000"/>
          <w:sz w:val="24"/>
        </w:rPr>
        <w:t>Requests for access to public records maintained by the agency shall be made, whenever possible, by email. Otherwise, requests can be made in writing, in person, by telephone using the agency’s telephone number, or through other electronic means made available by the agency. Requests should identify the particular public records sought by name or description in order to facilitate identification of relevant public records. Requests should include the name, address, email, and telephone number of the person requesting the information. A member of the public need not give a reason for requesting public records. For public records requests that involve searches of electronic stores of information, the agency may condition the search on the requester providing search terms for the search.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Requests for confidential records. </w:t>
      </w:r>
      <w:r>
        <w:rPr>
          <w:rFonts w:ascii="Times New Roman" w:hAnsi="Times New Roman"/>
          <w:b w:val="false"/>
          <w:i w:val="false"/>
          <w:color w:val="000000"/>
          <w:sz w:val="24"/>
        </w:rPr>
        <w:t xml:space="preserve">Requests for access to confidential records maintained by the agency shall be made in the same manner as paragraph </w:t>
      </w:r>
      <w:hyperlink r:id="rId116">
        <w:r>
          <w:rPr>
            <w:rStyle w:val="Hyperlink"/>
            <w:rFonts w:ascii="Times New Roman" w:hAnsi="Times New Roman"/>
            <w:b w:val="false"/>
            <w:i w:val="false"/>
            <w:color w:val="000000"/>
            <w:sz w:val="24"/>
          </w:rPr>
          <w:t>2505.3(3)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agency may require the requester to provide additional documentation, including but not limited to proof of identity and authority to secure access to the record. The agency may also require the requester to sign a certified statement or affidavit listing the specific reasons justifying access to the record and provide any proof necessary to establish relevant facts.</w:t>
      </w:r>
    </w:p>
    <w:p>
      <w:pPr>
        <w:spacing w:before="0" w:after="0" w:line="480"/>
        <w:ind w:left="120"/>
        <w:jc w:val="both"/>
      </w:pPr>
      <w:r>
        <w:rPr>
          <w:rFonts w:ascii="Times New Roman" w:hAnsi="Times New Roman"/>
          <w:b/>
          <w:i w:val="false"/>
          <w:color w:val="000000"/>
          <w:sz w:val="24"/>
        </w:rPr>
        <w:t>701—2505.4</w:t>
      </w:r>
      <w:r>
        <w:rPr>
          <w:rFonts w:ascii="Times New Roman" w:hAnsi="Times New Roman"/>
          <w:b/>
          <w:i w:val="false"/>
          <w:color w:val="000000"/>
          <w:sz w:val="24"/>
        </w:rPr>
        <w:t xml:space="preserve">(17A,22) </w:t>
      </w:r>
      <w:r>
        <w:rPr>
          <w:rFonts w:ascii="Times New Roman" w:hAnsi="Times New Roman"/>
          <w:b/>
          <w:i w:val="false"/>
          <w:color w:val="000000"/>
          <w:sz w:val="24"/>
        </w:rPr>
        <w:t xml:space="preserve">Access to confidential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2505.4(8)</w:t>
      </w:r>
      <w:r>
        <w:rPr>
          <w:rFonts w:ascii="Times New Roman" w:hAnsi="Times New Roman"/>
          <w:b w:val="false"/>
          <w:i w:val="false"/>
          <w:color w:val="000000"/>
          <w:sz w:val="24"/>
        </w:rPr>
        <w:t> </w:t>
      </w:r>
      <w:r>
        <w:rPr>
          <w:rFonts w:ascii="Times New Roman" w:hAnsi="Times New Roman"/>
          <w:b w:val="false"/>
          <w:i/>
          <w:color w:val="000000"/>
          <w:sz w:val="24"/>
        </w:rPr>
        <w:t xml:space="preserve">Requesting a copy of a return. </w:t>
      </w:r>
      <w:r>
        <w:rPr>
          <w:rFonts w:ascii="Times New Roman" w:hAnsi="Times New Roman"/>
          <w:b w:val="false"/>
          <w:i w:val="false"/>
          <w:color w:val="000000"/>
          <w:sz w:val="24"/>
        </w:rPr>
        <w:t>A taxpayer requesting a copy of the taxpayer’s own tax return must do so via GovConnectIowa. There will be a $5 charge for each return requested. Payment will be received prior to release of the return.</w:t>
      </w:r>
    </w:p>
    <w:p>
      <w:pPr>
        <w:spacing w:before="0" w:after="0" w:line="480"/>
        <w:ind w:left="120"/>
        <w:jc w:val="both"/>
      </w:pPr>
      <w:r>
        <w:rPr>
          <w:rFonts w:ascii="Times New Roman" w:hAnsi="Times New Roman"/>
          <w:b/>
          <w:i w:val="false"/>
          <w:color w:val="000000"/>
          <w:sz w:val="24"/>
        </w:rPr>
        <w:t>701—2505.7</w:t>
      </w:r>
      <w:r>
        <w:rPr>
          <w:rFonts w:ascii="Times New Roman" w:hAnsi="Times New Roman"/>
          <w:b/>
          <w:i w:val="false"/>
          <w:color w:val="000000"/>
          <w:sz w:val="24"/>
        </w:rPr>
        <w:t xml:space="preserve">(17A,22) </w:t>
      </w:r>
      <w:r>
        <w:rPr>
          <w:rFonts w:ascii="Times New Roman" w:hAnsi="Times New Roman"/>
          <w:b/>
          <w:i w:val="false"/>
          <w:color w:val="000000"/>
          <w:sz w:val="24"/>
        </w:rPr>
        <w:t xml:space="preserve">Consensual disclosure of confidential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2505.7(1)</w:t>
      </w:r>
      <w:r>
        <w:rPr>
          <w:rFonts w:ascii="Times New Roman" w:hAnsi="Times New Roman"/>
          <w:b w:val="false"/>
          <w:i w:val="false"/>
          <w:color w:val="000000"/>
          <w:sz w:val="24"/>
        </w:rPr>
        <w:t> </w:t>
      </w:r>
      <w:r>
        <w:rPr>
          <w:rFonts w:ascii="Times New Roman" w:hAnsi="Times New Roman"/>
          <w:b w:val="false"/>
          <w:i/>
          <w:color w:val="000000"/>
          <w:sz w:val="24"/>
        </w:rPr>
        <w:t xml:space="preserve">Consent to disclosure by a subject. </w:t>
      </w:r>
      <w:r>
        <w:rPr>
          <w:rFonts w:ascii="Times New Roman" w:hAnsi="Times New Roman"/>
          <w:b w:val="false"/>
          <w:i w:val="false"/>
          <w:color w:val="000000"/>
          <w:sz w:val="24"/>
        </w:rPr>
        <w:t xml:space="preserve">To the extent permitted by law, the subject may consent in writing to agency disclosure of confidential records as provided in rules </w:t>
      </w:r>
      <w:hyperlink r:id="rId117">
        <w:r>
          <w:rPr>
            <w:rStyle w:val="Hyperlink"/>
            <w:rFonts w:ascii="Times New Roman" w:hAnsi="Times New Roman"/>
            <w:b w:val="false"/>
            <w:i w:val="false"/>
            <w:color w:val="000000"/>
            <w:sz w:val="24"/>
          </w:rPr>
          <w:t>701—2505.9</w:t>
        </w:r>
      </w:hyperlink>
      <w:r>
        <w:rPr>
          <w:rFonts w:ascii="Times New Roman" w:hAnsi="Times New Roman"/>
          <w:b w:val="false"/>
          <w:i w:val="false"/>
          <w:color w:val="000000"/>
          <w:sz w:val="24"/>
        </w:rPr>
        <w:t xml:space="preserve">(17A,22,99G,123,421-453E) and </w:t>
      </w:r>
      <w:hyperlink r:id="rId118">
        <w:r>
          <w:rPr>
            <w:rStyle w:val="Hyperlink"/>
            <w:rFonts w:ascii="Times New Roman" w:hAnsi="Times New Roman"/>
            <w:b w:val="false"/>
            <w:i w:val="false"/>
            <w:color w:val="000000"/>
            <w:sz w:val="24"/>
          </w:rPr>
          <w:t>701—2507.6</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2505.7(2)</w:t>
      </w:r>
      <w:r>
        <w:rPr>
          <w:rFonts w:ascii="Times New Roman" w:hAnsi="Times New Roman"/>
          <w:b w:val="false"/>
          <w:i w:val="false"/>
          <w:color w:val="000000"/>
          <w:sz w:val="24"/>
        </w:rPr>
        <w:t> </w:t>
      </w:r>
      <w:r>
        <w:rPr>
          <w:rFonts w:ascii="Times New Roman" w:hAnsi="Times New Roman"/>
          <w:b w:val="false"/>
          <w:i/>
          <w:color w:val="000000"/>
          <w:sz w:val="24"/>
        </w:rPr>
        <w:t xml:space="preserve">Complaints to public officials not an authorization—separate authorization required. </w:t>
      </w:r>
      <w:r>
        <w:rPr>
          <w:rFonts w:ascii="Times New Roman" w:hAnsi="Times New Roman"/>
          <w:b w:val="false"/>
          <w:i w:val="false"/>
          <w:color w:val="000000"/>
          <w:sz w:val="24"/>
        </w:rPr>
        <w:t xml:space="preserve">A letter from the subject of a confidential record to a public official that seeks the official’s intervention on behalf of the subject in a matter that involves the agency is not, to the extent permitted by law, treated as an authorization to release sufficient information about the subject to the official to resolve the matter. The subject of a confidential record filing a complaint needs to submit a disclosure authorization as provided in rules </w:t>
      </w:r>
      <w:hyperlink r:id="rId119">
        <w:r>
          <w:rPr>
            <w:rStyle w:val="Hyperlink"/>
            <w:rFonts w:ascii="Times New Roman" w:hAnsi="Times New Roman"/>
            <w:b w:val="false"/>
            <w:i w:val="false"/>
            <w:color w:val="000000"/>
            <w:sz w:val="24"/>
          </w:rPr>
          <w:t>701—2505.9</w:t>
        </w:r>
      </w:hyperlink>
      <w:r>
        <w:rPr>
          <w:rFonts w:ascii="Times New Roman" w:hAnsi="Times New Roman"/>
          <w:b w:val="false"/>
          <w:i w:val="false"/>
          <w:color w:val="000000"/>
          <w:sz w:val="24"/>
        </w:rPr>
        <w:t xml:space="preserve">(17A,22,99G,123,421-453E) and </w:t>
      </w:r>
      <w:hyperlink r:id="rId120">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w:t>
      </w:r>
    </w:p>
    <w:p>
      <w:pPr>
        <w:spacing w:before="0" w:after="0" w:line="480"/>
        <w:ind w:left="120"/>
        <w:jc w:val="both"/>
      </w:pPr>
      <w:r>
        <w:rPr>
          <w:rFonts w:ascii="Times New Roman" w:hAnsi="Times New Roman"/>
          <w:b/>
          <w:i w:val="false"/>
          <w:color w:val="000000"/>
          <w:sz w:val="24"/>
        </w:rPr>
        <w:t>701—2505.9</w:t>
      </w:r>
      <w:r>
        <w:rPr>
          <w:rFonts w:ascii="Times New Roman" w:hAnsi="Times New Roman"/>
          <w:b/>
          <w:i w:val="false"/>
          <w:color w:val="000000"/>
          <w:sz w:val="24"/>
        </w:rPr>
        <w:t xml:space="preserve">(17A,22,99G,123,421-453E) </w:t>
      </w:r>
      <w:r>
        <w:rPr>
          <w:rFonts w:ascii="Times New Roman" w:hAnsi="Times New Roman"/>
          <w:b/>
          <w:i w:val="false"/>
          <w:color w:val="000000"/>
          <w:sz w:val="24"/>
        </w:rPr>
        <w:t xml:space="preserve">Tax information disclosure designation.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color w:val="000000"/>
          <w:sz w:val="24"/>
        </w:rPr>
        <w:t xml:space="preserve">Powers authorized. </w:t>
      </w:r>
      <w:r>
        <w:rPr>
          <w:rFonts w:ascii="Times New Roman" w:hAnsi="Times New Roman"/>
          <w:b w:val="false"/>
          <w:i w:val="false"/>
          <w:color w:val="000000"/>
          <w:sz w:val="24"/>
        </w:rPr>
        <w:t xml:space="preserve">A taxpayer may designate an individual to receive, inspect, and discuss the taxpayer’s confidential state tax information from the agency. Such designation does not authorize the designee to act or authorize any action on the taxpayer’s behalf in any way other than to receive information and communicate with the agency. Information about transfers of decision-making authority is contained in Iowa Code section </w:t>
      </w:r>
      <w:hyperlink r:id="rId121">
        <w:r>
          <w:rPr>
            <w:rStyle w:val="Hyperlink"/>
            <w:rFonts w:ascii="Times New Roman" w:hAnsi="Times New Roman"/>
            <w:b w:val="false"/>
            <w:i w:val="false"/>
            <w:color w:val="000000"/>
            <w:sz w:val="24"/>
          </w:rPr>
          <w:t>421.59</w:t>
        </w:r>
      </w:hyperlink>
      <w:r>
        <w:rPr>
          <w:rFonts w:ascii="Times New Roman" w:hAnsi="Times New Roman"/>
          <w:b w:val="false"/>
          <w:i w:val="false"/>
          <w:color w:val="000000"/>
          <w:sz w:val="24"/>
        </w:rPr>
        <w:t xml:space="preserve"> and rule </w:t>
      </w:r>
      <w:hyperlink r:id="rId122">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color w:val="000000"/>
          <w:sz w:val="24"/>
        </w:rPr>
        <w:t xml:space="preserve">Contents of the tax information disclosure designation form. </w:t>
      </w:r>
      <w:r>
        <w:rPr>
          <w:rFonts w:ascii="Times New Roman" w:hAnsi="Times New Roman"/>
          <w:b w:val="false"/>
          <w:i w:val="false"/>
          <w:color w:val="000000"/>
          <w:sz w:val="24"/>
        </w:rPr>
        <w:t>A taxpayer must use the agency’s tax information disclosure designation form, or other designated method authorized by the agency, to designate an individual to receive, inspect, and discuss confidential state tax information. A tax information disclosure designation form must contain the following information to be 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Legal name and address of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Identification number of the taxpayer (e.g., social security number (SSN), federal identification number (FEIN), or any federal- or Iowa-issued tax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designee’s name, mailing address, and identification number (e.g., preparer’s tax identification number (PTIN), FEIN, SSN, individual taxpayer identification number (ITIN), or Iowa department of revenue-issued account number (IAN)). In lieu of a designee’s identification number, a taxpayer may indicate that an IAN is being requested for the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Description of the matter(s) for which disclosure is authorized, which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type of tax(es) involved or an indication that all tax types are within the scope of disclosure;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specific year(s) or period(s) involved or an indication that the scope is unlimited (not to exceed three years into the future beyond the signature date);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Business tax permit number or an indication that all tax types are within the scope of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clear expression of the taxpayer’s intention concerning any restrictions to the scope of authority granted to the recognized representative(s) as provided in subrule </w:t>
      </w:r>
      <w:hyperlink r:id="rId123">
        <w:r>
          <w:rPr>
            <w:rStyle w:val="Hyperlink"/>
            <w:rFonts w:ascii="Times New Roman" w:hAnsi="Times New Roman"/>
            <w:b w:val="false"/>
            <w:i w:val="false"/>
            <w:color w:val="000000"/>
            <w:sz w:val="24"/>
          </w:rPr>
          <w:t>2505.9(1)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signature of an individual listed in subrule </w:t>
      </w:r>
      <w:hyperlink r:id="rId124">
        <w:r>
          <w:rPr>
            <w:rStyle w:val="Hyperlink"/>
            <w:rFonts w:ascii="Times New Roman" w:hAnsi="Times New Roman"/>
            <w:b w:val="false"/>
            <w:i w:val="false"/>
            <w:color w:val="000000"/>
            <w:sz w:val="24"/>
          </w:rPr>
          <w:t>2505.9(4)</w:t>
        </w:r>
      </w:hyperlink>
      <w:r>
        <w:rPr>
          <w:rFonts w:ascii="Times New Roman" w:hAnsi="Times New Roman"/>
          <w:b w:val="false"/>
          <w:i w:val="false"/>
          <w:color w:val="000000"/>
          <w:sz w:val="24"/>
        </w:rPr>
        <w:t xml:space="preserve"> meeting the requirements of rule </w:t>
      </w:r>
      <w:hyperlink r:id="rId125">
        <w:r>
          <w:rPr>
            <w:rStyle w:val="Hyperlink"/>
            <w:rFonts w:ascii="Times New Roman" w:hAnsi="Times New Roman"/>
            <w:b w:val="false"/>
            <w:i w:val="false"/>
            <w:color w:val="000000"/>
            <w:sz w:val="24"/>
          </w:rPr>
          <w:t>701—8.2</w:t>
        </w:r>
      </w:hyperlink>
      <w:r>
        <w:rPr>
          <w:rFonts w:ascii="Times New Roman" w:hAnsi="Times New Roman"/>
          <w:b w:val="false"/>
          <w:i w:val="false"/>
          <w:color w:val="000000"/>
          <w:sz w:val="24"/>
        </w:rPr>
        <w:t>(421);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required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2505.9(3)</w:t>
      </w:r>
      <w:r>
        <w:rPr>
          <w:rFonts w:ascii="Times New Roman" w:hAnsi="Times New Roman"/>
          <w:b w:val="false"/>
          <w:i w:val="false"/>
          <w:color w:val="000000"/>
          <w:sz w:val="24"/>
        </w:rPr>
        <w:t> </w:t>
      </w:r>
      <w:r>
        <w:rPr>
          <w:rFonts w:ascii="Times New Roman" w:hAnsi="Times New Roman"/>
          <w:b w:val="false"/>
          <w:i/>
          <w:color w:val="000000"/>
          <w:sz w:val="24"/>
        </w:rPr>
        <w:t xml:space="preserve">Authorization period for a tax information disclosure designation.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tax information disclosure designation may not be used to authorize disclosure for tax periods that end more than three years after the date on which the tax information disclosure designation is signed by the taxpayer. A tax information disclosure designation may concern an unlimited number of tax periods that have ended prior to the date on which the tax information disclosure designation is received by the agency; however, tax periods must be stated if the intention is to limit the periods. If the tax periods section is left blank, all tax periods, including those ending up to three years in the future, are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tax information disclosure designation continues to be effective for tax periods as defined in paragraph </w:t>
      </w:r>
      <w:hyperlink r:id="rId126">
        <w:r>
          <w:rPr>
            <w:rStyle w:val="Hyperlink"/>
            <w:rFonts w:ascii="Times New Roman" w:hAnsi="Times New Roman"/>
            <w:b w:val="false"/>
            <w:i w:val="false"/>
            <w:color w:val="000000"/>
            <w:sz w:val="24"/>
          </w:rPr>
          <w:t>2505.9(3)</w:t>
        </w:r>
      </w:hyperlink>
      <w:r>
        <w:rPr>
          <w:rFonts w:ascii="Times New Roman" w:hAnsi="Times New Roman"/>
          <w:b w:val="false"/>
          <w:i/>
          <w:color w:val="000000"/>
          <w:sz w:val="24"/>
        </w:rPr>
        <w:t>“a”</w:t>
      </w:r>
      <w:r>
        <w:rPr>
          <w:rFonts w:ascii="Times New Roman" w:hAnsi="Times New Roman"/>
          <w:b w:val="false"/>
          <w:i w:val="false"/>
          <w:color w:val="000000"/>
          <w:sz w:val="24"/>
        </w:rPr>
        <w:t xml:space="preserve"> until revocation by the taxpayer; incapacity of the taxpayer; death of the taxpayer; or withdrawal, death, or incapacity of the tax information disclosure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2505.9(4)</w:t>
      </w:r>
      <w:r>
        <w:rPr>
          <w:rFonts w:ascii="Times New Roman" w:hAnsi="Times New Roman"/>
          <w:b w:val="false"/>
          <w:i w:val="false"/>
          <w:color w:val="000000"/>
          <w:sz w:val="24"/>
        </w:rPr>
        <w:t> </w:t>
      </w:r>
      <w:r>
        <w:rPr>
          <w:rFonts w:ascii="Times New Roman" w:hAnsi="Times New Roman"/>
          <w:b w:val="false"/>
          <w:i/>
          <w:color w:val="000000"/>
          <w:sz w:val="24"/>
        </w:rPr>
        <w:t xml:space="preserve">Individuals who may execute a tax information disclosure designation. </w:t>
      </w:r>
      <w:r>
        <w:rPr>
          <w:rFonts w:ascii="Times New Roman" w:hAnsi="Times New Roman"/>
          <w:b w:val="false"/>
          <w:i w:val="false"/>
          <w:color w:val="000000"/>
          <w:sz w:val="24"/>
        </w:rPr>
        <w:t>The individual(s) who may execute a tax information disclosure designation depends on the type of taxpayer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w:t>
      </w:r>
      <w:r>
        <w:rPr>
          <w:rFonts w:ascii="Times New Roman" w:hAnsi="Times New Roman"/>
          <w:b w:val="false"/>
          <w:i w:val="false"/>
          <w:color w:val="000000"/>
          <w:sz w:val="24"/>
        </w:rPr>
        <w:t>In matters involving an individual taxpayer, a tax information disclosure designation must be signed by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Joint or combined returns. </w:t>
      </w:r>
      <w:r>
        <w:rPr>
          <w:rFonts w:ascii="Times New Roman" w:hAnsi="Times New Roman"/>
          <w:b w:val="false"/>
          <w:i w:val="false"/>
          <w:color w:val="000000"/>
          <w:sz w:val="24"/>
        </w:rPr>
        <w:t>In matters involving a joint return or married taxpayers who have elected to file separately on a combined return, each taxpayer must complete and submit a tax information disclosure designation form for the joint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Third parties. </w:t>
      </w:r>
      <w:r>
        <w:rPr>
          <w:rFonts w:ascii="Times New Roman" w:hAnsi="Times New Roman"/>
          <w:b w:val="false"/>
          <w:i w:val="false"/>
          <w:color w:val="000000"/>
          <w:sz w:val="24"/>
        </w:rPr>
        <w:t xml:space="preserve">The tax information disclosure designation form may be signed by an individual who has been authorized to act on behalf of the taxpayer under Iowa Code section </w:t>
      </w:r>
      <w:hyperlink r:id="rId127">
        <w:r>
          <w:rPr>
            <w:rStyle w:val="Hyperlink"/>
            <w:rFonts w:ascii="Times New Roman" w:hAnsi="Times New Roman"/>
            <w:b w:val="false"/>
            <w:i w:val="false"/>
            <w:color w:val="000000"/>
            <w:sz w:val="24"/>
          </w:rPr>
          <w:t>421.59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2505.9(5)</w:t>
      </w:r>
      <w:r>
        <w:rPr>
          <w:rFonts w:ascii="Times New Roman" w:hAnsi="Times New Roman"/>
          <w:b w:val="false"/>
          <w:i w:val="false"/>
          <w:color w:val="000000"/>
          <w:sz w:val="24"/>
        </w:rPr>
        <w:t> </w:t>
      </w:r>
      <w:r>
        <w:rPr>
          <w:rFonts w:ascii="Times New Roman" w:hAnsi="Times New Roman"/>
          <w:b w:val="false"/>
          <w:i/>
          <w:color w:val="000000"/>
          <w:sz w:val="24"/>
        </w:rPr>
        <w:t xml:space="preserve">Revocation and withdrawal.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Revocation by the taxpayer.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By written statement. By filing a statement of revocation with the agency, a taxpayer may revoke a tax information disclosure designation without authorizing a new representative. The statement of revocation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address, and identification number of the taxpayer (e.g., SSN, FEIN, or any federal- or Iowa-issued tax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address, and identification number (e.g., PTIN, FEIN, SSN, ITIN, or IAN) of the designee whose designation is to be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clear statement to revoke the designee’s disclosure designation;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Signature of an authorized signatory as described in subrule </w:t>
      </w:r>
      <w:hyperlink r:id="rId128">
        <w:r>
          <w:rPr>
            <w:rStyle w:val="Hyperlink"/>
            <w:rFonts w:ascii="Times New Roman" w:hAnsi="Times New Roman"/>
            <w:b w:val="false"/>
            <w:i w:val="false"/>
            <w:color w:val="000000"/>
            <w:sz w:val="24"/>
          </w:rPr>
          <w:t>2505.9(4)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not automatically revoke. A new tax information disclosure designation for a particular tax type(s) and tax period(s) does not revoke a prior tax information disclosure designation for any tax type(s) and tax period(s) unless the taxpayer has indicated in a written submission to the agency that a prior tax information disclosure designation is to be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Withdrawal by the designee. </w:t>
      </w:r>
      <w:r>
        <w:rPr>
          <w:rFonts w:ascii="Times New Roman" w:hAnsi="Times New Roman"/>
          <w:b w:val="false"/>
          <w:i w:val="false"/>
          <w:color w:val="000000"/>
          <w:sz w:val="24"/>
        </w:rPr>
        <w:t>By filing a statement with the agency, a designee may withdraw from the designation in a matter in which a tax information disclosure designation has been filed. The statement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address, and identification number of the taxpayer (e.g., SSN, FEIN, or any federal- or Iowa-issued tax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address, and tax identification number (e.g., PTIN, FEIN, SSN, ITIN, or IAN) of the designee whose designation is to be withdrawn;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clear statement that the designee wishes to withdraw;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Signature of withdrawing designee and signature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2505.9(6)</w:t>
      </w:r>
      <w:r>
        <w:rPr>
          <w:rFonts w:ascii="Times New Roman" w:hAnsi="Times New Roman"/>
          <w:b w:val="false"/>
          <w:i w:val="false"/>
          <w:color w:val="000000"/>
          <w:sz w:val="24"/>
        </w:rPr>
        <w:t> </w:t>
      </w:r>
      <w:r>
        <w:rPr>
          <w:rFonts w:ascii="Times New Roman" w:hAnsi="Times New Roman"/>
          <w:b w:val="false"/>
          <w:i/>
          <w:color w:val="000000"/>
          <w:sz w:val="24"/>
        </w:rPr>
        <w:t xml:space="preserve">Submitting a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Submit separately. </w:t>
      </w:r>
      <w:r>
        <w:rPr>
          <w:rFonts w:ascii="Times New Roman" w:hAnsi="Times New Roman"/>
          <w:b w:val="false"/>
          <w:i w:val="false"/>
          <w:color w:val="000000"/>
          <w:sz w:val="24"/>
        </w:rPr>
        <w:t xml:space="preserve">A tax information disclosure designation form may not be submitted as an attachment to a tax return, except as provided by these rules. A tax information disclosure designation form must be submitted separately to the agency in accordance with the submission instructions on the form. However, the agency may, at its discretion, provide a method for authorizing disclosure on the face of a tax return as defined in Iowa Code section </w:t>
      </w:r>
      <w:hyperlink r:id="rId129">
        <w:r>
          <w:rPr>
            <w:rStyle w:val="Hyperlink"/>
            <w:rFonts w:ascii="Times New Roman" w:hAnsi="Times New Roman"/>
            <w:b w:val="false"/>
            <w:i w:val="false"/>
            <w:color w:val="000000"/>
            <w:sz w:val="24"/>
          </w:rPr>
          <w:t>421.6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Original or electronic forms accepted. </w:t>
      </w:r>
      <w:r>
        <w:rPr>
          <w:rFonts w:ascii="Times New Roman" w:hAnsi="Times New Roman"/>
          <w:b w:val="false"/>
          <w:i w:val="false"/>
          <w:color w:val="000000"/>
          <w:sz w:val="24"/>
        </w:rPr>
        <w:t xml:space="preserve">The agency will accept either the original, a copy, or an electronically scanned and transmitted form. A copy received by facsimile transmission (fax) or email will be accepted. All forms, whether original copy, received via fax, or electronically scanned and transmitted forms, must include a valid signature meeting the requirements of rule </w:t>
      </w:r>
      <w:hyperlink r:id="rId130">
        <w:r>
          <w:rPr>
            <w:rStyle w:val="Hyperlink"/>
            <w:rFonts w:ascii="Times New Roman" w:hAnsi="Times New Roman"/>
            <w:b w:val="false"/>
            <w:i w:val="false"/>
            <w:color w:val="000000"/>
            <w:sz w:val="24"/>
          </w:rPr>
          <w:t>701—8.2</w:t>
        </w:r>
      </w:hyperlink>
      <w:r>
        <w:rPr>
          <w:rFonts w:ascii="Times New Roman" w:hAnsi="Times New Roman"/>
          <w:b w:val="false"/>
          <w:i w:val="false"/>
          <w:color w:val="000000"/>
          <w:sz w:val="24"/>
        </w:rPr>
        <w:t>(421) of the taxpayer to be represented.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Timely submission. </w:t>
      </w:r>
      <w:r>
        <w:rPr>
          <w:rFonts w:ascii="Times New Roman" w:hAnsi="Times New Roman"/>
          <w:b w:val="false"/>
          <w:i w:val="false"/>
          <w:color w:val="000000"/>
          <w:sz w:val="24"/>
        </w:rPr>
        <w:t>If the form is not submitted within six months of the date it is signed, it will be considered invalid.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Evaluation of documentation provided. </w:t>
      </w:r>
      <w:r>
        <w:rPr>
          <w:rFonts w:ascii="Times New Roman" w:hAnsi="Times New Roman"/>
          <w:b w:val="false"/>
          <w:i w:val="false"/>
          <w:color w:val="000000"/>
          <w:sz w:val="24"/>
        </w:rPr>
        <w:t>The agency will evaluate the tax information disclosure designation form and any additional documentation to confirm authorization. Authorization to receive, inspect, and discuss confidential state tax information from the agency shall only cover those matters and time frames covered by the submitted documentation. The party claiming authorization to receive, inspect, and discuss confidential state tax information from the agency on behalf of a taxpayer shall have the burden to prove, to the satisfaction of the agency, the existence and extent of the claimed authorization.</w:t>
      </w:r>
    </w:p>
    <w:p>
      <w:pPr>
        <w:spacing w:before="0" w:after="0" w:line="480"/>
        <w:ind w:left="120"/>
        <w:jc w:val="both"/>
      </w:pPr>
      <w:r>
        <w:rPr>
          <w:rFonts w:ascii="Times New Roman" w:hAnsi="Times New Roman"/>
          <w:b/>
          <w:i w:val="false"/>
          <w:color w:val="000000"/>
          <w:sz w:val="24"/>
        </w:rPr>
        <w:t>701—2505.10</w:t>
      </w:r>
      <w:r>
        <w:rPr>
          <w:rFonts w:ascii="Times New Roman" w:hAnsi="Times New Roman"/>
          <w:b/>
          <w:i w:val="false"/>
          <w:color w:val="000000"/>
          <w:sz w:val="24"/>
        </w:rPr>
        <w:t xml:space="preserve">(17A,22,99G,123,421-453E) </w:t>
      </w:r>
      <w:r>
        <w:rPr>
          <w:rFonts w:ascii="Times New Roman" w:hAnsi="Times New Roman"/>
          <w:b/>
          <w:i w:val="false"/>
          <w:color w:val="000000"/>
          <w:sz w:val="24"/>
        </w:rPr>
        <w:t xml:space="preserve">Release to subject or owner of record.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subject of a record may request to review the subject’s own records by following the procedures in rules </w:t>
      </w:r>
      <w:hyperlink r:id="rId131">
        <w:r>
          <w:rPr>
            <w:rStyle w:val="Hyperlink"/>
            <w:rFonts w:ascii="Times New Roman" w:hAnsi="Times New Roman"/>
            <w:b w:val="false"/>
            <w:i w:val="false"/>
            <w:color w:val="000000"/>
            <w:sz w:val="24"/>
          </w:rPr>
          <w:t>701—2505.3</w:t>
        </w:r>
      </w:hyperlink>
      <w:r>
        <w:rPr>
          <w:rFonts w:ascii="Times New Roman" w:hAnsi="Times New Roman"/>
          <w:b w:val="false"/>
          <w:i w:val="false"/>
          <w:color w:val="000000"/>
          <w:sz w:val="24"/>
        </w:rPr>
        <w:t xml:space="preserve">(17A,22) and </w:t>
      </w:r>
      <w:hyperlink r:id="rId132">
        <w:r>
          <w:rPr>
            <w:rStyle w:val="Hyperlink"/>
            <w:rFonts w:ascii="Times New Roman" w:hAnsi="Times New Roman"/>
            <w:b w:val="false"/>
            <w:i w:val="false"/>
            <w:color w:val="000000"/>
            <w:sz w:val="24"/>
          </w:rPr>
          <w:t>701—2505.4</w:t>
        </w:r>
      </w:hyperlink>
      <w:r>
        <w:rPr>
          <w:rFonts w:ascii="Times New Roman" w:hAnsi="Times New Roman"/>
          <w:b w:val="false"/>
          <w:i w:val="false"/>
          <w:color w:val="000000"/>
          <w:sz w:val="24"/>
        </w:rPr>
        <w:t>(17A,22). However, the agency need not release the following records to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Communications to the agency that are protected from disclosure under Iowa Code section </w:t>
      </w:r>
      <w:hyperlink r:id="rId133">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 Such protected communications include responses to questionnaires solicited by the agency that relate to tax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Records that are a work product of an attorney or are otherwise privileged.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Peace officers’ investigative reports except when disclosure is required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other records that may be withheld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Where a requested record contains information on multiple subjects, the agency may take reasonable steps to protect confidential information relating to the subject or subjects that did not make the request when releasing the record to the requesting subject.</w:t>
      </w:r>
    </w:p>
    <w:p>
      <w:pPr>
        <w:spacing w:before="0" w:after="0" w:line="480"/>
        <w:ind w:left="120"/>
        <w:jc w:val="both"/>
      </w:pPr>
      <w:r>
        <w:rPr>
          <w:rFonts w:ascii="Times New Roman" w:hAnsi="Times New Roman"/>
          <w:b/>
          <w:i w:val="false"/>
          <w:color w:val="000000"/>
          <w:sz w:val="24"/>
        </w:rPr>
        <w:t>701—2505.11</w:t>
      </w:r>
      <w:r>
        <w:rPr>
          <w:rFonts w:ascii="Times New Roman" w:hAnsi="Times New Roman"/>
          <w:b/>
          <w:i w:val="false"/>
          <w:color w:val="000000"/>
          <w:sz w:val="24"/>
        </w:rPr>
        <w:t xml:space="preserve">(17A,22,99G,123,421-453E) </w:t>
      </w:r>
      <w:r>
        <w:rPr>
          <w:rFonts w:ascii="Times New Roman" w:hAnsi="Times New Roman"/>
          <w:b/>
          <w:i w:val="false"/>
          <w:color w:val="000000"/>
          <w:sz w:val="24"/>
        </w:rPr>
        <w:t xml:space="preserve">Personally identifiable information collected and stored by the department. </w:t>
      </w:r>
      <w:r>
        <w:rPr>
          <w:rFonts w:ascii="Times New Roman" w:hAnsi="Times New Roman"/>
          <w:b w:val="false"/>
          <w:i w:val="false"/>
          <w:color w:val="000000"/>
          <w:sz w:val="24"/>
        </w:rPr>
        <w:t>The department collects and maintains both public records and confidential records that contain personally identifiable information. This rule describes the nature, extent, retrieval, storage, and processing of personally identifiable information within the department’s record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2505.11(1)</w:t>
      </w:r>
      <w:r>
        <w:rPr>
          <w:rFonts w:ascii="Times New Roman" w:hAnsi="Times New Roman"/>
          <w:b w:val="false"/>
          <w:i w:val="false"/>
          <w:color w:val="000000"/>
          <w:sz w:val="24"/>
        </w:rPr>
        <w:t> </w:t>
      </w:r>
      <w:r>
        <w:rPr>
          <w:rFonts w:ascii="Times New Roman" w:hAnsi="Times New Roman"/>
          <w:b w:val="false"/>
          <w:i/>
          <w:color w:val="000000"/>
          <w:sz w:val="24"/>
        </w:rPr>
        <w:t xml:space="preserve">Nature and extent. </w:t>
      </w:r>
      <w:r>
        <w:rPr>
          <w:rFonts w:ascii="Times New Roman" w:hAnsi="Times New Roman"/>
          <w:b w:val="false"/>
          <w:i w:val="false"/>
          <w:color w:val="000000"/>
          <w:sz w:val="24"/>
        </w:rPr>
        <w:t>All record systems maintained by the department may contain personally identifiable information concerning matters such as income; property holdings; exchanges; financial transactions; licensing; contested case matters; waivers of rule and declaratory rulings; procurement and leases; bailment shipments; lottery prize claims; lottery sales commission payments; audit and examination; litigation; personnel; and demographic information, such as address and number of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2505.11(2)</w:t>
      </w:r>
      <w:r>
        <w:rPr>
          <w:rFonts w:ascii="Times New Roman" w:hAnsi="Times New Roman"/>
          <w:b w:val="false"/>
          <w:i w:val="false"/>
          <w:color w:val="000000"/>
          <w:sz w:val="24"/>
        </w:rPr>
        <w:t> </w:t>
      </w:r>
      <w:r>
        <w:rPr>
          <w:rFonts w:ascii="Times New Roman" w:hAnsi="Times New Roman"/>
          <w:b w:val="false"/>
          <w:i/>
          <w:color w:val="000000"/>
          <w:sz w:val="24"/>
        </w:rPr>
        <w:t xml:space="preserve">Retrieval. </w:t>
      </w:r>
      <w:r>
        <w:rPr>
          <w:rFonts w:ascii="Times New Roman" w:hAnsi="Times New Roman"/>
          <w:b w:val="false"/>
          <w:i w:val="false"/>
          <w:color w:val="000000"/>
          <w:sz w:val="24"/>
        </w:rPr>
        <w:t>Personal identifiers are used to retrieve information from any of the record systems that the department maintains that contain personally identifiable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2505.11(3)</w:t>
      </w:r>
      <w:r>
        <w:rPr>
          <w:rFonts w:ascii="Times New Roman" w:hAnsi="Times New Roman"/>
          <w:b w:val="false"/>
          <w:i w:val="false"/>
          <w:color w:val="000000"/>
          <w:sz w:val="24"/>
        </w:rPr>
        <w:t> </w:t>
      </w:r>
      <w:r>
        <w:rPr>
          <w:rFonts w:ascii="Times New Roman" w:hAnsi="Times New Roman"/>
          <w:b w:val="false"/>
          <w:i/>
          <w:color w:val="000000"/>
          <w:sz w:val="24"/>
        </w:rPr>
        <w:t xml:space="preserve">Means of storage. </w:t>
      </w:r>
      <w:r>
        <w:rPr>
          <w:rFonts w:ascii="Times New Roman" w:hAnsi="Times New Roman"/>
          <w:b w:val="false"/>
          <w:i w:val="false"/>
          <w:color w:val="000000"/>
          <w:sz w:val="24"/>
        </w:rPr>
        <w:t>Paper, microform, and various electronic means of storage are used to store records containing personally identifiable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2505.11(4)</w:t>
      </w:r>
      <w:r>
        <w:rPr>
          <w:rFonts w:ascii="Times New Roman" w:hAnsi="Times New Roman"/>
          <w:b w:val="false"/>
          <w:i w:val="false"/>
          <w:color w:val="000000"/>
          <w:sz w:val="24"/>
        </w:rPr>
        <w:t> </w:t>
      </w:r>
      <w:r>
        <w:rPr>
          <w:rFonts w:ascii="Times New Roman" w:hAnsi="Times New Roman"/>
          <w:b w:val="false"/>
          <w:i/>
          <w:color w:val="000000"/>
          <w:sz w:val="24"/>
        </w:rPr>
        <w:t xml:space="preserve">Comparison. </w:t>
      </w:r>
      <w:r>
        <w:rPr>
          <w:rFonts w:ascii="Times New Roman" w:hAnsi="Times New Roman"/>
          <w:b w:val="false"/>
          <w:i w:val="false"/>
          <w:color w:val="000000"/>
          <w:sz w:val="24"/>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2505.11(5)</w:t>
      </w:r>
      <w:r>
        <w:rPr>
          <w:rFonts w:ascii="Times New Roman" w:hAnsi="Times New Roman"/>
          <w:b w:val="false"/>
          <w:i w:val="false"/>
          <w:color w:val="000000"/>
          <w:sz w:val="24"/>
        </w:rPr>
        <w:t> </w:t>
      </w:r>
      <w:r>
        <w:rPr>
          <w:rFonts w:ascii="Times New Roman" w:hAnsi="Times New Roman"/>
          <w:b w:val="false"/>
          <w:i/>
          <w:color w:val="000000"/>
          <w:sz w:val="24"/>
        </w:rPr>
        <w:t xml:space="preserve">Comparison with data from outside the department. </w:t>
      </w:r>
      <w:r>
        <w:rPr>
          <w:rFonts w:ascii="Times New Roman" w:hAnsi="Times New Roman"/>
          <w:b w:val="false"/>
          <w:i w:val="false"/>
          <w:color w:val="000000"/>
          <w:sz w:val="24"/>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line="480"/>
        <w:ind w:left="120"/>
        <w:jc w:val="both"/>
      </w:pPr>
      <w:r>
        <w:rPr>
          <w:rFonts w:ascii="Times New Roman" w:hAnsi="Times New Roman"/>
          <w:b/>
          <w:i w:val="false"/>
          <w:color w:val="000000"/>
          <w:sz w:val="24"/>
        </w:rPr>
        <w:t>2505.11(6)</w:t>
      </w:r>
      <w:r>
        <w:rPr>
          <w:rFonts w:ascii="Times New Roman" w:hAnsi="Times New Roman"/>
          <w:b w:val="false"/>
          <w:i w:val="false"/>
          <w:color w:val="000000"/>
          <w:sz w:val="24"/>
        </w:rPr>
        <w:t> </w:t>
      </w:r>
      <w:r>
        <w:rPr>
          <w:rFonts w:ascii="Times New Roman" w:hAnsi="Times New Roman"/>
          <w:b w:val="false"/>
          <w:i/>
          <w:color w:val="000000"/>
          <w:sz w:val="24"/>
        </w:rPr>
        <w:t xml:space="preserve">Records containing personally identifiable information.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134">
        <w:r>
          <w:rPr>
            <w:rStyle w:val="Hyperlink"/>
            <w:rFonts w:ascii="Times New Roman" w:hAnsi="Times New Roman"/>
            <w:b w:val="false"/>
            <w:i w:val="false"/>
            <w:color w:val="000000"/>
            <w:sz w:val="24"/>
          </w:rPr>
          <w:t>8A</w:t>
        </w:r>
      </w:hyperlink>
      <w:r>
        <w:rPr>
          <w:rFonts w:ascii="Times New Roman" w:hAnsi="Times New Roman"/>
          <w:b w:val="false"/>
          <w:i w:val="false"/>
          <w:color w:val="000000"/>
          <w:sz w:val="24"/>
        </w:rPr>
        <w:t xml:space="preserve">, </w:t>
      </w:r>
      <w:hyperlink r:id="rId13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36">
        <w:r>
          <w:rPr>
            <w:rStyle w:val="Hyperlink"/>
            <w:rFonts w:ascii="Times New Roman" w:hAnsi="Times New Roman"/>
            <w:b w:val="false"/>
            <w:i w:val="false"/>
            <w:color w:val="000000"/>
            <w:sz w:val="24"/>
          </w:rPr>
          <w:t>99G</w:t>
        </w:r>
      </w:hyperlink>
      <w:r>
        <w:rPr>
          <w:rFonts w:ascii="Times New Roman" w:hAnsi="Times New Roman"/>
          <w:b w:val="false"/>
          <w:i w:val="false"/>
          <w:color w:val="000000"/>
          <w:sz w:val="24"/>
        </w:rPr>
        <w:t xml:space="preserve">, and </w:t>
      </w:r>
      <w:hyperlink r:id="rId137">
        <w:r>
          <w:rPr>
            <w:rStyle w:val="Hyperlink"/>
            <w:rFonts w:ascii="Times New Roman" w:hAnsi="Times New Roman"/>
            <w:b w:val="false"/>
            <w:i w:val="false"/>
            <w:color w:val="000000"/>
            <w:sz w:val="24"/>
          </w:rPr>
          <w:t>123</w:t>
        </w:r>
      </w:hyperlink>
      <w:r>
        <w:rPr>
          <w:rFonts w:ascii="Times New Roman" w:hAnsi="Times New Roman"/>
          <w:b w:val="false"/>
          <w:i w:val="false"/>
          <w:color w:val="000000"/>
          <w:sz w:val="24"/>
        </w:rPr>
        <w:t xml:space="preserve">, as well as Title X of the Iowa Code. The chart below describes department records that contain personally identifiable information and identifies which records are public records, confidential records, partially open records or partially confidential records. A single record may contain information from several categories in the chart. This information is compiled for the purposes of Iowa Code section </w:t>
      </w:r>
      <w:hyperlink r:id="rId138">
        <w:r>
          <w:rPr>
            <w:rStyle w:val="Hyperlink"/>
            <w:rFonts w:ascii="Times New Roman" w:hAnsi="Times New Roman"/>
            <w:b w:val="false"/>
            <w:i w:val="false"/>
            <w:color w:val="000000"/>
            <w:sz w:val="24"/>
          </w:rPr>
          <w:t>22.11</w:t>
        </w:r>
      </w:hyperlink>
      <w:r>
        <w:rPr>
          <w:rFonts w:ascii="Times New Roman" w:hAnsi="Times New Roman"/>
          <w:b w:val="false"/>
          <w:i w:val="false"/>
          <w:color w:val="000000"/>
          <w:sz w:val="24"/>
        </w:rPr>
        <w:t>.</w:t>
      </w:r>
    </w:p>
    <w:tbl>
      <w:tblPr>
        <w:tblW w:w="0" w:type="auto"/>
        <w:tblCellSpacing w:w="0" w:type="auto"/>
        <w:tblBorders>
          <w:top w:val="none"/>
          <w:left w:val="none"/>
          <w:bottom w:val="none"/>
          <w:right w:val="none"/>
          <w:insideH w:val="none"/>
          <w:insideV w:val="none"/>
        </w:tblBorders>
        <w:tblLayout w:type="fixed"/>
      </w:tblPr>
      <w:tblGrid>
        <w:gridCol w:w="1920"/>
        <w:gridCol w:w="768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Code</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Meaning</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open for public inspection.</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confidential and are not open to public inspection.</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 is partly open and partly confidential.</w:t>
            </w:r>
          </w:p>
        </w:tc>
      </w:tr>
    </w:tbl>
    <w:tbl>
      <w:tblPr>
        <w:tblW w:w="0" w:type="auto"/>
        <w:tblCellSpacing w:w="0" w:type="auto"/>
        <w:tblBorders>
          <w:top w:val="none"/>
          <w:left w:val="none"/>
          <w:bottom w:val="none"/>
          <w:right w:val="none"/>
          <w:insideH w:val="none"/>
          <w:insideV w:val="none"/>
        </w:tblBorders>
        <w:tblLayout w:type="fixed"/>
      </w:tblPr>
      <w:tblGrid>
        <w:gridCol w:w="4477"/>
        <w:gridCol w:w="895"/>
        <w:gridCol w:w="3580"/>
      </w:tblGrid>
      <w:tr>
        <w:trPr>
          <w:trHeight w:val="345" w:hRule="atLeast"/>
        </w:trPr>
        <w:tc>
          <w:tcPr>
            <w:tcW w:w="4477"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Description of Record</w:t>
            </w:r>
          </w:p>
        </w:tc>
        <w:tc>
          <w:tcPr>
            <w:tcW w:w="895"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Type of Record</w:t>
            </w:r>
          </w:p>
        </w:tc>
        <w:tc>
          <w:tcPr>
            <w:tcW w:w="3580"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Legal Authority for Confidentiality</w:t>
            </w:r>
          </w:p>
        </w:tc>
      </w:tr>
      <w:tr>
        <w:trPr>
          <w:trHeight w:val="57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State tax returns, return information, permit records, tax liability and penalty records, tax policy, tax research records, and all related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Title X, including Iowa Code sections </w:t>
            </w:r>
            <w:hyperlink r:id="rId139">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140">
              <w:r>
                <w:rPr>
                  <w:rStyle w:val="Hyperlink"/>
                  <w:rFonts w:ascii="Times New Roman" w:hAnsi="Times New Roman"/>
                  <w:b w:val="false"/>
                  <w:i w:val="false"/>
                  <w:color w:val="000000"/>
                  <w:sz w:val="14"/>
                </w:rPr>
                <w:t>422.72</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Nontax collection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Title X, including Iowa Code sections </w:t>
            </w:r>
            <w:hyperlink r:id="rId141">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142">
              <w:r>
                <w:rPr>
                  <w:rStyle w:val="Hyperlink"/>
                  <w:rFonts w:ascii="Times New Roman" w:hAnsi="Times New Roman"/>
                  <w:b w:val="false"/>
                  <w:i w:val="false"/>
                  <w:color w:val="000000"/>
                  <w:sz w:val="14"/>
                </w:rPr>
                <w:t>422.72</w:t>
              </w:r>
            </w:hyperlink>
            <w:r>
              <w:rPr>
                <w:rFonts w:ascii="Times New Roman" w:hAnsi="Times New Roman"/>
                <w:b w:val="false"/>
                <w:i w:val="false"/>
                <w:color w:val="000000"/>
                <w:sz w:val="14"/>
              </w:rPr>
              <w:t>, and contractual authority</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 tax returns and return information</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 U.S.C.</w:t>
            </w:r>
            <w:r>
              <w:rPr>
                <w:rFonts w:ascii="Times New Roman" w:hAnsi="Times New Roman"/>
                <w:b w:val="false"/>
                <w:i w:val="false"/>
                <w:color w:val="000000"/>
                <w:sz w:val="14"/>
              </w:rPr>
              <w:t xml:space="preserve"> Section 6103</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Department personnel records, communication records, budget records, and payroll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143">
              <w:r>
                <w:rPr>
                  <w:rStyle w:val="Hyperlink"/>
                  <w:rFonts w:ascii="Times New Roman" w:hAnsi="Times New Roman"/>
                  <w:b w:val="false"/>
                  <w:i w:val="false"/>
                  <w:color w:val="000000"/>
                  <w:sz w:val="14"/>
                </w:rPr>
                <w:t>22.7</w:t>
              </w:r>
            </w:hyperlink>
            <w:r>
              <w:rPr>
                <w:rFonts w:ascii="Times New Roman" w:hAnsi="Times New Roman"/>
                <w:b w:val="false"/>
                <w:i w:val="false"/>
                <w:color w:val="000000"/>
                <w:sz w:val="14"/>
              </w:rPr>
              <w:t xml:space="preserve"> and </w:t>
            </w:r>
            <w:hyperlink r:id="rId144">
              <w:r>
                <w:rPr>
                  <w:rStyle w:val="Hyperlink"/>
                  <w:rFonts w:ascii="Times New Roman" w:hAnsi="Times New Roman"/>
                  <w:b w:val="false"/>
                  <w:i w:val="false"/>
                  <w:color w:val="000000"/>
                  <w:sz w:val="14"/>
                </w:rPr>
                <w:t>99G.34(2)</w:t>
              </w:r>
            </w:hyperlink>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Minutes of closed meetings of a government body</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45">
              <w:r>
                <w:rPr>
                  <w:rStyle w:val="Hyperlink"/>
                  <w:rFonts w:ascii="Times New Roman" w:hAnsi="Times New Roman"/>
                  <w:b w:val="false"/>
                  <w:i w:val="false"/>
                  <w:color w:val="000000"/>
                  <w:sz w:val="14"/>
                </w:rPr>
                <w:t>21.5(4)</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Records that constitute attorney work product or attorney-client communications or are otherwise privileged</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46">
              <w:r>
                <w:rPr>
                  <w:rStyle w:val="Hyperlink"/>
                  <w:rFonts w:ascii="Times New Roman" w:hAnsi="Times New Roman"/>
                  <w:b w:val="false"/>
                  <w:i w:val="false"/>
                  <w:color w:val="000000"/>
                  <w:sz w:val="14"/>
                </w:rPr>
                <w:t>22.7(4)</w:t>
              </w:r>
            </w:hyperlink>
            <w:r>
              <w:rPr>
                <w:rFonts w:ascii="Times New Roman" w:hAnsi="Times New Roman"/>
                <w:b w:val="false"/>
                <w:i w:val="false"/>
                <w:color w:val="000000"/>
                <w:sz w:val="14"/>
              </w:rPr>
              <w:t>, Iowa Rule of Civil Procedure 1.503, Federal Rule of Civil Procedure 26(b)(3), and case law</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Sealed bids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47">
              <w:r>
                <w:rPr>
                  <w:rStyle w:val="Hyperlink"/>
                  <w:rFonts w:ascii="Times New Roman" w:hAnsi="Times New Roman"/>
                  <w:b w:val="false"/>
                  <w:i w:val="false"/>
                  <w:color w:val="000000"/>
                  <w:sz w:val="14"/>
                </w:rPr>
                <w:t>72.3</w:t>
              </w:r>
            </w:hyperlink>
          </w:p>
        </w:tc>
      </w:tr>
      <w:tr>
        <w:trPr>
          <w:trHeight w:val="2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Final orders, decisions, and opinions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48">
              <w:r>
                <w:rPr>
                  <w:rStyle w:val="Hyperlink"/>
                  <w:rFonts w:ascii="Times New Roman" w:hAnsi="Times New Roman"/>
                  <w:b w:val="false"/>
                  <w:i w:val="false"/>
                  <w:color w:val="000000"/>
                  <w:sz w:val="14"/>
                </w:rPr>
                <w:t>17A.3(1)</w:t>
              </w:r>
            </w:hyperlink>
            <w:r>
              <w:rPr>
                <w:rFonts w:ascii="Times New Roman" w:hAnsi="Times New Roman"/>
                <w:b w:val="false"/>
                <w:i/>
                <w:color w:val="000000"/>
                <w:sz w:val="14"/>
              </w:rPr>
              <w:t>“b”</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and permit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49">
              <w:r>
                <w:rPr>
                  <w:rStyle w:val="Hyperlink"/>
                  <w:rFonts w:ascii="Times New Roman" w:hAnsi="Times New Roman"/>
                  <w:b w:val="false"/>
                  <w:i w:val="false"/>
                  <w:color w:val="000000"/>
                  <w:sz w:val="14"/>
                </w:rPr>
                <w:t>99G.24</w:t>
              </w:r>
            </w:hyperlink>
            <w:r>
              <w:rPr>
                <w:rFonts w:ascii="Times New Roman" w:hAnsi="Times New Roman"/>
                <w:b w:val="false"/>
                <w:i w:val="false"/>
                <w:color w:val="000000"/>
                <w:sz w:val="14"/>
              </w:rPr>
              <w:t xml:space="preserve">, chapter </w:t>
            </w:r>
            <w:hyperlink r:id="rId150">
              <w:r>
                <w:rPr>
                  <w:rStyle w:val="Hyperlink"/>
                  <w:rFonts w:ascii="Times New Roman" w:hAnsi="Times New Roman"/>
                  <w:b w:val="false"/>
                  <w:i w:val="false"/>
                  <w:color w:val="000000"/>
                  <w:sz w:val="14"/>
                </w:rPr>
                <w:t>123</w:t>
              </w:r>
            </w:hyperlink>
            <w:r>
              <w:rPr>
                <w:rFonts w:ascii="Times New Roman" w:hAnsi="Times New Roman"/>
                <w:b w:val="false"/>
                <w:i w:val="false"/>
                <w:color w:val="000000"/>
                <w:sz w:val="14"/>
              </w:rPr>
              <w:t>, and Title X</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Investigation, audit, and examination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151">
              <w:r>
                <w:rPr>
                  <w:rStyle w:val="Hyperlink"/>
                  <w:rFonts w:ascii="Times New Roman" w:hAnsi="Times New Roman"/>
                  <w:b w:val="false"/>
                  <w:i w:val="false"/>
                  <w:color w:val="000000"/>
                  <w:sz w:val="14"/>
                </w:rPr>
                <w:t>99G.34(4)</w:t>
              </w:r>
            </w:hyperlink>
            <w:r>
              <w:rPr>
                <w:rFonts w:ascii="Times New Roman" w:hAnsi="Times New Roman"/>
                <w:b w:val="false"/>
                <w:i w:val="false"/>
                <w:color w:val="000000"/>
                <w:sz w:val="14"/>
              </w:rPr>
              <w:t xml:space="preserve">, </w:t>
            </w:r>
            <w:hyperlink r:id="rId152">
              <w:r>
                <w:rPr>
                  <w:rStyle w:val="Hyperlink"/>
                  <w:rFonts w:ascii="Times New Roman" w:hAnsi="Times New Roman"/>
                  <w:b w:val="false"/>
                  <w:i w:val="false"/>
                  <w:color w:val="000000"/>
                  <w:sz w:val="14"/>
                </w:rPr>
                <w:t>99G.35</w:t>
              </w:r>
            </w:hyperlink>
            <w:r>
              <w:rPr>
                <w:rFonts w:ascii="Times New Roman" w:hAnsi="Times New Roman"/>
                <w:b w:val="false"/>
                <w:i w:val="false"/>
                <w:color w:val="000000"/>
                <w:sz w:val="14"/>
              </w:rPr>
              <w:t xml:space="preserve">, </w:t>
            </w:r>
            <w:hyperlink r:id="rId153">
              <w:r>
                <w:rPr>
                  <w:rStyle w:val="Hyperlink"/>
                  <w:rFonts w:ascii="Times New Roman" w:hAnsi="Times New Roman"/>
                  <w:b w:val="false"/>
                  <w:i w:val="false"/>
                  <w:color w:val="000000"/>
                  <w:sz w:val="14"/>
                </w:rPr>
                <w:t>123.38A</w:t>
              </w:r>
            </w:hyperlink>
            <w:r>
              <w:rPr>
                <w:rFonts w:ascii="Times New Roman" w:hAnsi="Times New Roman"/>
                <w:b w:val="false"/>
                <w:i w:val="false"/>
                <w:color w:val="000000"/>
                <w:sz w:val="14"/>
              </w:rPr>
              <w:t xml:space="preserve">, </w:t>
            </w:r>
            <w:hyperlink r:id="rId154">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155">
              <w:r>
                <w:rPr>
                  <w:rStyle w:val="Hyperlink"/>
                  <w:rFonts w:ascii="Times New Roman" w:hAnsi="Times New Roman"/>
                  <w:b w:val="false"/>
                  <w:i w:val="false"/>
                  <w:color w:val="000000"/>
                  <w:sz w:val="14"/>
                </w:rPr>
                <w:t>422.72</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player and winner lists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156">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w:t>
            </w:r>
            <w:hyperlink r:id="rId157">
              <w:r>
                <w:rPr>
                  <w:rStyle w:val="Hyperlink"/>
                  <w:rFonts w:ascii="Times New Roman" w:hAnsi="Times New Roman"/>
                  <w:b w:val="false"/>
                  <w:i w:val="false"/>
                  <w:color w:val="000000"/>
                  <w:sz w:val="14"/>
                </w:rPr>
                <w:t>99G.34(5)</w:t>
              </w:r>
            </w:hyperlink>
            <w:r>
              <w:rPr>
                <w:rFonts w:ascii="Times New Roman" w:hAnsi="Times New Roman"/>
                <w:b w:val="false"/>
                <w:i w:val="false"/>
                <w:color w:val="000000"/>
                <w:sz w:val="14"/>
              </w:rPr>
              <w:t xml:space="preserve">, and </w:t>
            </w:r>
            <w:hyperlink r:id="rId158">
              <w:r>
                <w:rPr>
                  <w:rStyle w:val="Hyperlink"/>
                  <w:rFonts w:ascii="Times New Roman" w:hAnsi="Times New Roman"/>
                  <w:b w:val="false"/>
                  <w:i w:val="false"/>
                  <w:color w:val="000000"/>
                  <w:sz w:val="14"/>
                </w:rPr>
                <w:t>99G.41(3)</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retailer compensation payments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159">
              <w:r>
                <w:rPr>
                  <w:rStyle w:val="Hyperlink"/>
                  <w:rFonts w:ascii="Times New Roman" w:hAnsi="Times New Roman"/>
                  <w:b w:val="false"/>
                  <w:i w:val="false"/>
                  <w:color w:val="000000"/>
                  <w:sz w:val="14"/>
                </w:rPr>
                <w:t>99G.24(2)</w:t>
              </w:r>
            </w:hyperlink>
            <w:r>
              <w:rPr>
                <w:rFonts w:ascii="Times New Roman" w:hAnsi="Times New Roman"/>
                <w:b w:val="false"/>
                <w:i w:val="false"/>
                <w:color w:val="000000"/>
                <w:sz w:val="14"/>
              </w:rPr>
              <w:t xml:space="preserve">, </w:t>
            </w:r>
            <w:hyperlink r:id="rId160">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and </w:t>
            </w:r>
            <w:hyperlink r:id="rId161">
              <w:r>
                <w:rPr>
                  <w:rStyle w:val="Hyperlink"/>
                  <w:rFonts w:ascii="Times New Roman" w:hAnsi="Times New Roman"/>
                  <w:b w:val="false"/>
                  <w:i w:val="false"/>
                  <w:color w:val="000000"/>
                  <w:sz w:val="14"/>
                </w:rPr>
                <w:t>99G.41(5)</w:t>
              </w:r>
            </w:hyperlink>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procedure for public records requests may be found in rules </w:t>
      </w:r>
      <w:hyperlink r:id="rId162">
        <w:r>
          <w:rPr>
            <w:rStyle w:val="Hyperlink"/>
            <w:rFonts w:ascii="Times New Roman" w:hAnsi="Times New Roman"/>
            <w:b w:val="false"/>
            <w:i w:val="false"/>
            <w:color w:val="000000"/>
            <w:sz w:val="24"/>
          </w:rPr>
          <w:t>7—2505.3</w:t>
        </w:r>
      </w:hyperlink>
      <w:r>
        <w:rPr>
          <w:rFonts w:ascii="Times New Roman" w:hAnsi="Times New Roman"/>
          <w:b w:val="false"/>
          <w:i w:val="false"/>
          <w:color w:val="000000"/>
          <w:sz w:val="24"/>
        </w:rPr>
        <w:t xml:space="preserve">(17A) and </w:t>
      </w:r>
      <w:hyperlink r:id="rId163">
        <w:r>
          <w:rPr>
            <w:rStyle w:val="Hyperlink"/>
            <w:rFonts w:ascii="Times New Roman" w:hAnsi="Times New Roman"/>
            <w:b w:val="false"/>
            <w:i w:val="false"/>
            <w:color w:val="000000"/>
            <w:sz w:val="24"/>
          </w:rPr>
          <w:t>701—2505.3</w:t>
        </w:r>
      </w:hyperlink>
      <w:r>
        <w:rPr>
          <w:rFonts w:ascii="Times New Roman" w:hAnsi="Times New Roman"/>
          <w:b w:val="false"/>
          <w:i w:val="false"/>
          <w:color w:val="000000"/>
          <w:sz w:val="24"/>
        </w:rPr>
        <w:t>(17A,22).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procedure for allowing a person to have additions, dissents, or objections entered in the record will be determined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subject of the confidential record may either request the record independently and give it to the named third party or authorize the third party to request the subject’s confidential information under Iowa Code section </w:t>
      </w:r>
      <w:hyperlink r:id="rId164">
        <w:r>
          <w:rPr>
            <w:rStyle w:val="Hyperlink"/>
            <w:rFonts w:ascii="Times New Roman" w:hAnsi="Times New Roman"/>
            <w:b w:val="false"/>
            <w:i w:val="false"/>
            <w:color w:val="000000"/>
            <w:sz w:val="24"/>
          </w:rPr>
          <w:t>421.59</w:t>
        </w:r>
      </w:hyperlink>
      <w:r>
        <w:rPr>
          <w:rFonts w:ascii="Times New Roman" w:hAnsi="Times New Roman"/>
          <w:b w:val="false"/>
          <w:i w:val="false"/>
          <w:color w:val="000000"/>
          <w:sz w:val="24"/>
        </w:rPr>
        <w:t xml:space="preserve">, </w:t>
      </w:r>
      <w:hyperlink r:id="rId165">
        <w:r>
          <w:rPr>
            <w:rStyle w:val="Hyperlink"/>
            <w:rFonts w:ascii="Times New Roman" w:hAnsi="Times New Roman"/>
            <w:b w:val="false"/>
            <w:i w:val="false"/>
            <w:color w:val="000000"/>
            <w:sz w:val="24"/>
          </w:rPr>
          <w:t>422.20(7)</w:t>
        </w:r>
      </w:hyperlink>
      <w:r>
        <w:rPr>
          <w:rFonts w:ascii="Times New Roman" w:hAnsi="Times New Roman"/>
          <w:b w:val="false"/>
          <w:i w:val="false"/>
          <w:color w:val="000000"/>
          <w:sz w:val="24"/>
        </w:rPr>
        <w:t xml:space="preserve">, or </w:t>
      </w:r>
      <w:hyperlink r:id="rId166">
        <w:r>
          <w:rPr>
            <w:rStyle w:val="Hyperlink"/>
            <w:rFonts w:ascii="Times New Roman" w:hAnsi="Times New Roman"/>
            <w:b w:val="false"/>
            <w:i w:val="false"/>
            <w:color w:val="000000"/>
            <w:sz w:val="24"/>
          </w:rPr>
          <w:t>422.72(9)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department utilizes more than one data processing system, and information is matched between systems.</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6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68">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w:t>
      </w:r>
      <w:hyperlink r:id="rId169">
        <w:r>
          <w:rPr>
            <w:rStyle w:val="Hyperlink"/>
            <w:rFonts w:ascii="Times New Roman" w:hAnsi="Times New Roman"/>
            <w:b w:val="false"/>
            <w:i w:val="false"/>
            <w:color w:val="000000"/>
            <w:sz w:val="24"/>
          </w:rPr>
          <w:t>99G</w:t>
        </w:r>
      </w:hyperlink>
      <w:r>
        <w:rPr>
          <w:rFonts w:ascii="Times New Roman" w:hAnsi="Times New Roman"/>
          <w:b w:val="false"/>
          <w:i w:val="false"/>
          <w:color w:val="000000"/>
          <w:sz w:val="24"/>
        </w:rPr>
        <w:t xml:space="preserve">, </w:t>
      </w:r>
      <w:hyperlink r:id="rId170">
        <w:r>
          <w:rPr>
            <w:rStyle w:val="Hyperlink"/>
            <w:rFonts w:ascii="Times New Roman" w:hAnsi="Times New Roman"/>
            <w:b w:val="false"/>
            <w:i w:val="false"/>
            <w:color w:val="000000"/>
            <w:sz w:val="24"/>
          </w:rPr>
          <w:t>123</w:t>
        </w:r>
      </w:hyperlink>
      <w:r>
        <w:rPr>
          <w:rFonts w:ascii="Times New Roman" w:hAnsi="Times New Roman"/>
          <w:b w:val="false"/>
          <w:i w:val="false"/>
          <w:color w:val="000000"/>
          <w:sz w:val="24"/>
        </w:rPr>
        <w:t xml:space="preserve">, and </w:t>
      </w:r>
      <w:hyperlink r:id="rId171">
        <w:r>
          <w:rPr>
            <w:rStyle w:val="Hyperlink"/>
            <w:rFonts w:ascii="Times New Roman" w:hAnsi="Times New Roman"/>
            <w:b w:val="false"/>
            <w:i w:val="false"/>
            <w:color w:val="000000"/>
            <w:sz w:val="24"/>
          </w:rPr>
          <w:t>421</w:t>
        </w:r>
      </w:hyperlink>
      <w:r>
        <w:rPr>
          <w:rFonts w:ascii="Times New Roman" w:hAnsi="Times New Roman"/>
          <w:b w:val="false"/>
          <w:i w:val="false"/>
          <w:color w:val="000000"/>
          <w:sz w:val="24"/>
        </w:rPr>
        <w:t xml:space="preserve"> through </w:t>
      </w:r>
      <w:hyperlink r:id="rId172">
        <w:r>
          <w:rPr>
            <w:rStyle w:val="Hyperlink"/>
            <w:rFonts w:ascii="Times New Roman" w:hAnsi="Times New Roman"/>
            <w:b w:val="false"/>
            <w:i w:val="false"/>
            <w:color w:val="000000"/>
            <w:sz w:val="24"/>
          </w:rPr>
          <w:t>453E</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701—Chapter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173">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174">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75">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701—2506.2</w:t>
      </w:r>
      <w:r>
        <w:rPr>
          <w:rFonts w:ascii="Times New Roman" w:hAnsi="Times New Roman"/>
          <w:b/>
          <w:i w:val="false"/>
          <w:color w:val="000000"/>
          <w:sz w:val="24"/>
        </w:rPr>
        <w:t xml:space="preserve">(17A)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“Pleadings”</w:t>
      </w:r>
      <w:r>
        <w:rPr>
          <w:rFonts w:ascii="Times New Roman" w:hAnsi="Times New Roman"/>
          <w:b w:val="false"/>
          <w:i w:val="false"/>
          <w:color w:val="000000"/>
          <w:sz w:val="24"/>
        </w:rPr>
        <w:t> </w:t>
      </w:r>
      <w:r>
        <w:rPr>
          <w:rFonts w:ascii="Times New Roman" w:hAnsi="Times New Roman"/>
          <w:b w:val="false"/>
          <w:i w:val="false"/>
          <w:color w:val="000000"/>
          <w:sz w:val="24"/>
        </w:rPr>
        <w:t>means appeal, answer, reply or other similar document filed in a contested case proceeding, including contested cases involving no factual dispute.</w:t>
      </w:r>
    </w:p>
    <w:p>
      <w:pPr>
        <w:spacing w:before="0" w:after="0" w:line="480"/>
        <w:ind w:left="120"/>
        <w:jc w:val="both"/>
      </w:pPr>
      <w:r>
        <w:rPr>
          <w:rFonts w:ascii="Times New Roman" w:hAnsi="Times New Roman"/>
          <w:b/>
          <w:i w:val="false"/>
          <w:color w:val="000000"/>
          <w:sz w:val="24"/>
        </w:rPr>
        <w:t>701—2506.3</w:t>
      </w:r>
      <w:r>
        <w:rPr>
          <w:rFonts w:ascii="Times New Roman" w:hAnsi="Times New Roman"/>
          <w:b/>
          <w:i w:val="false"/>
          <w:color w:val="000000"/>
          <w:sz w:val="24"/>
        </w:rPr>
        <w:t xml:space="preserve">(17A) </w:t>
      </w:r>
      <w:r>
        <w:rPr>
          <w:rFonts w:ascii="Times New Roman" w:hAnsi="Times New Roman"/>
          <w:b/>
          <w:i w:val="false"/>
          <w:color w:val="000000"/>
          <w:sz w:val="24"/>
        </w:rPr>
        <w:t xml:space="preserve">Time obligations.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2506.3(1)</w:t>
      </w:r>
      <w:r>
        <w:rPr>
          <w:rFonts w:ascii="Times New Roman" w:hAnsi="Times New Roman"/>
          <w:b w:val="false"/>
          <w:i w:val="false"/>
          <w:color w:val="000000"/>
          <w:sz w:val="24"/>
        </w:rPr>
        <w:t> </w:t>
      </w:r>
      <w:r>
        <w:rPr>
          <w:rFonts w:ascii="Times New Roman" w:hAnsi="Times New Roman"/>
          <w:b w:val="false"/>
          <w:i w:val="false"/>
          <w:color w:val="000000"/>
          <w:sz w:val="24"/>
        </w:rPr>
        <w:t xml:space="preserve">Time is computed as provided in rule </w:t>
      </w:r>
      <w:hyperlink r:id="rId176">
        <w:r>
          <w:rPr>
            <w:rStyle w:val="Hyperlink"/>
            <w:rFonts w:ascii="Times New Roman" w:hAnsi="Times New Roman"/>
            <w:b w:val="false"/>
            <w:i w:val="false"/>
            <w:color w:val="000000"/>
            <w:sz w:val="24"/>
          </w:rPr>
          <w:t>701—2507.4</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i w:val="false"/>
          <w:color w:val="000000"/>
          <w:sz w:val="24"/>
        </w:rPr>
        <w:t>701—2506.11</w:t>
      </w:r>
      <w:r>
        <w:rPr>
          <w:rFonts w:ascii="Times New Roman" w:hAnsi="Times New Roman"/>
          <w:b/>
          <w:i w:val="false"/>
          <w:color w:val="000000"/>
          <w:sz w:val="24"/>
        </w:rPr>
        <w:t xml:space="preserve">(17A) </w:t>
      </w:r>
      <w:r>
        <w:rPr>
          <w:rFonts w:ascii="Times New Roman" w:hAnsi="Times New Roman"/>
          <w:b/>
          <w:i w:val="false"/>
          <w:color w:val="000000"/>
          <w:sz w:val="24"/>
        </w:rPr>
        <w:t xml:space="preserve">Pleadings.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2506.11(2)</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2506.11(4)</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Amendments to pleadings after a responsive pleading has been filed and to an answer may be allowed with the consent of the other parties or in the discretion of the presiding officer who may impose terms or grant a continuance.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2506.11(5)</w:t>
      </w:r>
      <w:r>
        <w:rPr>
          <w:rFonts w:ascii="Times New Roman" w:hAnsi="Times New Roman"/>
          <w:b w:val="false"/>
          <w:i w:val="false"/>
          <w:color w:val="000000"/>
          <w:sz w:val="24"/>
        </w:rPr>
        <w:t> </w:t>
      </w:r>
      <w:r>
        <w:rPr>
          <w:rFonts w:ascii="Times New Roman" w:hAnsi="Times New Roman"/>
          <w:b w:val="false"/>
          <w:i/>
          <w:color w:val="000000"/>
          <w:sz w:val="24"/>
        </w:rPr>
        <w:t xml:space="preserve">Alcohol-related hearing complaint.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agency,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violation of the laws and rules applicable to the sale and distribution of alcohol.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Failure to comply with an order issued by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hearing complaint shall state in separately numbered paragraphs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persons or entities on whose behalf the hearing complaint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particular provisions of statutes and rules involved.</w:t>
      </w:r>
    </w:p>
    <w:p>
      <w:pPr>
        <w:spacing w:before="0" w:after="0" w:line="480"/>
        <w:ind w:left="120"/>
        <w:jc w:val="both"/>
      </w:pPr>
      <w:r>
        <w:rPr>
          <w:rFonts w:ascii="Times New Roman" w:hAnsi="Times New Roman"/>
          <w:b/>
          <w:i w:val="false"/>
          <w:color w:val="000000"/>
          <w:sz w:val="24"/>
        </w:rPr>
        <w:t>701—2506.17</w:t>
      </w:r>
      <w:r>
        <w:rPr>
          <w:rFonts w:ascii="Times New Roman" w:hAnsi="Times New Roman"/>
          <w:b/>
          <w:i w:val="false"/>
          <w:color w:val="000000"/>
          <w:sz w:val="24"/>
        </w:rPr>
        <w:t xml:space="preserve">(17A) </w:t>
      </w:r>
      <w:r>
        <w:rPr>
          <w:rFonts w:ascii="Times New Roman" w:hAnsi="Times New Roman"/>
          <w:b/>
          <w:i w:val="false"/>
          <w:color w:val="000000"/>
          <w:sz w:val="24"/>
        </w:rPr>
        <w:t xml:space="preserve">Continuances. </w:t>
      </w:r>
      <w:r>
        <w:rPr>
          <w:rFonts w:ascii="Times New Roman" w:hAnsi="Times New Roman"/>
          <w:b w:val="false"/>
          <w:i w:val="false"/>
          <w:color w:val="000000"/>
          <w:sz w:val="24"/>
        </w:rPr>
        <w:t>Applications for continuances can be made to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2506.17(1)</w:t>
      </w:r>
      <w:r>
        <w:rPr>
          <w:rFonts w:ascii="Times New Roman" w:hAnsi="Times New Roman"/>
          <w:b w:val="false"/>
          <w:i w:val="false"/>
          <w:color w:val="000000"/>
          <w:sz w:val="24"/>
        </w:rPr>
        <w:t> </w:t>
      </w:r>
      <w:r>
        <w:rPr>
          <w:rFonts w:ascii="Times New Roman" w:hAnsi="Times New Roman"/>
          <w:b w:val="false"/>
          <w:i w:val="false"/>
          <w:color w:val="000000"/>
          <w:sz w:val="24"/>
        </w:rPr>
        <w:t>A written application for a continuance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made at the earliest possible time and no less than three days before the hearing, except in case of unanticipated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 the specific reasons for the request;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signed by the requesting party or the party’s representative.</w:t>
      </w:r>
    </w:p>
    <w:p>
      <w:pPr>
        <w:spacing w:before="0" w:after="0" w:line="480"/>
        <w:ind w:left="120"/>
        <w:jc w:val="both"/>
      </w:pPr>
      <w:r>
        <w:rPr>
          <w:rFonts w:ascii="Times New Roman" w:hAnsi="Times New Roman"/>
          <w:b w:val="false"/>
          <w:i w:val="false"/>
          <w:color w:val="000000"/>
          <w:sz w:val="24"/>
        </w:rPr>
        <w:t>No application for continuance will be made or granted without notice to all parties, except in an emergency where notice is not feasible. The agency may waive notice of such requests for a particular case or an entire class of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2506.17(2)</w:t>
      </w:r>
      <w:r>
        <w:rPr>
          <w:rFonts w:ascii="Times New Roman" w:hAnsi="Times New Roman"/>
          <w:b w:val="false"/>
          <w:i w:val="false"/>
          <w:color w:val="000000"/>
          <w:sz w:val="24"/>
        </w:rPr>
        <w:t> </w:t>
      </w:r>
      <w:r>
        <w:rPr>
          <w:rFonts w:ascii="Times New Roman" w:hAnsi="Times New Roman"/>
          <w:b w:val="false"/>
          <w:i w:val="false"/>
          <w:color w:val="000000"/>
          <w:sz w:val="24"/>
        </w:rPr>
        <w:t>In determining whether to grant a continuance, the presiding officer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continuances;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interests of all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likelihood of informal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existence of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objection;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applicable time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existence of a conflict in the schedules of counsel, parties, or witnesses;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timeliness of the request;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Other relevant factors.</w:t>
      </w:r>
    </w:p>
    <w:p>
      <w:pPr>
        <w:spacing w:before="0" w:after="0" w:line="480"/>
        <w:ind w:left="120"/>
        <w:jc w:val="both"/>
      </w:pPr>
      <w:r>
        <w:rPr>
          <w:rFonts w:ascii="Times New Roman" w:hAnsi="Times New Roman"/>
          <w:b w:val="false"/>
          <w:i w:val="false"/>
          <w:color w:val="000000"/>
          <w:sz w:val="24"/>
        </w:rPr>
        <w:t>The presiding officer may order a party to furnish evidence of facts supporting or opposing the request. Notwithstanding the foregoing, each party is entitled to one continuance without the need of a good cause showing unless a continuance would cause the contested case proceeding to exceed a time limit set forth in another applicable statute or rule.</w:t>
      </w:r>
    </w:p>
    <w:p>
      <w:pPr>
        <w:spacing w:before="0" w:after="0" w:line="480"/>
        <w:ind w:left="120"/>
        <w:jc w:val="both"/>
      </w:pPr>
      <w:r>
        <w:rPr>
          <w:rFonts w:ascii="Times New Roman" w:hAnsi="Times New Roman"/>
          <w:b/>
          <w:i w:val="false"/>
          <w:color w:val="000000"/>
          <w:sz w:val="24"/>
        </w:rPr>
        <w:t>701—2506.20</w:t>
      </w:r>
      <w:r>
        <w:rPr>
          <w:rFonts w:ascii="Times New Roman" w:hAnsi="Times New Roman"/>
          <w:b/>
          <w:i w:val="false"/>
          <w:color w:val="000000"/>
          <w:sz w:val="24"/>
        </w:rPr>
        <w:t xml:space="preserve">(17A) </w:t>
      </w:r>
      <w:r>
        <w:rPr>
          <w:rFonts w:ascii="Times New Roman" w:hAnsi="Times New Roman"/>
          <w:b/>
          <w:i w:val="false"/>
          <w:color w:val="000000"/>
          <w:sz w:val="24"/>
        </w:rPr>
        <w:t xml:space="preserve">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2506.20(3)</w:t>
      </w:r>
      <w:r>
        <w:rPr>
          <w:rFonts w:ascii="Times New Roman" w:hAnsi="Times New Roman"/>
          <w:b w:val="false"/>
          <w:i w:val="false"/>
          <w:color w:val="000000"/>
          <w:sz w:val="24"/>
        </w:rPr>
        <w:t> </w:t>
      </w:r>
      <w:r>
        <w:rPr>
          <w:rFonts w:ascii="Times New Roman" w:hAnsi="Times New Roman"/>
          <w:b w:val="false"/>
          <w:i w:val="false"/>
          <w:color w:val="000000"/>
          <w:sz w:val="24"/>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Any party may be represented by an attorney or another person authorized by law. An attorney admitted pro hoc vice in accordance with the Iowa Court Rules to practice in an agency administrative action in accordance with Iowa Court Rule 31.14 is obligated to have an in-state attorney present at every interaction with the presiding officer. For matters related to Iowa Code chapters </w:t>
      </w:r>
      <w:hyperlink r:id="rId177">
        <w:r>
          <w:rPr>
            <w:rStyle w:val="Hyperlink"/>
            <w:rFonts w:ascii="Times New Roman" w:hAnsi="Times New Roman"/>
            <w:b w:val="false"/>
            <w:i w:val="false"/>
            <w:color w:val="000000"/>
            <w:sz w:val="24"/>
          </w:rPr>
          <w:t>421</w:t>
        </w:r>
      </w:hyperlink>
      <w:r>
        <w:rPr>
          <w:rFonts w:ascii="Times New Roman" w:hAnsi="Times New Roman"/>
          <w:b w:val="false"/>
          <w:i w:val="false"/>
          <w:color w:val="000000"/>
          <w:sz w:val="24"/>
        </w:rPr>
        <w:t xml:space="preserve"> through </w:t>
      </w:r>
      <w:hyperlink r:id="rId178">
        <w:r>
          <w:rPr>
            <w:rStyle w:val="Hyperlink"/>
            <w:rFonts w:ascii="Times New Roman" w:hAnsi="Times New Roman"/>
            <w:b w:val="false"/>
            <w:i w:val="false"/>
            <w:color w:val="000000"/>
            <w:sz w:val="24"/>
          </w:rPr>
          <w:t>453E</w:t>
        </w:r>
      </w:hyperlink>
      <w:r>
        <w:rPr>
          <w:rFonts w:ascii="Times New Roman" w:hAnsi="Times New Roman"/>
          <w:b w:val="false"/>
          <w:i w:val="false"/>
          <w:color w:val="000000"/>
          <w:sz w:val="24"/>
        </w:rPr>
        <w:t xml:space="preserve">, Iowa Code section </w:t>
      </w:r>
      <w:hyperlink r:id="rId179">
        <w:r>
          <w:rPr>
            <w:rStyle w:val="Hyperlink"/>
            <w:rFonts w:ascii="Times New Roman" w:hAnsi="Times New Roman"/>
            <w:b w:val="false"/>
            <w:i w:val="false"/>
            <w:color w:val="000000"/>
            <w:sz w:val="24"/>
          </w:rPr>
          <w:t>421.59</w:t>
        </w:r>
      </w:hyperlink>
      <w:r>
        <w:rPr>
          <w:rFonts w:ascii="Times New Roman" w:hAnsi="Times New Roman"/>
          <w:b w:val="false"/>
          <w:i w:val="false"/>
          <w:color w:val="000000"/>
          <w:sz w:val="24"/>
        </w:rPr>
        <w:t xml:space="preserve"> and rule </w:t>
      </w:r>
      <w:hyperlink r:id="rId180">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 govern who may represent a party.</w:t>
      </w:r>
    </w:p>
    <w:p>
      <w:pPr>
        <w:spacing w:before="0" w:after="0" w:line="480"/>
        <w:ind w:left="120"/>
        <w:jc w:val="both"/>
      </w:pPr>
      <w:r>
        <w:rPr>
          <w:rFonts w:ascii="Times New Roman" w:hAnsi="Times New Roman"/>
          <w:b/>
          <w:i w:val="false"/>
          <w:color w:val="000000"/>
          <w:sz w:val="24"/>
        </w:rPr>
        <w:t>701—2506.26</w:t>
      </w:r>
      <w:r>
        <w:rPr>
          <w:rFonts w:ascii="Times New Roman" w:hAnsi="Times New Roman"/>
          <w:b/>
          <w:i w:val="false"/>
          <w:color w:val="000000"/>
          <w:sz w:val="24"/>
        </w:rPr>
        <w:t xml:space="preserve">(17A) </w:t>
      </w:r>
      <w:r>
        <w:rPr>
          <w:rFonts w:ascii="Times New Roman" w:hAnsi="Times New Roman"/>
          <w:b/>
          <w:i w:val="false"/>
          <w:color w:val="000000"/>
          <w:sz w:val="24"/>
        </w:rPr>
        <w:t xml:space="preserve">Final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director initially presides at a hearing or considers decisions on appeal from or review of a proposed decision by the presiding officer other than the director, the order becomes the final order of the agency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81">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that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that will be considered by the director.</w:t>
      </w:r>
    </w:p>
    <w:p>
      <w:pPr>
        <w:spacing w:before="0" w:after="0" w:line="480"/>
        <w:ind w:left="120"/>
        <w:jc w:val="left"/>
      </w:pP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701—Chapter 2507</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2507</w:t>
      </w:r>
    </w:p>
    <w:p>
      <w:pPr>
        <w:spacing w:before="0" w:after="0" w:line="480"/>
        <w:ind w:left="120"/>
        <w:jc w:val="center"/>
      </w:pPr>
      <w:r>
        <w:rPr>
          <w:rFonts w:ascii="Times New Roman" w:hAnsi="Times New Roman"/>
          <w:b w:val="false"/>
          <w:i w:val="false"/>
          <w:color w:val="000000"/>
          <w:sz w:val="21"/>
        </w:rPr>
        <w:t xml:space="preserve">FILING A TAX APPEAL AND THE INFORMAL PROCEEDINGS </w:t>
      </w:r>
      <w:r>
        <w:br/>
      </w:r>
      <w:r>
        <w:rPr>
          <w:rFonts w:ascii="Times New Roman" w:hAnsi="Times New Roman"/>
          <w:b w:val="false"/>
          <w:i w:val="false"/>
          <w:color w:val="000000"/>
          <w:sz w:val="21"/>
        </w:rPr>
        <w:t>BEFORE A CONTESTED CASE</w:t>
      </w:r>
    </w:p>
    <w:p>
      <w:pPr>
        <w:spacing w:before="0" w:after="0" w:line="480"/>
        <w:ind w:left="120"/>
        <w:jc w:val="both"/>
      </w:pPr>
      <w:r>
        <w:rPr>
          <w:rFonts w:ascii="Times New Roman" w:hAnsi="Times New Roman"/>
          <w:b/>
          <w:i w:val="false"/>
          <w:color w:val="000000"/>
          <w:sz w:val="24"/>
        </w:rPr>
        <w:t>701—2507.1</w:t>
      </w:r>
      <w:r>
        <w:rPr>
          <w:rFonts w:ascii="Times New Roman" w:hAnsi="Times New Roman"/>
          <w:b/>
          <w:i w:val="false"/>
          <w:color w:val="000000"/>
          <w:sz w:val="24"/>
        </w:rPr>
        <w:t xml:space="preserve">(421,17A) </w:t>
      </w:r>
      <w:r>
        <w:rPr>
          <w:rFonts w:ascii="Times New Roman" w:hAnsi="Times New Roman"/>
          <w:b/>
          <w:i w:val="false"/>
          <w:color w:val="000000"/>
          <w:sz w:val="24"/>
        </w:rPr>
        <w:t xml:space="preserve">Applicability and scope of rules. </w:t>
      </w:r>
      <w:r>
        <w:rPr>
          <w:rFonts w:ascii="Times New Roman" w:hAnsi="Times New Roman"/>
          <w:b w:val="false"/>
          <w:i w:val="false"/>
          <w:color w:val="000000"/>
          <w:sz w:val="24"/>
        </w:rPr>
        <w:t>These rules implement the Iowa Administrative Procedure Act and the Tax Procedures and Practices Act to aid in the effective and efficient administration and enforcement of the laws of this state and other activities of the department. These rules govern the practice, procedure, and conduct concerning the filing of tax appeals and the informal proceedings before a contested case is commenced. The rules in this chapter apply to all informal proceedings.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8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701—2507.2</w:t>
      </w:r>
      <w:r>
        <w:rPr>
          <w:rFonts w:ascii="Times New Roman" w:hAnsi="Times New Roman"/>
          <w:b/>
          <w:i w:val="false"/>
          <w:color w:val="000000"/>
          <w:sz w:val="24"/>
        </w:rPr>
        <w:t xml:space="preserve">(421,17A)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Terms not defined below have the same meaning as defined in Iowa Code chapter </w:t>
      </w:r>
      <w:hyperlink r:id="rId18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These definitions apply to this chapter unless the text states otherwise.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“Appeal”</w:t>
      </w:r>
      <w:r>
        <w:rPr>
          <w:rFonts w:ascii="Times New Roman" w:hAnsi="Times New Roman"/>
          <w:b w:val="false"/>
          <w:i w:val="false"/>
          <w:color w:val="000000"/>
          <w:sz w:val="24"/>
        </w:rPr>
        <w:t> </w:t>
      </w:r>
      <w:r>
        <w:rPr>
          <w:rFonts w:ascii="Times New Roman" w:hAnsi="Times New Roman"/>
          <w:b w:val="false"/>
          <w:i w:val="false"/>
          <w:color w:val="000000"/>
          <w:sz w:val="24"/>
        </w:rPr>
        <w:t>means a dispute of a notice of assessment, refund denial, or other department action that may culminate in a contested case proceeding. “Protest” has the same meaning as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“Clerk”</w:t>
      </w:r>
      <w:r>
        <w:rPr>
          <w:rFonts w:ascii="Times New Roman" w:hAnsi="Times New Roman"/>
          <w:b w:val="false"/>
          <w:i w:val="false"/>
          <w:color w:val="000000"/>
          <w:sz w:val="24"/>
        </w:rPr>
        <w:t> </w:t>
      </w:r>
      <w:r>
        <w:rPr>
          <w:rFonts w:ascii="Times New Roman" w:hAnsi="Times New Roman"/>
          <w:b w:val="false"/>
          <w:i w:val="false"/>
          <w:color w:val="000000"/>
          <w:sz w:val="24"/>
        </w:rPr>
        <w:t>means the clerk of the legal services and appeals division or the clerk’s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“Contested case”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proceeding defined by Iowa Code section </w:t>
      </w:r>
      <w:hyperlink r:id="rId184">
        <w:r>
          <w:rPr>
            <w:rStyle w:val="Hyperlink"/>
            <w:rFonts w:ascii="Times New Roman" w:hAnsi="Times New Roman"/>
            <w:b w:val="false"/>
            <w:i w:val="false"/>
            <w:color w:val="000000"/>
            <w:sz w:val="24"/>
          </w:rPr>
          <w:t>17A.2(5)</w:t>
        </w:r>
      </w:hyperlink>
      <w:r>
        <w:rPr>
          <w:rFonts w:ascii="Times New Roman" w:hAnsi="Times New Roman"/>
          <w:b w:val="false"/>
          <w:i w:val="false"/>
          <w:color w:val="000000"/>
          <w:sz w:val="24"/>
        </w:rPr>
        <w:t xml:space="preserve"> and includes any matter defined as a no factual dispute contested case under Iowa Code section </w:t>
      </w:r>
      <w:hyperlink r:id="rId185">
        <w:r>
          <w:rPr>
            <w:rStyle w:val="Hyperlink"/>
            <w:rFonts w:ascii="Times New Roman" w:hAnsi="Times New Roman"/>
            <w:b w:val="false"/>
            <w:i w:val="false"/>
            <w:color w:val="000000"/>
            <w:sz w:val="24"/>
          </w:rPr>
          <w:t>17A.10A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 of administrative hearings”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division of the department of inspections, appeals, and licensing responsible for holding contested case proceedings pursuant to Iowa Code chapter </w:t>
      </w:r>
      <w:hyperlink r:id="rId18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“Enforcement actions and appeals bureau”</w:t>
      </w:r>
      <w:r>
        <w:rPr>
          <w:rFonts w:ascii="Times New Roman" w:hAnsi="Times New Roman"/>
          <w:b w:val="false"/>
          <w:i w:val="false"/>
          <w:color w:val="000000"/>
          <w:sz w:val="24"/>
        </w:rPr>
        <w:t> </w:t>
      </w:r>
      <w:r>
        <w:rPr>
          <w:rFonts w:ascii="Times New Roman" w:hAnsi="Times New Roman"/>
          <w:b w:val="false"/>
          <w:i w:val="false"/>
          <w:color w:val="000000"/>
          <w:sz w:val="24"/>
        </w:rPr>
        <w:t>means the section of the legal services division of the department designated by the director to administer the informal stage of the appeals process and participate in contested case proceedings for appeals before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“Informal proceeding”</w:t>
      </w:r>
      <w:r>
        <w:rPr>
          <w:rFonts w:ascii="Times New Roman" w:hAnsi="Times New Roman"/>
          <w:b w:val="false"/>
          <w:i w:val="false"/>
          <w:color w:val="000000"/>
          <w:sz w:val="24"/>
        </w:rPr>
        <w:t> </w:t>
      </w:r>
      <w:r>
        <w:rPr>
          <w:rFonts w:ascii="Times New Roman" w:hAnsi="Times New Roman"/>
          <w:b w:val="false"/>
          <w:i w:val="false"/>
          <w:color w:val="000000"/>
          <w:sz w:val="24"/>
        </w:rPr>
        <w:t>means a review beginning with the filing of an appeal and ending with the issuance of a notice of hearing to begin a contested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“Review unit”</w:t>
      </w:r>
      <w:r>
        <w:rPr>
          <w:rFonts w:ascii="Times New Roman" w:hAnsi="Times New Roman"/>
          <w:b w:val="false"/>
          <w:i w:val="false"/>
          <w:color w:val="000000"/>
          <w:sz w:val="24"/>
        </w:rPr>
        <w:t> </w:t>
      </w:r>
      <w:r>
        <w:rPr>
          <w:rFonts w:ascii="Times New Roman" w:hAnsi="Times New Roman"/>
          <w:b w:val="false"/>
          <w:i w:val="false"/>
          <w:color w:val="000000"/>
          <w:sz w:val="24"/>
        </w:rPr>
        <w:t>means the unit composed of the enforcement actions and appeals bureau of the legal services division and any of the attorney general’s staff who have been assigned to review appeals filed by taxpayers.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“Taxpayer’s representative”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“taxpayer’s authorized representative”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authorized to practice before the department on behalf of a taxpayer under Iowa Code section </w:t>
      </w:r>
      <w:hyperlink r:id="rId187">
        <w:r>
          <w:rPr>
            <w:rStyle w:val="Hyperlink"/>
            <w:rFonts w:ascii="Times New Roman" w:hAnsi="Times New Roman"/>
            <w:b w:val="false"/>
            <w:i w:val="false"/>
            <w:color w:val="000000"/>
            <w:sz w:val="24"/>
          </w:rPr>
          <w:t>421.59</w:t>
        </w:r>
      </w:hyperlink>
      <w:r>
        <w:rPr>
          <w:rFonts w:ascii="Times New Roman" w:hAnsi="Times New Roman"/>
          <w:b w:val="false"/>
          <w:i w:val="false"/>
          <w:color w:val="000000"/>
          <w:sz w:val="24"/>
        </w:rPr>
        <w:t xml:space="preserve">; an individual who has been named as an authorized representative on a fiduciary return of income form filed under Iowa Code section </w:t>
      </w:r>
      <w:hyperlink r:id="rId188">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or a tax return filed under Iowa Code chapter </w:t>
      </w:r>
      <w:hyperlink r:id="rId189">
        <w:r>
          <w:rPr>
            <w:rStyle w:val="Hyperlink"/>
            <w:rFonts w:ascii="Times New Roman" w:hAnsi="Times New Roman"/>
            <w:b w:val="false"/>
            <w:i w:val="false"/>
            <w:color w:val="000000"/>
            <w:sz w:val="24"/>
          </w:rPr>
          <w:t>450</w:t>
        </w:r>
      </w:hyperlink>
      <w:r>
        <w:rPr>
          <w:rFonts w:ascii="Times New Roman" w:hAnsi="Times New Roman"/>
          <w:b w:val="false"/>
          <w:i w:val="false"/>
          <w:color w:val="000000"/>
          <w:sz w:val="24"/>
        </w:rPr>
        <w:t xml:space="preserve"> or </w:t>
      </w:r>
      <w:hyperlink r:id="rId190">
        <w:r>
          <w:rPr>
            <w:rStyle w:val="Hyperlink"/>
            <w:rFonts w:ascii="Times New Roman" w:hAnsi="Times New Roman"/>
            <w:b w:val="false"/>
            <w:i w:val="false"/>
            <w:color w:val="000000"/>
            <w:sz w:val="24"/>
          </w:rPr>
          <w:t>450B</w:t>
        </w:r>
      </w:hyperlink>
      <w:r>
        <w:rPr>
          <w:rFonts w:ascii="Times New Roman" w:hAnsi="Times New Roman"/>
          <w:b w:val="false"/>
          <w:i w:val="false"/>
          <w:color w:val="000000"/>
          <w:sz w:val="24"/>
        </w:rPr>
        <w:t>; or, for proceedings before the department, any other individual the taxpayer designates who is named on a valid power of attorney if appearing on behalf of another.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9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701—2507.3</w:t>
      </w:r>
      <w:r>
        <w:rPr>
          <w:rFonts w:ascii="Times New Roman" w:hAnsi="Times New Roman"/>
          <w:b/>
          <w:i w:val="false"/>
          <w:color w:val="000000"/>
          <w:sz w:val="24"/>
        </w:rPr>
        <w:t xml:space="preserve">(17A,99G,123,421-453E) </w:t>
      </w:r>
      <w:r>
        <w:rPr>
          <w:rFonts w:ascii="Times New Roman" w:hAnsi="Times New Roman"/>
          <w:b/>
          <w:i w:val="false"/>
          <w:color w:val="000000"/>
          <w:sz w:val="24"/>
        </w:rPr>
        <w:t xml:space="preserve">How to submit an appeal or related documents; service. </w:t>
      </w:r>
      <w:r>
        <w:rPr>
          <w:rFonts w:ascii="Times New Roman" w:hAnsi="Times New Roman"/>
          <w:b w:val="false"/>
          <w:i w:val="false"/>
          <w:color w:val="000000"/>
          <w:sz w:val="24"/>
        </w:rPr>
        <w:t xml:space="preserve">Appeals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192">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2507.3(1)</w:t>
      </w:r>
      <w:r>
        <w:rPr>
          <w:rFonts w:ascii="Times New Roman" w:hAnsi="Times New Roman"/>
          <w:b w:val="false"/>
          <w:i w:val="false"/>
          <w:color w:val="000000"/>
          <w:sz w:val="24"/>
        </w:rPr>
        <w:t> </w:t>
      </w:r>
      <w:r>
        <w:rPr>
          <w:rFonts w:ascii="Times New Roman" w:hAnsi="Times New Roman"/>
          <w:b w:val="false"/>
          <w:i/>
          <w:color w:val="000000"/>
          <w:sz w:val="24"/>
        </w:rPr>
        <w:t xml:space="preserve">Ways to submit an appeal or related document. </w:t>
      </w:r>
      <w:r>
        <w:rPr>
          <w:rFonts w:ascii="Times New Roman" w:hAnsi="Times New Roman"/>
          <w:b w:val="false"/>
          <w:i w:val="false"/>
          <w:color w:val="000000"/>
          <w:sz w:val="24"/>
        </w:rPr>
        <w:t>Unless otherwise specified in another rule in this chapter, a person may submit an appeal or a related document filed during an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By submitting through GovConnectIowa.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By email to idrhearings@iowa.gov.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By mail to Legal Services Division, Iowa Department of Revenue, P.O. Box 14457, Des Moines, Iowa 50306-3457.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By hand delivery to the department’s customer service desk in the Hoover State Office Building, First Floor, 1305 East Walnut Street, Des Moines, Iowa 50319, during regular business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2507.3(2)</w:t>
      </w:r>
      <w:r>
        <w:rPr>
          <w:rFonts w:ascii="Times New Roman" w:hAnsi="Times New Roman"/>
          <w:b w:val="false"/>
          <w:i w:val="false"/>
          <w:color w:val="000000"/>
          <w:sz w:val="24"/>
        </w:rPr>
        <w:t> </w:t>
      </w:r>
      <w:r>
        <w:rPr>
          <w:rFonts w:ascii="Times New Roman" w:hAnsi="Times New Roman"/>
          <w:b w:val="false"/>
          <w:i/>
          <w:color w:val="000000"/>
          <w:sz w:val="24"/>
        </w:rPr>
        <w:t xml:space="preserve">Service by the department during informal proceedings. </w:t>
      </w:r>
      <w:r>
        <w:rPr>
          <w:rFonts w:ascii="Times New Roman" w:hAnsi="Times New Roman"/>
          <w:b w:val="false"/>
          <w:i w:val="false"/>
          <w:color w:val="000000"/>
          <w:sz w:val="24"/>
        </w:rPr>
        <w:t xml:space="preserve">All notices or documents required or permitted by this chapter to be served on parties or persons by the department during informal proceedings shall be served by ordinary mail unless the taxpayer has elected to receive communications exclusively through GovConnectIowa pursuant to rule </w:t>
      </w:r>
      <w:hyperlink r:id="rId193">
        <w:r>
          <w:rPr>
            <w:rStyle w:val="Hyperlink"/>
            <w:rFonts w:ascii="Times New Roman" w:hAnsi="Times New Roman"/>
            <w:b w:val="false"/>
            <w:i w:val="false"/>
            <w:color w:val="000000"/>
            <w:sz w:val="24"/>
          </w:rPr>
          <w:t>701—8.6</w:t>
        </w:r>
      </w:hyperlink>
      <w:r>
        <w:rPr>
          <w:rFonts w:ascii="Times New Roman" w:hAnsi="Times New Roman"/>
          <w:b w:val="false"/>
          <w:i w:val="false"/>
          <w:color w:val="000000"/>
          <w:sz w:val="24"/>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9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701—2507.4</w:t>
      </w:r>
      <w:r>
        <w:rPr>
          <w:rFonts w:ascii="Times New Roman" w:hAnsi="Times New Roman"/>
          <w:b/>
          <w:i w:val="false"/>
          <w:color w:val="000000"/>
          <w:sz w:val="24"/>
        </w:rPr>
        <w:t xml:space="preserve">(17A) </w:t>
      </w:r>
      <w:r>
        <w:rPr>
          <w:rFonts w:ascii="Times New Roman" w:hAnsi="Times New Roman"/>
          <w:b/>
          <w:i w:val="false"/>
          <w:color w:val="000000"/>
          <w:sz w:val="24"/>
        </w:rPr>
        <w:t xml:space="preserve">Time requirements for filings.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2507.4(1)</w:t>
      </w:r>
      <w:r>
        <w:rPr>
          <w:rFonts w:ascii="Times New Roman" w:hAnsi="Times New Roman"/>
          <w:b w:val="false"/>
          <w:i w:val="false"/>
          <w:color w:val="000000"/>
          <w:sz w:val="24"/>
        </w:rPr>
        <w:t> </w:t>
      </w:r>
      <w:r>
        <w:rPr>
          <w:rFonts w:ascii="Times New Roman" w:hAnsi="Times New Roman"/>
          <w:b w:val="false"/>
          <w:i/>
          <w:color w:val="000000"/>
          <w:sz w:val="24"/>
        </w:rPr>
        <w:t xml:space="preserve">Computing time. </w:t>
      </w:r>
      <w:r>
        <w:rPr>
          <w:rFonts w:ascii="Times New Roman" w:hAnsi="Times New Roman"/>
          <w:b w:val="false"/>
          <w:i w:val="false"/>
          <w:color w:val="000000"/>
          <w:sz w:val="24"/>
        </w:rPr>
        <w:t xml:space="preserve">Time shall be computed in accordance with Iowa Code section </w:t>
      </w:r>
      <w:hyperlink r:id="rId195">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 xml:space="preserve">. For electronic submissions, in addition to the requirements described in Iowa Code section </w:t>
      </w:r>
      <w:hyperlink r:id="rId196">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 xml:space="preserve">, local time for the state of Iowa applies. In computing time in accordance with Iowa Code section </w:t>
      </w:r>
      <w:hyperlink r:id="rId197">
        <w:r>
          <w:rPr>
            <w:rStyle w:val="Hyperlink"/>
            <w:rFonts w:ascii="Times New Roman" w:hAnsi="Times New Roman"/>
            <w:b w:val="false"/>
            <w:i w:val="false"/>
            <w:color w:val="000000"/>
            <w:sz w:val="24"/>
          </w:rPr>
          <w:t>421.9A</w:t>
        </w:r>
      </w:hyperlink>
      <w:r>
        <w:rPr>
          <w:rFonts w:ascii="Times New Roman" w:hAnsi="Times New Roman"/>
          <w:b w:val="false"/>
          <w:i w:val="false"/>
          <w:color w:val="000000"/>
          <w:sz w:val="24"/>
        </w:rPr>
        <w:t>, the first day shall be excluded and the last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2507.4(2)</w:t>
      </w:r>
      <w:r>
        <w:rPr>
          <w:rFonts w:ascii="Times New Roman" w:hAnsi="Times New Roman"/>
          <w:b w:val="false"/>
          <w:i w:val="false"/>
          <w:color w:val="000000"/>
          <w:sz w:val="24"/>
        </w:rPr>
        <w:t> </w:t>
      </w:r>
      <w:r>
        <w:rPr>
          <w:rFonts w:ascii="Times New Roman" w:hAnsi="Times New Roman"/>
          <w:b w:val="false"/>
          <w:i/>
          <w:color w:val="000000"/>
          <w:sz w:val="24"/>
        </w:rPr>
        <w:t xml:space="preserve">Date of filing. </w:t>
      </w:r>
      <w:r>
        <w:rPr>
          <w:rFonts w:ascii="Times New Roman" w:hAnsi="Times New Roman"/>
          <w:b w:val="false"/>
          <w:i w:val="false"/>
          <w:color w:val="000000"/>
          <w:sz w:val="24"/>
        </w:rPr>
        <w:t>The date of filing for appeal requests or other related documents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sent electronically either through GovConnectIowa or as described on the department’s website, determined by the date on which the electronic submission was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sent by regular mail, the date postmarked on the envelope sent to the department’s principal office or, if the postmark is not available, the date the appeal is stamped as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hand delivered, the date the appeal is stamped as received by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9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701—2507.5</w:t>
      </w:r>
      <w:r>
        <w:rPr>
          <w:rFonts w:ascii="Times New Roman" w:hAnsi="Times New Roman"/>
          <w:b/>
          <w:i w:val="false"/>
          <w:color w:val="000000"/>
          <w:sz w:val="24"/>
        </w:rPr>
        <w:t xml:space="preserve">(17A) </w:t>
      </w:r>
      <w:r>
        <w:rPr>
          <w:rFonts w:ascii="Times New Roman" w:hAnsi="Times New Roman"/>
          <w:b/>
          <w:i w:val="false"/>
          <w:color w:val="000000"/>
          <w:sz w:val="24"/>
        </w:rPr>
        <w:t xml:space="preserve">Form and style of documents.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2507.5(1)</w:t>
      </w:r>
      <w:r>
        <w:rPr>
          <w:rFonts w:ascii="Times New Roman" w:hAnsi="Times New Roman"/>
          <w:b w:val="false"/>
          <w:i w:val="false"/>
          <w:color w:val="000000"/>
          <w:sz w:val="24"/>
        </w:rPr>
        <w:t> </w:t>
      </w:r>
      <w:r>
        <w:rPr>
          <w:rFonts w:ascii="Times New Roman" w:hAnsi="Times New Roman"/>
          <w:b w:val="false"/>
          <w:i/>
          <w:color w:val="000000"/>
          <w:sz w:val="24"/>
        </w:rPr>
        <w:t xml:space="preserve">Requirements applicable to all filings under this chapter.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Signatures. </w:t>
      </w:r>
      <w:r>
        <w:rPr>
          <w:rFonts w:ascii="Times New Roman" w:hAnsi="Times New Roman"/>
          <w:b w:val="false"/>
          <w:i w:val="false"/>
          <w:color w:val="000000"/>
          <w:sz w:val="24"/>
        </w:rPr>
        <w:t xml:space="preserve">Signatures must meet the requirements of </w:t>
      </w:r>
      <w:hyperlink r:id="rId199">
        <w:r>
          <w:rPr>
            <w:rStyle w:val="Hyperlink"/>
            <w:rFonts w:ascii="Times New Roman" w:hAnsi="Times New Roman"/>
            <w:b w:val="false"/>
            <w:i w:val="false"/>
            <w:color w:val="000000"/>
            <w:sz w:val="24"/>
          </w:rPr>
          <w:t>701—subrule 8.2(6)</w:t>
        </w:r>
      </w:hyperlink>
      <w:r>
        <w:rPr>
          <w:rFonts w:ascii="Times New Roman" w:hAnsi="Times New Roman"/>
          <w:b w:val="false"/>
          <w:i w:val="false"/>
          <w:color w:val="000000"/>
          <w:sz w:val="24"/>
        </w:rPr>
        <w:t>. The signature shall constitute a certification that the signer has read the document; that, under penalty of perjury, the signer declares that to the best of the signer’s knowledge and belief, the information contained in the document is true, correct, and complete; and that no statement contained in the document is misleading.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Citations. </w:t>
      </w:r>
      <w:r>
        <w:rPr>
          <w:rFonts w:ascii="Times New Roman" w:hAnsi="Times New Roman"/>
          <w:b w:val="false"/>
          <w:i w:val="false"/>
          <w:color w:val="000000"/>
          <w:sz w:val="24"/>
        </w:rPr>
        <w:t>Citations may be italicized or underlined.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2507.5(2)</w:t>
      </w:r>
      <w:r>
        <w:rPr>
          <w:rFonts w:ascii="Times New Roman" w:hAnsi="Times New Roman"/>
          <w:b w:val="false"/>
          <w:i w:val="false"/>
          <w:color w:val="000000"/>
          <w:sz w:val="24"/>
        </w:rPr>
        <w:t> </w:t>
      </w:r>
      <w:r>
        <w:rPr>
          <w:rFonts w:ascii="Times New Roman" w:hAnsi="Times New Roman"/>
          <w:b w:val="false"/>
          <w:i/>
          <w:color w:val="000000"/>
          <w:sz w:val="24"/>
        </w:rPr>
        <w:t xml:space="preserve">Paper. </w:t>
      </w:r>
      <w:r>
        <w:rPr>
          <w:rFonts w:ascii="Times New Roman" w:hAnsi="Times New Roman"/>
          <w:b w:val="false"/>
          <w:i w:val="false"/>
          <w:color w:val="000000"/>
          <w:sz w:val="24"/>
        </w:rPr>
        <w:t>Any paper documents that are allowed or required to be submitted by this chapter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clear and legible.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on white paper.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on the applicable department appeal form, application for reinstatement form, or petition form available on the department’s forms website, revenue.iowa.gov/forms, under the category “Applications and Other” or, if not on the department’s form, include a proper caption on the first 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Include a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Include copies as herein provided or as specified in other applicable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2507.5(3)</w:t>
      </w:r>
      <w:r>
        <w:rPr>
          <w:rFonts w:ascii="Times New Roman" w:hAnsi="Times New Roman"/>
          <w:b w:val="false"/>
          <w:i w:val="false"/>
          <w:color w:val="000000"/>
          <w:sz w:val="24"/>
        </w:rPr>
        <w:t> </w:t>
      </w:r>
      <w:r>
        <w:rPr>
          <w:rFonts w:ascii="Times New Roman" w:hAnsi="Times New Roman"/>
          <w:b w:val="false"/>
          <w:i/>
          <w:color w:val="000000"/>
          <w:sz w:val="24"/>
        </w:rPr>
        <w:t xml:space="preserve">Email. </w:t>
      </w:r>
      <w:r>
        <w:rPr>
          <w:rFonts w:ascii="Times New Roman" w:hAnsi="Times New Roman"/>
          <w:b w:val="false"/>
          <w:i w:val="false"/>
          <w:color w:val="000000"/>
          <w:sz w:val="24"/>
        </w:rPr>
        <w:t>Any documents allowed or required to be filed by email under this chapter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document in PDF, Microsoft Word, Microsoft Excel, or image format that complies with subrules </w:t>
      </w:r>
      <w:hyperlink r:id="rId200">
        <w:r>
          <w:rPr>
            <w:rStyle w:val="Hyperlink"/>
            <w:rFonts w:ascii="Times New Roman" w:hAnsi="Times New Roman"/>
            <w:b w:val="false"/>
            <w:i w:val="false"/>
            <w:color w:val="000000"/>
            <w:sz w:val="24"/>
          </w:rPr>
          <w:t>2507.5(1)</w:t>
        </w:r>
      </w:hyperlink>
      <w:r>
        <w:rPr>
          <w:rFonts w:ascii="Times New Roman" w:hAnsi="Times New Roman"/>
          <w:b w:val="false"/>
          <w:i w:val="false"/>
          <w:color w:val="000000"/>
          <w:sz w:val="24"/>
        </w:rPr>
        <w:t xml:space="preserve"> and </w:t>
      </w:r>
      <w:hyperlink r:id="rId201">
        <w:r>
          <w:rPr>
            <w:rStyle w:val="Hyperlink"/>
            <w:rFonts w:ascii="Times New Roman" w:hAnsi="Times New Roman"/>
            <w:b w:val="false"/>
            <w:i w:val="false"/>
            <w:color w:val="000000"/>
            <w:sz w:val="24"/>
          </w:rPr>
          <w:t>2507.5(2)</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body of an email that meets all of the requirements of subrules </w:t>
      </w:r>
      <w:hyperlink r:id="rId202">
        <w:r>
          <w:rPr>
            <w:rStyle w:val="Hyperlink"/>
            <w:rFonts w:ascii="Times New Roman" w:hAnsi="Times New Roman"/>
            <w:b w:val="false"/>
            <w:i w:val="false"/>
            <w:color w:val="000000"/>
            <w:sz w:val="24"/>
          </w:rPr>
          <w:t>2507.5(1)</w:t>
        </w:r>
      </w:hyperlink>
      <w:r>
        <w:rPr>
          <w:rFonts w:ascii="Times New Roman" w:hAnsi="Times New Roman"/>
          <w:b w:val="false"/>
          <w:i w:val="false"/>
          <w:color w:val="000000"/>
          <w:sz w:val="24"/>
        </w:rPr>
        <w:t xml:space="preserve"> and </w:t>
      </w:r>
      <w:hyperlink r:id="rId203">
        <w:r>
          <w:rPr>
            <w:rStyle w:val="Hyperlink"/>
            <w:rFonts w:ascii="Times New Roman" w:hAnsi="Times New Roman"/>
            <w:b w:val="false"/>
            <w:i w:val="false"/>
            <w:color w:val="000000"/>
            <w:sz w:val="24"/>
          </w:rPr>
          <w:t>2507.5(2)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2507.5(4)</w:t>
      </w:r>
      <w:r>
        <w:rPr>
          <w:rFonts w:ascii="Times New Roman" w:hAnsi="Times New Roman"/>
          <w:b w:val="false"/>
          <w:i w:val="false"/>
          <w:color w:val="000000"/>
          <w:sz w:val="24"/>
        </w:rPr>
        <w:t> </w:t>
      </w:r>
      <w:r>
        <w:rPr>
          <w:rFonts w:ascii="Times New Roman" w:hAnsi="Times New Roman"/>
          <w:b w:val="false"/>
          <w:i/>
          <w:color w:val="000000"/>
          <w:sz w:val="24"/>
        </w:rPr>
        <w:t xml:space="preserve">GovConnectIowa. </w:t>
      </w:r>
      <w:r>
        <w:rPr>
          <w:rFonts w:ascii="Times New Roman" w:hAnsi="Times New Roman"/>
          <w:b w:val="false"/>
          <w:i w:val="false"/>
          <w:color w:val="000000"/>
          <w:sz w:val="24"/>
        </w:rPr>
        <w:t>Any documents allowed or required to be filed through GovConnectIowa under this chapter must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document in PDF, Microsoft Word, Microsoft Excel, or image format that complies with subrules </w:t>
      </w:r>
      <w:hyperlink r:id="rId204">
        <w:r>
          <w:rPr>
            <w:rStyle w:val="Hyperlink"/>
            <w:rFonts w:ascii="Times New Roman" w:hAnsi="Times New Roman"/>
            <w:b w:val="false"/>
            <w:i w:val="false"/>
            <w:color w:val="000000"/>
            <w:sz w:val="24"/>
          </w:rPr>
          <w:t>2507.5(1)</w:t>
        </w:r>
      </w:hyperlink>
      <w:r>
        <w:rPr>
          <w:rFonts w:ascii="Times New Roman" w:hAnsi="Times New Roman"/>
          <w:b w:val="false"/>
          <w:i w:val="false"/>
          <w:color w:val="000000"/>
          <w:sz w:val="24"/>
        </w:rPr>
        <w:t xml:space="preserve"> and </w:t>
      </w:r>
      <w:hyperlink r:id="rId205">
        <w:r>
          <w:rPr>
            <w:rStyle w:val="Hyperlink"/>
            <w:rFonts w:ascii="Times New Roman" w:hAnsi="Times New Roman"/>
            <w:b w:val="false"/>
            <w:i w:val="false"/>
            <w:color w:val="000000"/>
            <w:sz w:val="24"/>
          </w:rPr>
          <w:t>2507.5(2)</w:t>
        </w:r>
      </w:hyperlink>
      <w:r>
        <w:rPr>
          <w:rFonts w:ascii="Times New Roman" w:hAnsi="Times New Roman"/>
          <w:b w:val="false"/>
          <w:i w:val="false"/>
          <w:color w:val="000000"/>
          <w:sz w:val="24"/>
        </w:rPr>
        <w:t xml:space="preserve"> that is properly uploaded and properly submitted through GovConnectIowa.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Completed and submitted on the applicable GovConnectIowa form.</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0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07">
        <w:r>
          <w:rPr>
            <w:rStyle w:val="Hyperlink"/>
            <w:rFonts w:ascii="Times New Roman" w:hAnsi="Times New Roman"/>
            <w:b w:val="false"/>
            <w:i w:val="false"/>
            <w:color w:val="000000"/>
            <w:sz w:val="24"/>
          </w:rPr>
          <w:t>554D</w:t>
        </w:r>
      </w:hyperlink>
      <w:r>
        <w:rPr>
          <w:rFonts w:ascii="Times New Roman" w:hAnsi="Times New Roman"/>
          <w:b w:val="false"/>
          <w:i w:val="false"/>
          <w:color w:val="000000"/>
          <w:sz w:val="24"/>
        </w:rPr>
        <w:t xml:space="preserve"> and sections </w:t>
      </w:r>
      <w:hyperlink r:id="rId208">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and </w:t>
      </w:r>
      <w:hyperlink r:id="rId209">
        <w:r>
          <w:rPr>
            <w:rStyle w:val="Hyperlink"/>
            <w:rFonts w:ascii="Times New Roman" w:hAnsi="Times New Roman"/>
            <w:b w:val="false"/>
            <w:i w:val="false"/>
            <w:color w:val="000000"/>
            <w:sz w:val="24"/>
          </w:rPr>
          <w:t>421.27A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701—2507.6</w:t>
      </w:r>
      <w:r>
        <w:rPr>
          <w:rFonts w:ascii="Times New Roman" w:hAnsi="Times New Roman"/>
          <w:b/>
          <w:i w:val="false"/>
          <w:color w:val="000000"/>
          <w:sz w:val="24"/>
        </w:rPr>
        <w:t xml:space="preserve">(17A) </w:t>
      </w:r>
      <w:r>
        <w:rPr>
          <w:rFonts w:ascii="Times New Roman" w:hAnsi="Times New Roman"/>
          <w:b/>
          <w:i w:val="false"/>
          <w:color w:val="000000"/>
          <w:sz w:val="24"/>
        </w:rPr>
        <w:t xml:space="preserve">Docket. </w:t>
      </w:r>
      <w:r>
        <w:rPr>
          <w:rFonts w:ascii="Times New Roman" w:hAnsi="Times New Roman"/>
          <w:b w:val="false"/>
          <w:i w:val="false"/>
          <w:color w:val="000000"/>
          <w:sz w:val="24"/>
        </w:rPr>
        <w:t>Every matter coming within the purview of this chapter is assigned a docket number that is the official identification number of the matter for the purposes of identification. The parties will be notified of the docket number. The number will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will be placed by the parties on all documents thereafter filed in the proceeding.</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1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701—2507.7</w:t>
      </w:r>
      <w:r>
        <w:rPr>
          <w:rFonts w:ascii="Times New Roman" w:hAnsi="Times New Roman"/>
          <w:b/>
          <w:i w:val="false"/>
          <w:color w:val="000000"/>
          <w:sz w:val="24"/>
        </w:rPr>
        <w:t xml:space="preserve">(17A) </w:t>
      </w:r>
      <w:r>
        <w:rPr>
          <w:rFonts w:ascii="Times New Roman" w:hAnsi="Times New Roman"/>
          <w:b/>
          <w:i w:val="false"/>
          <w:color w:val="000000"/>
          <w:sz w:val="24"/>
        </w:rPr>
        <w:t xml:space="preserve">Identifying details, requests for redaction.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2507.7(1)</w:t>
      </w:r>
      <w:r>
        <w:rPr>
          <w:rFonts w:ascii="Times New Roman" w:hAnsi="Times New Roman"/>
          <w:b w:val="false"/>
          <w:i w:val="false"/>
          <w:color w:val="000000"/>
          <w:sz w:val="24"/>
        </w:rPr>
        <w:t> </w:t>
      </w:r>
      <w:r>
        <w:rPr>
          <w:rFonts w:ascii="Times New Roman" w:hAnsi="Times New Roman"/>
          <w:b w:val="false"/>
          <w:i/>
          <w:color w:val="000000"/>
          <w:sz w:val="24"/>
        </w:rPr>
        <w:t xml:space="preserve">Information redacted by the department, subject to certain exceptions. </w:t>
      </w:r>
      <w:r>
        <w:rPr>
          <w:rFonts w:ascii="Times New Roman" w:hAnsi="Times New Roman"/>
          <w:b w:val="false"/>
          <w:i w:val="false"/>
          <w:color w:val="000000"/>
          <w:sz w:val="24"/>
        </w:rPr>
        <w:t xml:space="preserve">Prior to being made available for public inspection, the department will redact from an appeal or contested case the information required by Iowa Code sections </w:t>
      </w:r>
      <w:hyperlink r:id="rId211">
        <w:r>
          <w:rPr>
            <w:rStyle w:val="Hyperlink"/>
            <w:rFonts w:ascii="Times New Roman" w:hAnsi="Times New Roman"/>
            <w:b w:val="false"/>
            <w:i w:val="false"/>
            <w:color w:val="000000"/>
            <w:sz w:val="24"/>
          </w:rPr>
          <w:t>422.20(5)</w:t>
        </w:r>
      </w:hyperlink>
      <w:r>
        <w:rPr>
          <w:rFonts w:ascii="Times New Roman" w:hAnsi="Times New Roman"/>
          <w:b w:val="false"/>
          <w:i w:val="false"/>
          <w:color w:val="000000"/>
          <w:sz w:val="24"/>
        </w:rPr>
        <w:t xml:space="preserve"> and </w:t>
      </w:r>
      <w:hyperlink r:id="rId212">
        <w:r>
          <w:rPr>
            <w:rStyle w:val="Hyperlink"/>
            <w:rFonts w:ascii="Times New Roman" w:hAnsi="Times New Roman"/>
            <w:b w:val="false"/>
            <w:i w:val="false"/>
            <w:color w:val="000000"/>
            <w:sz w:val="24"/>
          </w:rPr>
          <w:t>422.72(8)</w:t>
        </w:r>
      </w:hyperlink>
      <w:r>
        <w:rPr>
          <w:rFonts w:ascii="Times New Roman" w:hAnsi="Times New Roman"/>
          <w:b w:val="false"/>
          <w:i w:val="false"/>
          <w:color w:val="000000"/>
          <w:sz w:val="24"/>
        </w:rPr>
        <w:t xml:space="preserve">. “Make available for public inspection” means disclosure to the public by the department pursuant to Iowa Code section </w:t>
      </w:r>
      <w:hyperlink r:id="rId213">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 xml:space="preserve"> or chapter </w:t>
      </w:r>
      <w:hyperlink r:id="rId214">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2507.7(2)</w:t>
      </w:r>
      <w:r>
        <w:rPr>
          <w:rFonts w:ascii="Times New Roman" w:hAnsi="Times New Roman"/>
          <w:b w:val="false"/>
          <w:i w:val="false"/>
          <w:color w:val="000000"/>
          <w:sz w:val="24"/>
        </w:rPr>
        <w:t> </w:t>
      </w:r>
      <w:r>
        <w:rPr>
          <w:rFonts w:ascii="Times New Roman" w:hAnsi="Times New Roman"/>
          <w:b w:val="false"/>
          <w:i/>
          <w:color w:val="000000"/>
          <w:sz w:val="24"/>
        </w:rPr>
        <w:t xml:space="preserve">Process for requesting redaction of other details from a pleading, exhibit, attachment, motion, or written evidence. </w:t>
      </w:r>
      <w:r>
        <w:rPr>
          <w:rFonts w:ascii="Times New Roman" w:hAnsi="Times New Roman"/>
          <w:b w:val="false"/>
          <w:i w:val="false"/>
          <w:color w:val="000000"/>
          <w:sz w:val="24"/>
        </w:rPr>
        <w:t xml:space="preserve">If a taxpayer desires information contained in a record, other than the information described in Iowa Code sections </w:t>
      </w:r>
      <w:hyperlink r:id="rId215">
        <w:r>
          <w:rPr>
            <w:rStyle w:val="Hyperlink"/>
            <w:rFonts w:ascii="Times New Roman" w:hAnsi="Times New Roman"/>
            <w:b w:val="false"/>
            <w:i w:val="false"/>
            <w:color w:val="000000"/>
            <w:sz w:val="24"/>
          </w:rPr>
          <w:t>422.20(5)</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hyperlink r:id="rId216">
        <w:r>
          <w:rPr>
            <w:rStyle w:val="Hyperlink"/>
            <w:rFonts w:ascii="Times New Roman" w:hAnsi="Times New Roman"/>
            <w:b w:val="false"/>
            <w:i w:val="false"/>
            <w:color w:val="000000"/>
            <w:sz w:val="24"/>
          </w:rPr>
          <w:t>422.72(8)</w:t>
        </w:r>
      </w:hyperlink>
      <w:r>
        <w:rPr>
          <w:rFonts w:ascii="Times New Roman" w:hAnsi="Times New Roman"/>
          <w:b w:val="false"/>
          <w:i/>
          <w:color w:val="000000"/>
          <w:sz w:val="24"/>
        </w:rPr>
        <w:t>“a,”</w:t>
      </w:r>
      <w:r>
        <w:rPr>
          <w:rFonts w:ascii="Times New Roman" w:hAnsi="Times New Roman"/>
          <w:b w:val="false"/>
          <w:i w:val="false"/>
          <w:color w:val="000000"/>
          <w:sz w:val="24"/>
        </w:rPr>
        <w:t xml:space="preserve"> to be redacted prior to public inspection, the taxpayer must file a motion and affidavit meeting the requirements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Process for filing a motion for redaction of other details during a contested case. </w:t>
      </w:r>
      <w:r>
        <w:rPr>
          <w:rFonts w:ascii="Times New Roman" w:hAnsi="Times New Roman"/>
          <w:b w:val="false"/>
          <w:i w:val="false"/>
          <w:color w:val="000000"/>
          <w:sz w:val="24"/>
        </w:rPr>
        <w:t xml:space="preserve">Motions for redaction of other details from a pleading, exhibit, attachment, motion or written evidence filed after the notice of hearing is issued in a contested case must comply with rule </w:t>
      </w:r>
      <w:hyperlink r:id="rId217">
        <w:r>
          <w:rPr>
            <w:rStyle w:val="Hyperlink"/>
            <w:rFonts w:ascii="Times New Roman" w:hAnsi="Times New Roman"/>
            <w:b w:val="false"/>
            <w:i w:val="false"/>
            <w:color w:val="000000"/>
            <w:sz w:val="24"/>
          </w:rPr>
          <w:t>7—2506.15</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Process for filing a motion for redaction of other details prior to the commencement of a contested case. </w:t>
      </w:r>
      <w:r>
        <w:rPr>
          <w:rFonts w:ascii="Times New Roman" w:hAnsi="Times New Roman"/>
          <w:b w:val="false"/>
          <w:i w:val="false"/>
          <w:color w:val="000000"/>
          <w:sz w:val="24"/>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hyperlink r:id="rId218">
        <w:r>
          <w:rPr>
            <w:rStyle w:val="Hyperlink"/>
            <w:rFonts w:ascii="Times New Roman" w:hAnsi="Times New Roman"/>
            <w:b w:val="false"/>
            <w:i w:val="false"/>
            <w:color w:val="000000"/>
            <w:sz w:val="24"/>
          </w:rPr>
          <w:t>2507.8(6)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Contents of motion. </w:t>
      </w:r>
      <w:r>
        <w:rPr>
          <w:rFonts w:ascii="Times New Roman" w:hAnsi="Times New Roman"/>
          <w:b w:val="false"/>
          <w:i w:val="false"/>
          <w:color w:val="000000"/>
          <w:sz w:val="24"/>
        </w:rPr>
        <w:t>Motions filed under this rule, including those filed during contested cases, shall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person requesting redaction and the docket number of the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 affidavit in support of redaction. The affidavit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sworn to by a person familiar with the facts asserted within it and shall contain a clear and concise explanation of the facts justifying redaction, not merely the legal basis for redaction or conclusory allegations.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Burden of proof. </w:t>
      </w:r>
      <w:r>
        <w:rPr>
          <w:rFonts w:ascii="Times New Roman" w:hAnsi="Times New Roman"/>
          <w:b w:val="false"/>
          <w:i w:val="false"/>
          <w:color w:val="000000"/>
          <w:sz w:val="24"/>
        </w:rPr>
        <w:t>The burden of showing that redaction is justified is on the movant. The burden is not carried by mere conclusory statements or allegations, for example, that the release of the material would be a clear, unwarranted invasion of personal privacy or that the material is a trade secret.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Contested case proceeding. </w:t>
      </w:r>
      <w:r>
        <w:rPr>
          <w:rFonts w:ascii="Times New Roman" w:hAnsi="Times New Roman"/>
          <w:b w:val="false"/>
          <w:i w:val="false"/>
          <w:color w:val="000000"/>
          <w:sz w:val="24"/>
        </w:rPr>
        <w:t>That the information sought to be redacted is part of the pleadings, motions, evidence, and the record in a contested case proceeding otherwise open for public inspection and that the matter would otherwise constitute confidential tax information is not grounds for redaction.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2507.7(3)</w:t>
      </w:r>
      <w:r>
        <w:rPr>
          <w:rFonts w:ascii="Times New Roman" w:hAnsi="Times New Roman"/>
          <w:b w:val="false"/>
          <w:i w:val="false"/>
          <w:color w:val="000000"/>
          <w:sz w:val="24"/>
        </w:rPr>
        <w:t> </w:t>
      </w:r>
      <w:r>
        <w:rPr>
          <w:rFonts w:ascii="Times New Roman" w:hAnsi="Times New Roman"/>
          <w:b w:val="false"/>
          <w:i/>
          <w:color w:val="000000"/>
          <w:sz w:val="24"/>
        </w:rPr>
        <w:t xml:space="preserve">Process for requesting redaction of other details in a final order, decision, or ruling. </w:t>
      </w:r>
      <w:r>
        <w:rPr>
          <w:rFonts w:ascii="Times New Roman" w:hAnsi="Times New Roman"/>
          <w:b w:val="false"/>
          <w:i w:val="false"/>
          <w:color w:val="000000"/>
          <w:sz w:val="24"/>
        </w:rPr>
        <w:t xml:space="preserve">Motions to redact information from a final order, decision, or ruling cannot be made until the order is issued and must be made within 30 days of the date of the order, decision, or ruling. The taxpayer must follow the requirements in paragraph </w:t>
      </w:r>
      <w:hyperlink r:id="rId219">
        <w:r>
          <w:rPr>
            <w:rStyle w:val="Hyperlink"/>
            <w:rFonts w:ascii="Times New Roman" w:hAnsi="Times New Roman"/>
            <w:b w:val="false"/>
            <w:i w:val="false"/>
            <w:color w:val="000000"/>
            <w:sz w:val="24"/>
          </w:rPr>
          <w:t>2507.7(2)</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rule </w:t>
      </w:r>
      <w:hyperlink r:id="rId220">
        <w:r>
          <w:rPr>
            <w:rStyle w:val="Hyperlink"/>
            <w:rFonts w:ascii="Times New Roman" w:hAnsi="Times New Roman"/>
            <w:b w:val="false"/>
            <w:i w:val="false"/>
            <w:color w:val="000000"/>
            <w:sz w:val="24"/>
          </w:rPr>
          <w:t>7—2506.15</w:t>
        </w:r>
      </w:hyperlink>
      <w:r>
        <w:rPr>
          <w:rFonts w:ascii="Times New Roman" w:hAnsi="Times New Roman"/>
          <w:b w:val="false"/>
          <w:i w:val="false"/>
          <w:color w:val="000000"/>
          <w:sz w:val="24"/>
        </w:rPr>
        <w:t>(17A). The department has 30 days to respond to the motion from the date the department’s representatives receive notice from the presiding officer unless otherwise ordered by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2507.7(4)</w:t>
      </w:r>
      <w:r>
        <w:rPr>
          <w:rFonts w:ascii="Times New Roman" w:hAnsi="Times New Roman"/>
          <w:b w:val="false"/>
          <w:i w:val="false"/>
          <w:color w:val="000000"/>
          <w:sz w:val="24"/>
        </w:rPr>
        <w:t> </w:t>
      </w:r>
      <w:r>
        <w:rPr>
          <w:rFonts w:ascii="Times New Roman" w:hAnsi="Times New Roman"/>
          <w:b w:val="false"/>
          <w:i/>
          <w:color w:val="000000"/>
          <w:sz w:val="24"/>
        </w:rPr>
        <w:t xml:space="preserve">Rulings. </w:t>
      </w:r>
      <w:r>
        <w:rPr>
          <w:rFonts w:ascii="Times New Roman" w:hAnsi="Times New Roman"/>
          <w:b w:val="false"/>
          <w:i w:val="false"/>
          <w:color w:val="000000"/>
          <w:sz w:val="24"/>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2507.7(5)</w:t>
      </w:r>
      <w:r>
        <w:rPr>
          <w:rFonts w:ascii="Times New Roman" w:hAnsi="Times New Roman"/>
          <w:b w:val="false"/>
          <w:i w:val="false"/>
          <w:color w:val="000000"/>
          <w:sz w:val="24"/>
        </w:rPr>
        <w:t> </w:t>
      </w:r>
      <w:r>
        <w:rPr>
          <w:rFonts w:ascii="Times New Roman" w:hAnsi="Times New Roman"/>
          <w:b w:val="false"/>
          <w:i/>
          <w:color w:val="000000"/>
          <w:sz w:val="24"/>
        </w:rPr>
        <w:t xml:space="preserve">Limitation on motions. </w:t>
      </w:r>
      <w:r>
        <w:rPr>
          <w:rFonts w:ascii="Times New Roman" w:hAnsi="Times New Roman"/>
          <w:b w:val="false"/>
          <w:i w:val="false"/>
          <w:color w:val="000000"/>
          <w:sz w:val="24"/>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2507.7(6)</w:t>
      </w:r>
      <w:r>
        <w:rPr>
          <w:rFonts w:ascii="Times New Roman" w:hAnsi="Times New Roman"/>
          <w:b w:val="false"/>
          <w:i w:val="false"/>
          <w:color w:val="000000"/>
          <w:sz w:val="24"/>
        </w:rPr>
        <w:t> </w:t>
      </w:r>
      <w:r>
        <w:rPr>
          <w:rFonts w:ascii="Times New Roman" w:hAnsi="Times New Roman"/>
          <w:b w:val="false"/>
          <w:i/>
          <w:color w:val="000000"/>
          <w:sz w:val="24"/>
        </w:rPr>
        <w:t xml:space="preserve">Handling of the file while the motion is pending. </w:t>
      </w:r>
      <w:r>
        <w:rPr>
          <w:rFonts w:ascii="Times New Roman" w:hAnsi="Times New Roman"/>
          <w:b w:val="false"/>
          <w:i w:val="false"/>
          <w:color w:val="000000"/>
          <w:sz w:val="24"/>
        </w:rPr>
        <w:t xml:space="preserve">While a motion is pending, unless otherwise required or permitted by law, the department will treat the motion as if it has been granted and will not publicly release any information pursuant to Iowa Code chapter </w:t>
      </w:r>
      <w:hyperlink r:id="rId22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xml:space="preserve"> or </w:t>
      </w:r>
      <w:hyperlink r:id="rId222">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sought to be kept confidential by the taxpayer.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2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sections </w:t>
      </w:r>
      <w:hyperlink r:id="rId224">
        <w:r>
          <w:rPr>
            <w:rStyle w:val="Hyperlink"/>
            <w:rFonts w:ascii="Times New Roman" w:hAnsi="Times New Roman"/>
            <w:b w:val="false"/>
            <w:i w:val="false"/>
            <w:color w:val="000000"/>
            <w:sz w:val="24"/>
          </w:rPr>
          <w:t>422.20(5)</w:t>
        </w:r>
      </w:hyperlink>
      <w:r>
        <w:rPr>
          <w:rFonts w:ascii="Times New Roman" w:hAnsi="Times New Roman"/>
          <w:b w:val="false"/>
          <w:i w:val="false"/>
          <w:color w:val="000000"/>
          <w:sz w:val="24"/>
        </w:rPr>
        <w:t xml:space="preserve"> and </w:t>
      </w:r>
      <w:hyperlink r:id="rId225">
        <w:r>
          <w:rPr>
            <w:rStyle w:val="Hyperlink"/>
            <w:rFonts w:ascii="Times New Roman" w:hAnsi="Times New Roman"/>
            <w:b w:val="false"/>
            <w:i w:val="false"/>
            <w:color w:val="000000"/>
            <w:sz w:val="24"/>
          </w:rPr>
          <w:t>422.72(8)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701—2507.8</w:t>
      </w:r>
      <w:r>
        <w:rPr>
          <w:rFonts w:ascii="Times New Roman" w:hAnsi="Times New Roman"/>
          <w:b/>
          <w:i w:val="false"/>
          <w:color w:val="000000"/>
          <w:sz w:val="24"/>
        </w:rPr>
        <w:t xml:space="preserve">(17A) </w:t>
      </w:r>
      <w:r>
        <w:rPr>
          <w:rFonts w:ascii="Times New Roman" w:hAnsi="Times New Roman"/>
          <w:b/>
          <w:i w:val="false"/>
          <w:color w:val="000000"/>
          <w:sz w:val="24"/>
        </w:rPr>
        <w:t xml:space="preserve">Tax appeals. </w:t>
      </w:r>
      <w:r>
        <w:rPr>
          <w:rFonts w:ascii="Times New Roman" w:hAnsi="Times New Roman"/>
          <w:b w:val="false"/>
          <w:i w:val="false"/>
          <w:color w:val="000000"/>
          <w:sz w:val="24"/>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226">
        <w:r>
          <w:rPr>
            <w:rStyle w:val="Hyperlink"/>
            <w:rFonts w:ascii="Times New Roman" w:hAnsi="Times New Roman"/>
            <w:b w:val="false"/>
            <w:i w:val="false"/>
            <w:color w:val="000000"/>
            <w:sz w:val="24"/>
          </w:rPr>
          <w:t>701—2507.3</w:t>
        </w:r>
      </w:hyperlink>
      <w:r>
        <w:rPr>
          <w:rFonts w:ascii="Times New Roman" w:hAnsi="Times New Roman"/>
          <w:b w:val="false"/>
          <w:i w:val="false"/>
          <w:color w:val="000000"/>
          <w:sz w:val="24"/>
        </w:rPr>
        <w:t>(17A,99G,123,421-453E).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2507.8(1)</w:t>
      </w:r>
      <w:r>
        <w:rPr>
          <w:rFonts w:ascii="Times New Roman" w:hAnsi="Times New Roman"/>
          <w:b w:val="false"/>
          <w:i w:val="false"/>
          <w:color w:val="000000"/>
          <w:sz w:val="24"/>
        </w:rPr>
        <w:t> </w:t>
      </w:r>
      <w:r>
        <w:rPr>
          <w:rFonts w:ascii="Times New Roman" w:hAnsi="Times New Roman"/>
          <w:b w:val="false"/>
          <w:i/>
          <w:color w:val="000000"/>
          <w:sz w:val="24"/>
        </w:rPr>
        <w:t xml:space="preserve">Deadlines. </w:t>
      </w:r>
      <w:r>
        <w:rPr>
          <w:rFonts w:ascii="Times New Roman" w:hAnsi="Times New Roman"/>
          <w:b w:val="false"/>
          <w:i w:val="false"/>
          <w:color w:val="000000"/>
          <w:sz w:val="24"/>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2507.8(2)</w:t>
      </w:r>
      <w:r>
        <w:rPr>
          <w:rFonts w:ascii="Times New Roman" w:hAnsi="Times New Roman"/>
          <w:b w:val="false"/>
          <w:i w:val="false"/>
          <w:color w:val="000000"/>
          <w:sz w:val="24"/>
        </w:rPr>
        <w:t> </w:t>
      </w:r>
      <w:r>
        <w:rPr>
          <w:rFonts w:ascii="Times New Roman" w:hAnsi="Times New Roman"/>
          <w:b w:val="false"/>
          <w:i/>
          <w:color w:val="000000"/>
          <w:sz w:val="24"/>
        </w:rPr>
        <w:t xml:space="preserve">Paying an assessment that is divisible. </w:t>
      </w:r>
      <w:r>
        <w:rPr>
          <w:rFonts w:ascii="Times New Roman" w:hAnsi="Times New Roman"/>
          <w:b w:val="false"/>
          <w:i w:val="false"/>
          <w:color w:val="000000"/>
          <w:sz w:val="24"/>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2507.8(3)</w:t>
      </w:r>
      <w:r>
        <w:rPr>
          <w:rFonts w:ascii="Times New Roman" w:hAnsi="Times New Roman"/>
          <w:b w:val="false"/>
          <w:i w:val="false"/>
          <w:color w:val="000000"/>
          <w:sz w:val="24"/>
        </w:rPr>
        <w:t> </w:t>
      </w:r>
      <w:r>
        <w:rPr>
          <w:rFonts w:ascii="Times New Roman" w:hAnsi="Times New Roman"/>
          <w:b w:val="false"/>
          <w:i/>
          <w:color w:val="000000"/>
          <w:sz w:val="24"/>
        </w:rPr>
        <w:t xml:space="preserve">Types of divisible taxes. </w:t>
      </w:r>
      <w:r>
        <w:rPr>
          <w:rFonts w:ascii="Times New Roman" w:hAnsi="Times New Roman"/>
          <w:b w:val="false"/>
          <w:i w:val="false"/>
          <w:color w:val="000000"/>
          <w:sz w:val="24"/>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line="480"/>
        <w:ind w:left="120"/>
        <w:jc w:val="both"/>
      </w:pPr>
      <w:r>
        <w:rPr>
          <w:rFonts w:ascii="Times New Roman" w:hAnsi="Times New Roman"/>
          <w:b w:val="false"/>
          <w:i w:val="false"/>
          <w:color w:val="000000"/>
          <w:sz w:val="24"/>
        </w:rPr>
        <w:t>EXAMPLE A</w:t>
      </w:r>
      <w:r>
        <w:rPr>
          <w:rFonts w:ascii="Times New Roman" w:hAnsi="Times New Roman"/>
          <w:b w:val="false"/>
          <w:i w:val="false"/>
          <w:color w:val="000000"/>
          <w:sz w:val="24"/>
        </w:rPr>
        <w:t>: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line="480"/>
        <w:ind w:left="120"/>
        <w:jc w:val="both"/>
      </w:pPr>
      <w:r>
        <w:rPr>
          <w:rFonts w:ascii="Times New Roman" w:hAnsi="Times New Roman"/>
          <w:b w:val="false"/>
          <w:i w:val="false"/>
          <w:color w:val="000000"/>
          <w:sz w:val="24"/>
        </w:rPr>
        <w:t>EXAMPLE B</w:t>
      </w:r>
      <w:r>
        <w:rPr>
          <w:rFonts w:ascii="Times New Roman" w:hAnsi="Times New Roman"/>
          <w:b w:val="false"/>
          <w:i w:val="false"/>
          <w:color w:val="000000"/>
          <w:sz w:val="24"/>
        </w:rPr>
        <w:t>: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2507.8(4)</w:t>
      </w:r>
      <w:r>
        <w:rPr>
          <w:rFonts w:ascii="Times New Roman" w:hAnsi="Times New Roman"/>
          <w:b w:val="false"/>
          <w:i w:val="false"/>
          <w:color w:val="000000"/>
          <w:sz w:val="24"/>
        </w:rPr>
        <w:t> </w:t>
      </w:r>
      <w:r>
        <w:rPr>
          <w:rFonts w:ascii="Times New Roman" w:hAnsi="Times New Roman"/>
          <w:b w:val="false"/>
          <w:i/>
          <w:color w:val="000000"/>
          <w:sz w:val="24"/>
        </w:rPr>
        <w:t xml:space="preserve">Who may be named in an appeal. </w:t>
      </w:r>
      <w:r>
        <w:rPr>
          <w:rFonts w:ascii="Times New Roman" w:hAnsi="Times New Roman"/>
          <w:b w:val="false"/>
          <w:i w:val="false"/>
          <w:color w:val="000000"/>
          <w:sz w:val="24"/>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227">
        <w:r>
          <w:rPr>
            <w:rStyle w:val="Hyperlink"/>
            <w:rFonts w:ascii="Times New Roman" w:hAnsi="Times New Roman"/>
            <w:b w:val="false"/>
            <w:i w:val="false"/>
            <w:color w:val="000000"/>
            <w:sz w:val="24"/>
          </w:rPr>
          <w:t>421.59(2)</w:t>
        </w:r>
      </w:hyperlink>
      <w:r>
        <w:rPr>
          <w:rFonts w:ascii="Times New Roman" w:hAnsi="Times New Roman"/>
          <w:b w:val="false"/>
          <w:i w:val="false"/>
          <w:color w:val="000000"/>
          <w:sz w:val="24"/>
        </w:rPr>
        <w:t xml:space="preserve">, Iowa Code chapter </w:t>
      </w:r>
      <w:hyperlink r:id="rId228">
        <w:r>
          <w:rPr>
            <w:rStyle w:val="Hyperlink"/>
            <w:rFonts w:ascii="Times New Roman" w:hAnsi="Times New Roman"/>
            <w:b w:val="false"/>
            <w:i w:val="false"/>
            <w:color w:val="000000"/>
            <w:sz w:val="24"/>
          </w:rPr>
          <w:t>633B</w:t>
        </w:r>
      </w:hyperlink>
      <w:r>
        <w:rPr>
          <w:rFonts w:ascii="Times New Roman" w:hAnsi="Times New Roman"/>
          <w:b w:val="false"/>
          <w:i w:val="false"/>
          <w:color w:val="000000"/>
          <w:sz w:val="24"/>
        </w:rPr>
        <w:t xml:space="preserve">, or </w:t>
      </w:r>
      <w:hyperlink r:id="rId229">
        <w:r>
          <w:rPr>
            <w:rStyle w:val="Hyperlink"/>
            <w:rFonts w:ascii="Times New Roman" w:hAnsi="Times New Roman"/>
            <w:b w:val="false"/>
            <w:i w:val="false"/>
            <w:color w:val="000000"/>
            <w:sz w:val="24"/>
          </w:rPr>
          <w:t>701—subrule 8.8(6)</w:t>
        </w:r>
      </w:hyperlink>
      <w:r>
        <w:rPr>
          <w:rFonts w:ascii="Times New Roman" w:hAnsi="Times New Roman"/>
          <w:b w:val="false"/>
          <w:i w:val="false"/>
          <w:color w:val="000000"/>
          <w:sz w:val="24"/>
        </w:rPr>
        <w:t xml:space="preserve"> legally entitled to institute a proceeding on behalf of the person. In the event of a discrepancy between the name set forth in the appeal and the correct name, a statement of the reason for the discrepancy shall be set forth in the appeal.</w:t>
      </w:r>
    </w:p>
    <w:p>
      <w:pPr>
        <w:spacing w:before="0" w:after="0" w:line="480"/>
        <w:ind w:left="120"/>
        <w:jc w:val="both"/>
      </w:pPr>
      <w:r>
        <w:rPr>
          <w:rFonts w:ascii="Times New Roman" w:hAnsi="Times New Roman"/>
          <w:b/>
          <w:i w:val="false"/>
          <w:color w:val="000000"/>
          <w:sz w:val="24"/>
        </w:rPr>
        <w:t>2507.8(5)</w:t>
      </w:r>
      <w:r>
        <w:rPr>
          <w:rFonts w:ascii="Times New Roman" w:hAnsi="Times New Roman"/>
          <w:b w:val="false"/>
          <w:i w:val="false"/>
          <w:color w:val="000000"/>
          <w:sz w:val="24"/>
        </w:rPr>
        <w:t> </w:t>
      </w:r>
      <w:r>
        <w:rPr>
          <w:rFonts w:ascii="Times New Roman" w:hAnsi="Times New Roman"/>
          <w:b w:val="false"/>
          <w:i/>
          <w:color w:val="000000"/>
          <w:sz w:val="24"/>
        </w:rPr>
        <w:t xml:space="preserve">Form and content of the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Department forms. </w:t>
      </w:r>
      <w:r>
        <w:rPr>
          <w:rFonts w:ascii="Times New Roman" w:hAnsi="Times New Roman"/>
          <w:b w:val="false"/>
          <w:i w:val="false"/>
          <w:color w:val="000000"/>
          <w:sz w:val="24"/>
        </w:rPr>
        <w:t>Appeals may be filed using the form available on GovConnectIowa or the form available on the department’s website, revenue.iowa.gov/forms.</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Manually created appeals. </w:t>
      </w:r>
      <w:r>
        <w:rPr>
          <w:rFonts w:ascii="Times New Roman" w:hAnsi="Times New Roman"/>
          <w:b w:val="false"/>
          <w:i w:val="false"/>
          <w:color w:val="000000"/>
          <w:sz w:val="24"/>
        </w:rPr>
        <w:t>Persons who do not use GovConnectIowa or the form available on the department’s website shall use the following format:</w:t>
      </w:r>
    </w:p>
    <w:p>
      <w:pPr>
        <w:spacing w:before="0" w:after="0" w:line="480"/>
        <w:ind w:left="120"/>
        <w:jc w:val="both"/>
      </w:pP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appeal shall contain a caption in the following form:</w:t>
      </w:r>
    </w:p>
    <w:tbl>
      <w:tblPr>
        <w:tblW w:w="0" w:type="auto"/>
        <w:tblCellSpacing w:w="0" w:type="auto"/>
        <w:tblBorders>
          <w:top w:val="none"/>
          <w:left w:val="none"/>
          <w:bottom w:val="none"/>
          <w:right w:val="none"/>
          <w:insideH w:val="none"/>
          <w:insideV w:val="none"/>
        </w:tblBorders>
      </w:tblPr>
      <w:tblGrid>
        <w:gridCol w:w="5408"/>
        <w:gridCol w:w="398"/>
        <w:gridCol w:w="5384"/>
      </w:tblGrid>
      <w:tr>
        <w:trPr>
          <w:trHeight w:val="1860" w:hRule="atLeast"/>
        </w:trPr>
        <w:tc>
          <w:tcPr>
            <w:tcW w:w="0" w:type="auto"/>
            <w:gridSpan w:val="3"/>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 xml:space="preserve">BEFORE THE DEPARTMENT OF REVENUE </w:t>
            </w:r>
            <w:r>
              <w:br/>
            </w:r>
            <w:r>
              <w:rPr>
                <w:rFonts w:ascii="Times New Roman" w:hAnsi="Times New Roman"/>
                <w:b w:val="false"/>
                <w:i w:val="false"/>
                <w:color w:val="000000"/>
                <w:sz w:val="24"/>
              </w:rPr>
              <w:t xml:space="preserve">HOOVER STATE OFFICE BUILDING </w:t>
            </w:r>
            <w:r>
              <w:br/>
            </w:r>
            <w:r>
              <w:rPr>
                <w:rFonts w:ascii="Times New Roman" w:hAnsi="Times New Roman"/>
                <w:b w:val="false"/>
                <w:i w:val="false"/>
                <w:color w:val="000000"/>
                <w:sz w:val="24"/>
              </w:rPr>
              <w:t>DES MOINES, IOWA</w:t>
            </w:r>
          </w:p>
        </w:tc>
      </w:tr>
      <w:tr>
        <w:trPr>
          <w:trHeight w:val="1485" w:hRule="atLeast"/>
        </w:trPr>
        <w:tc>
          <w:tcPr>
            <w:tcW w:w="5408"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IN THE MATTER OF _________________</w:t>
            </w:r>
          </w:p>
        </w:tc>
        <w:tc>
          <w:tcPr>
            <w:tcW w:w="39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w:t>
            </w:r>
          </w:p>
        </w:tc>
        <w:tc>
          <w:tcPr>
            <w:tcW w:w="538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r>
        <w:trPr>
          <w:trHeight w:val="1965" w:hRule="atLeast"/>
        </w:trPr>
        <w:tc>
          <w:tcPr>
            <w:tcW w:w="5408" w:type="dxa"/>
            <w:tcBorders>
              <w:bottom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(state taxpayer’s name and address and </w:t>
            </w:r>
            <w:r>
              <w:br/>
            </w:r>
            <w:r>
              <w:rPr>
                <w:rFonts w:ascii="Times New Roman" w:hAnsi="Times New Roman"/>
                <w:b w:val="false"/>
                <w:i w:val="false"/>
                <w:color w:val="000000"/>
                <w:sz w:val="24"/>
              </w:rPr>
              <w:t xml:space="preserve">designate type of proceeding, e.g., </w:t>
            </w:r>
            <w:r>
              <w:br/>
            </w:r>
            <w:r>
              <w:rPr>
                <w:rFonts w:ascii="Times New Roman" w:hAnsi="Times New Roman"/>
                <w:b w:val="false"/>
                <w:i w:val="false"/>
                <w:color w:val="000000"/>
                <w:sz w:val="24"/>
              </w:rPr>
              <w:t>income tax refund claim)</w:t>
            </w:r>
          </w:p>
          <w:p>
            <w:pPr>
              <w:spacing w:before="0" w:after="0" w:line="480"/>
              <w:ind w:left="160"/>
              <w:jc w:val="left"/>
            </w:pPr>
            <w:r>
              <w:rPr>
                <w:rFonts w:ascii="Times New Roman" w:hAnsi="Times New Roman"/>
                <w:b w:val="false"/>
                <w:i w:val="false"/>
                <w:color w:val="000000"/>
                <w:sz w:val="24"/>
              </w:rPr>
              <w:t> </w:t>
            </w:r>
          </w:p>
        </w:tc>
        <w:tc>
          <w:tcPr>
            <w:tcW w:w="398"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w:t>
            </w:r>
            <w:r>
              <w:br/>
            </w:r>
            <w:r>
              <w:rPr>
                <w:rFonts w:ascii="Times New Roman" w:hAnsi="Times New Roman"/>
                <w:b w:val="false"/>
                <w:i w:val="false"/>
                <w:color w:val="000000"/>
                <w:sz w:val="24"/>
              </w:rPr>
              <w:t>*</w:t>
            </w:r>
            <w:r>
              <w:br/>
            </w:r>
            <w:r>
              <w:rPr>
                <w:rFonts w:ascii="Times New Roman" w:hAnsi="Times New Roman"/>
                <w:b w:val="false"/>
                <w:i w:val="false"/>
                <w:color w:val="000000"/>
                <w:sz w:val="24"/>
              </w:rPr>
              <w:t>*</w:t>
            </w:r>
          </w:p>
        </w:tc>
        <w:tc>
          <w:tcPr>
            <w:tcW w:w="5384"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 xml:space="preserve">APPEAL </w:t>
            </w:r>
            <w:r>
              <w:br/>
            </w:r>
            <w:r>
              <w:rPr>
                <w:rFonts w:ascii="Times New Roman" w:hAnsi="Times New Roman"/>
                <w:b w:val="false"/>
                <w:i w:val="false"/>
                <w:color w:val="000000"/>
                <w:sz w:val="24"/>
              </w:rPr>
              <w:t xml:space="preserve">Docket No. ___________________ </w:t>
            </w:r>
            <w:r>
              <w:br/>
            </w:r>
            <w:r>
              <w:rPr>
                <w:rFonts w:ascii="Times New Roman" w:hAnsi="Times New Roman"/>
                <w:b w:val="false"/>
                <w:i w:val="false"/>
                <w:color w:val="000000"/>
                <w:sz w:val="24"/>
              </w:rPr>
              <w:t>(filled in by Department)</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appeal shall substantially state in separate numbered paragraphs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Proper allegations showing: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Date of department action, such as the notice of assessment or refund denial;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Whether the taxpayer failed to timely appeal the assessment and, if so, the date of payment and the date of filing of the refund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Whether the appeal involves the appeal of a refund claim after six months from the date of filing the refund claim because the department failed to deny the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Copies of the documented department action, such as the notice of assessment, refund claim, and refund denial letter;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Other items that the taxpayer wishes to bring to the attention of the department;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request for attorney fees,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type of tax, the taxable period or periods involved, and the amount in controversy.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Each error alleged to have been committed, listed in a separate paragraph. For each error listed, an explanation of the error and all relevant facts related to the error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Reference to any particular statute or statutes and any rule or rules involved,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other matters deemed relevant and not covered in the above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statement setting forth the relief sought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230">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 on file with the department, or one should be included with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Spouses. </w:t>
      </w:r>
      <w:r>
        <w:rPr>
          <w:rFonts w:ascii="Times New Roman" w:hAnsi="Times New Roman"/>
          <w:b w:val="false"/>
          <w:i w:val="false"/>
          <w:color w:val="000000"/>
          <w:sz w:val="24"/>
        </w:rPr>
        <w:t xml:space="preserve">If an appeal involves an assessment or a refund denial to a married couple and both spouses intend to appeal, both spouses must sign the document as drafted under paragraph </w:t>
      </w:r>
      <w:hyperlink r:id="rId231">
        <w:r>
          <w:rPr>
            <w:rStyle w:val="Hyperlink"/>
            <w:rFonts w:ascii="Times New Roman" w:hAnsi="Times New Roman"/>
            <w:b w:val="false"/>
            <w:i w:val="false"/>
            <w:color w:val="000000"/>
            <w:sz w:val="24"/>
          </w:rPr>
          <w:t>2507.8(5)</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2507.8(6)</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Subject to the statutory appeal period, the taxpayer may amend the appeal at any time during informal proceedings until the department files a responsive pleading.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request that the taxpayer amend the appeal for purposes of clarification or to comply with format requirements during informal proceedings before the department files a responsive pleading. If the taxpayer fails to amend the appeal within the time provided for in the department’s request, the department may move to dismiss the appeal under paragraph </w:t>
      </w:r>
      <w:hyperlink r:id="rId232">
        <w:r>
          <w:rPr>
            <w:rStyle w:val="Hyperlink"/>
            <w:rFonts w:ascii="Times New Roman" w:hAnsi="Times New Roman"/>
            <w:b w:val="false"/>
            <w:i w:val="false"/>
            <w:color w:val="000000"/>
            <w:sz w:val="24"/>
          </w:rPr>
          <w:t>2507.11(3)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33">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701—2507.9</w:t>
      </w:r>
      <w:r>
        <w:rPr>
          <w:rFonts w:ascii="Times New Roman" w:hAnsi="Times New Roman"/>
          <w:b/>
          <w:i w:val="false"/>
          <w:color w:val="000000"/>
          <w:sz w:val="24"/>
        </w:rPr>
        <w:t xml:space="preserve">(17A) </w:t>
      </w:r>
      <w:r>
        <w:rPr>
          <w:rFonts w:ascii="Times New Roman" w:hAnsi="Times New Roman"/>
          <w:b/>
          <w:i w:val="false"/>
          <w:color w:val="000000"/>
          <w:sz w:val="24"/>
        </w:rPr>
        <w:t xml:space="preserve">Resolution of tax liability. </w:t>
      </w:r>
      <w:r>
        <w:rPr>
          <w:rFonts w:ascii="Times New Roman" w:hAnsi="Times New Roman"/>
          <w:b w:val="false"/>
          <w:i w:val="false"/>
          <w:color w:val="000000"/>
          <w:sz w:val="24"/>
        </w:rPr>
        <w:t>In the event that a proper appeal has been filed, other department personnel, when authorized by the enforcement actions and appeals bureau, have the authority to discuss the resolution of any matter in the appeal either with the taxpayer or the taxpayer’s representative. The personnel shall report their activities in this regard to the enforcement actions and appeals bureau, and the enforcement actions and appeals bureau shall be authorized to approve or reject any recommendations made by the appropriate personnel to resolve an appeal.</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3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701—2507.10</w:t>
      </w:r>
      <w:r>
        <w:rPr>
          <w:rFonts w:ascii="Times New Roman" w:hAnsi="Times New Roman"/>
          <w:b/>
          <w:i w:val="false"/>
          <w:color w:val="000000"/>
          <w:sz w:val="24"/>
        </w:rPr>
        <w:t xml:space="preserve">(17A) </w:t>
      </w:r>
      <w:r>
        <w:rPr>
          <w:rFonts w:ascii="Times New Roman" w:hAnsi="Times New Roman"/>
          <w:b/>
          <w:i w:val="false"/>
          <w:color w:val="000000"/>
          <w:sz w:val="24"/>
        </w:rPr>
        <w:t xml:space="preserve">Informal proceedings. </w:t>
      </w:r>
      <w:r>
        <w:rPr>
          <w:rFonts w:ascii="Times New Roman" w:hAnsi="Times New Roman"/>
          <w:b w:val="false"/>
          <w:i w:val="false"/>
          <w:color w:val="000000"/>
          <w:sz w:val="24"/>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235">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(17A,421), the taxpayer demands a contested case proceeding or the department waives informal procedures upon notification to the taxpayer, such informal procedures will be initiated as herein provided upon the filing of a proper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2507.10(1)</w:t>
      </w:r>
      <w:r>
        <w:rPr>
          <w:rFonts w:ascii="Times New Roman" w:hAnsi="Times New Roman"/>
          <w:b w:val="false"/>
          <w:i w:val="false"/>
          <w:color w:val="000000"/>
          <w:sz w:val="24"/>
        </w:rPr>
        <w:t> </w:t>
      </w:r>
      <w:r>
        <w:rPr>
          <w:rFonts w:ascii="Times New Roman" w:hAnsi="Times New Roman"/>
          <w:b w:val="false"/>
          <w:i/>
          <w:color w:val="000000"/>
          <w:sz w:val="24"/>
        </w:rPr>
        <w:t xml:space="preserve">Enforcement actions and appeals bureau review. </w:t>
      </w:r>
      <w:r>
        <w:rPr>
          <w:rFonts w:ascii="Times New Roman" w:hAnsi="Times New Roman"/>
          <w:b w:val="false"/>
          <w:i w:val="false"/>
          <w:color w:val="000000"/>
          <w:sz w:val="24"/>
        </w:rPr>
        <w:t>After an appeal is filed, the review unit, subject to the control of the director or the division administrator of the legal services division,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Review and evaluate the validity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Determine the correct amount of tax owing or refund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Determine the best method of resolving the dispute between the taxpayer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Take further action regarding the appeal, including any additions to and deletions from the audit, as may be warranted by the circumstances to resolve the appeal, including a request for an informal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 whether the appeal complies with rule </w:t>
      </w:r>
      <w:hyperlink r:id="rId236">
        <w:r>
          <w:rPr>
            <w:rStyle w:val="Hyperlink"/>
            <w:rFonts w:ascii="Times New Roman" w:hAnsi="Times New Roman"/>
            <w:b w:val="false"/>
            <w:i w:val="false"/>
            <w:color w:val="000000"/>
            <w:sz w:val="24"/>
          </w:rPr>
          <w:t>701—2507.8</w:t>
        </w:r>
      </w:hyperlink>
      <w:r>
        <w:rPr>
          <w:rFonts w:ascii="Times New Roman" w:hAnsi="Times New Roman"/>
          <w:b w:val="false"/>
          <w:i w:val="false"/>
          <w:color w:val="000000"/>
          <w:sz w:val="24"/>
        </w:rPr>
        <w:t>(17A) and request any amendments to the appeal or additional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2507.10(2)</w:t>
      </w:r>
      <w:r>
        <w:rPr>
          <w:rFonts w:ascii="Times New Roman" w:hAnsi="Times New Roman"/>
          <w:b w:val="false"/>
          <w:i w:val="false"/>
          <w:color w:val="000000"/>
          <w:sz w:val="24"/>
        </w:rPr>
        <w:t> </w:t>
      </w:r>
      <w:r>
        <w:rPr>
          <w:rFonts w:ascii="Times New Roman" w:hAnsi="Times New Roman"/>
          <w:b w:val="false"/>
          <w:i/>
          <w:color w:val="000000"/>
          <w:sz w:val="24"/>
        </w:rPr>
        <w:t xml:space="preserve">Determinations, conferences. </w:t>
      </w:r>
      <w:r>
        <w:rPr>
          <w:rFonts w:ascii="Times New Roman" w:hAnsi="Times New Roman"/>
          <w:b w:val="false"/>
          <w:i w:val="false"/>
          <w:color w:val="000000"/>
          <w:sz w:val="24"/>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2507.10(3)</w:t>
      </w:r>
      <w:r>
        <w:rPr>
          <w:rFonts w:ascii="Times New Roman" w:hAnsi="Times New Roman"/>
          <w:b w:val="false"/>
          <w:i w:val="false"/>
          <w:color w:val="000000"/>
          <w:sz w:val="24"/>
        </w:rPr>
        <w:t> </w:t>
      </w:r>
      <w:r>
        <w:rPr>
          <w:rFonts w:ascii="Times New Roman" w:hAnsi="Times New Roman"/>
          <w:b w:val="false"/>
          <w:i/>
          <w:color w:val="000000"/>
          <w:sz w:val="24"/>
        </w:rPr>
        <w:t xml:space="preserve">Findings. </w:t>
      </w:r>
      <w:r>
        <w:rPr>
          <w:rFonts w:ascii="Times New Roman" w:hAnsi="Times New Roman"/>
          <w:b w:val="false"/>
          <w:i w:val="false"/>
          <w:color w:val="000000"/>
          <w:sz w:val="24"/>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2507.10(4)</w:t>
      </w:r>
      <w:r>
        <w:rPr>
          <w:rFonts w:ascii="Times New Roman" w:hAnsi="Times New Roman"/>
          <w:b w:val="false"/>
          <w:i w:val="false"/>
          <w:color w:val="000000"/>
          <w:sz w:val="24"/>
        </w:rPr>
        <w:t> </w:t>
      </w:r>
      <w:r>
        <w:rPr>
          <w:rFonts w:ascii="Times New Roman" w:hAnsi="Times New Roman"/>
          <w:b w:val="false"/>
          <w:i/>
          <w:color w:val="000000"/>
          <w:sz w:val="24"/>
        </w:rPr>
        <w:t xml:space="preserve">Format of review. </w:t>
      </w:r>
      <w:r>
        <w:rPr>
          <w:rFonts w:ascii="Times New Roman" w:hAnsi="Times New Roman"/>
          <w:b w:val="false"/>
          <w:i w:val="false"/>
          <w:color w:val="000000"/>
          <w:sz w:val="24"/>
        </w:rPr>
        <w:t>Nothing herein will prevent the review unit and the taxpayer from mutually agreeing on the manner in which the appeal will be informally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2507.10(5)</w:t>
      </w:r>
      <w:r>
        <w:rPr>
          <w:rFonts w:ascii="Times New Roman" w:hAnsi="Times New Roman"/>
          <w:b w:val="false"/>
          <w:i w:val="false"/>
          <w:color w:val="000000"/>
          <w:sz w:val="24"/>
        </w:rPr>
        <w:t> </w:t>
      </w:r>
      <w:r>
        <w:rPr>
          <w:rFonts w:ascii="Times New Roman" w:hAnsi="Times New Roman"/>
          <w:b w:val="false"/>
          <w:i/>
          <w:color w:val="000000"/>
          <w:sz w:val="24"/>
        </w:rPr>
        <w:t xml:space="preserve">Settlements. </w:t>
      </w:r>
      <w:r>
        <w:rPr>
          <w:rFonts w:ascii="Times New Roman" w:hAnsi="Times New Roman"/>
          <w:b w:val="false"/>
          <w:i w:val="false"/>
          <w:color w:val="000000"/>
          <w:sz w:val="24"/>
        </w:rPr>
        <w:t>Only the director, a deputy director, the division administrator of the legal services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7">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701—2507.11</w:t>
      </w:r>
      <w:r>
        <w:rPr>
          <w:rFonts w:ascii="Times New Roman" w:hAnsi="Times New Roman"/>
          <w:b/>
          <w:i w:val="false"/>
          <w:color w:val="000000"/>
          <w:sz w:val="24"/>
        </w:rPr>
        <w:t xml:space="preserve">(17A,421) </w:t>
      </w:r>
      <w:r>
        <w:rPr>
          <w:rFonts w:ascii="Times New Roman" w:hAnsi="Times New Roman"/>
          <w:b/>
          <w:i w:val="false"/>
          <w:color w:val="000000"/>
          <w:sz w:val="24"/>
        </w:rPr>
        <w:t xml:space="preserve">Dismissal of tax appeals during informal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2507.11(1)</w:t>
      </w:r>
      <w:r>
        <w:rPr>
          <w:rFonts w:ascii="Times New Roman" w:hAnsi="Times New Roman"/>
          <w:b w:val="false"/>
          <w:i w:val="false"/>
          <w:color w:val="000000"/>
          <w:sz w:val="24"/>
        </w:rPr>
        <w:t> </w:t>
      </w:r>
      <w:r>
        <w:rPr>
          <w:rFonts w:ascii="Times New Roman" w:hAnsi="Times New Roman"/>
          <w:b w:val="false"/>
          <w:i/>
          <w:color w:val="000000"/>
          <w:sz w:val="24"/>
        </w:rPr>
        <w:t xml:space="preserve">Appeals filed after expiration of statutory deadline. </w:t>
      </w:r>
      <w:r>
        <w:rPr>
          <w:rFonts w:ascii="Times New Roman" w:hAnsi="Times New Roman"/>
          <w:b w:val="false"/>
          <w:i w:val="false"/>
          <w:color w:val="000000"/>
          <w:sz w:val="24"/>
        </w:rPr>
        <w:t xml:space="preserve">Appeals that are not filed by the applicable statutory deadline shall be dismissed by the director or the director’s designee in accordance with the procedure outlined in paragraph </w:t>
      </w:r>
      <w:hyperlink r:id="rId238">
        <w:r>
          <w:rPr>
            <w:rStyle w:val="Hyperlink"/>
            <w:rFonts w:ascii="Times New Roman" w:hAnsi="Times New Roman"/>
            <w:b w:val="false"/>
            <w:i w:val="false"/>
            <w:color w:val="000000"/>
            <w:sz w:val="24"/>
          </w:rPr>
          <w:t>2507.11(1)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Procedures for motions to dismiss. </w:t>
      </w:r>
      <w:r>
        <w:rPr>
          <w:rFonts w:ascii="Times New Roman" w:hAnsi="Times New Roman"/>
          <w:b w:val="false"/>
          <w:i w:val="false"/>
          <w:color w:val="000000"/>
          <w:sz w:val="24"/>
        </w:rPr>
        <w:t>The department shall file a motion to dismiss with the clerk and serve a copy of the motion on the taxpayer. The taxpayer may file a resistance to the motion in writing within 20 days of the date of service of the motion. If no resistance is so filed, the director or the director’s designee shall immediately enter an order dismissing the appeal. Once such a dismissal order is entered, the director or the director’s designee shall close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that shall be limited to the question of whether the appeal was filed within the statutory appeal period. Thereafter, the rules pertaining to contested case proceedings shall apply in the dismissal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Grounds for denying the department’s motion. </w:t>
      </w:r>
      <w:r>
        <w:rPr>
          <w:rFonts w:ascii="Times New Roman" w:hAnsi="Times New Roman"/>
          <w:b w:val="false"/>
          <w:i w:val="false"/>
          <w:color w:val="000000"/>
          <w:sz w:val="24"/>
        </w:rPr>
        <w:t>The department’s motion shall be granted unless the taxpayer can prove that it filed the appeal prior to the expiration of the statutory appeal deadline because the department failed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Mail or personally deliver the notice of assessment, refund denial, or other notice of department action to the taxpayer’s last-known address;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applicable, also mail the notice of assessment, refund denial, or other notice of department action to the taxpayer’s authorized representative;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the requirements of Iowa Code section </w:t>
      </w:r>
      <w:hyperlink r:id="rId239">
        <w:r>
          <w:rPr>
            <w:rStyle w:val="Hyperlink"/>
            <w:rFonts w:ascii="Times New Roman" w:hAnsi="Times New Roman"/>
            <w:b w:val="false"/>
            <w:i w:val="false"/>
            <w:color w:val="000000"/>
            <w:sz w:val="24"/>
          </w:rPr>
          <w:t>421.60(2)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2507.11(2)</w:t>
      </w:r>
      <w:r>
        <w:rPr>
          <w:rFonts w:ascii="Times New Roman" w:hAnsi="Times New Roman"/>
          <w:b w:val="false"/>
          <w:i w:val="false"/>
          <w:color w:val="000000"/>
          <w:sz w:val="24"/>
        </w:rPr>
        <w:t> </w:t>
      </w:r>
      <w:r>
        <w:rPr>
          <w:rFonts w:ascii="Times New Roman" w:hAnsi="Times New Roman"/>
          <w:b w:val="false"/>
          <w:i/>
          <w:color w:val="000000"/>
          <w:sz w:val="24"/>
        </w:rPr>
        <w:t xml:space="preserve">Appeals not authorized by statute. </w:t>
      </w:r>
      <w:r>
        <w:rPr>
          <w:rFonts w:ascii="Times New Roman" w:hAnsi="Times New Roman"/>
          <w:b w:val="false"/>
          <w:i w:val="false"/>
          <w:color w:val="000000"/>
          <w:sz w:val="24"/>
        </w:rPr>
        <w:t xml:space="preserve">Appeals that are not authorized by statute or otherwise are inconsistent with the statutory requirements for an appeal shall be dismissed by the director in accordance with the procedure outlined in paragraph </w:t>
      </w:r>
      <w:hyperlink r:id="rId240">
        <w:r>
          <w:rPr>
            <w:rStyle w:val="Hyperlink"/>
            <w:rFonts w:ascii="Times New Roman" w:hAnsi="Times New Roman"/>
            <w:b w:val="false"/>
            <w:i w:val="false"/>
            <w:color w:val="000000"/>
            <w:sz w:val="24"/>
          </w:rPr>
          <w:t>2507.11(1)</w:t>
        </w:r>
      </w:hyperlink>
      <w:r>
        <w:rPr>
          <w:rFonts w:ascii="Times New Roman" w:hAnsi="Times New Roman"/>
          <w:b w:val="false"/>
          <w:i/>
          <w:color w:val="000000"/>
          <w:sz w:val="24"/>
        </w:rPr>
        <w:t>“a,”</w:t>
      </w:r>
      <w:r>
        <w:rPr>
          <w:rFonts w:ascii="Times New Roman" w:hAnsi="Times New Roman"/>
          <w:b w:val="false"/>
          <w:i w:val="false"/>
          <w:color w:val="000000"/>
          <w:sz w:val="24"/>
        </w:rPr>
        <w:t xml:space="preserve"> except that the issue shall be limited to the question of whether the appeal is authorized by statute and consistent with statutory appeal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2507.11(3)</w:t>
      </w:r>
      <w:r>
        <w:rPr>
          <w:rFonts w:ascii="Times New Roman" w:hAnsi="Times New Roman"/>
          <w:b w:val="false"/>
          <w:i w:val="false"/>
          <w:color w:val="000000"/>
          <w:sz w:val="24"/>
        </w:rPr>
        <w:t> </w:t>
      </w:r>
      <w:r>
        <w:rPr>
          <w:rFonts w:ascii="Times New Roman" w:hAnsi="Times New Roman"/>
          <w:b w:val="false"/>
          <w:i/>
          <w:color w:val="000000"/>
          <w:sz w:val="24"/>
        </w:rPr>
        <w:t xml:space="preserve">Failure to pursue the appeal during the informal proceedings. </w:t>
      </w:r>
      <w:r>
        <w:rPr>
          <w:rFonts w:ascii="Times New Roman" w:hAnsi="Times New Roman"/>
          <w:b w:val="false"/>
          <w:i w:val="false"/>
          <w:color w:val="000000"/>
          <w:sz w:val="24"/>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failure to pursue the appeal and is grounds for the department to dismiss the appeal in accordance with the procedure outlined in paragraph </w:t>
      </w:r>
      <w:hyperlink r:id="rId241">
        <w:r>
          <w:rPr>
            <w:rStyle w:val="Hyperlink"/>
            <w:rFonts w:ascii="Times New Roman" w:hAnsi="Times New Roman"/>
            <w:b w:val="false"/>
            <w:i w:val="false"/>
            <w:color w:val="000000"/>
            <w:sz w:val="24"/>
          </w:rPr>
          <w:t>2507.11(3)</w:t>
        </w:r>
      </w:hyperlink>
      <w:r>
        <w:rPr>
          <w:rFonts w:ascii="Times New Roman" w:hAnsi="Times New Roman"/>
          <w:b w:val="false"/>
          <w:i/>
          <w:color w:val="000000"/>
          <w:sz w:val="24"/>
        </w:rPr>
        <w:t>“a.”</w:t>
      </w:r>
      <w:r>
        <w:rPr>
          <w:rFonts w:ascii="Times New Roman" w:hAnsi="Times New Roman"/>
          <w:b w:val="false"/>
          <w:i w:val="false"/>
          <w:color w:val="000000"/>
          <w:sz w:val="24"/>
        </w:rPr>
        <w:t xml:space="preserve"> For purposes of this subrule, an evasive or an incomplete response will be treated as a failure to pursue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Procedures for motions to dismiss. </w:t>
      </w:r>
      <w:r>
        <w:rPr>
          <w:rFonts w:ascii="Times New Roman" w:hAnsi="Times New Roman"/>
          <w:b w:val="false"/>
          <w:i w:val="false"/>
          <w:color w:val="000000"/>
          <w:sz w:val="24"/>
        </w:rPr>
        <w:t>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that shall be limited to the question of whether the taxpayer failed to pursue the appeal, as that term is defined in this subrule. Thereafter, the rules pertaining to contested case proceedings shall apply in such dismissal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Grounds for reinstatement of dismissed appeals. </w:t>
      </w:r>
      <w:r>
        <w:rPr>
          <w:rFonts w:ascii="Times New Roman" w:hAnsi="Times New Roman"/>
          <w:b w:val="false"/>
          <w:i w:val="false"/>
          <w:color w:val="000000"/>
          <w:sz w:val="24"/>
        </w:rPr>
        <w:t>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means the same as “good cause” in Iowa Rule of Civil Procedure 1.977.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Content and review of the application for reinstatement. </w:t>
      </w:r>
      <w:r>
        <w:rPr>
          <w:rFonts w:ascii="Times New Roman" w:hAnsi="Times New Roman"/>
          <w:b w:val="false"/>
          <w:i w:val="false"/>
          <w:color w:val="000000"/>
          <w:sz w:val="24"/>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Denial of the application. </w:t>
      </w:r>
      <w:r>
        <w:rPr>
          <w:rFonts w:ascii="Times New Roman" w:hAnsi="Times New Roman"/>
          <w:b w:val="false"/>
          <w:i w:val="false"/>
          <w:color w:val="000000"/>
          <w:sz w:val="24"/>
        </w:rPr>
        <w:t>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for a contested case proceeding that shall be limited to the question of whether the taxpayer has good cause to reinstate the dismissed appeal. Thereafter, the rules pertaining to contested case proceedings shall apply in such reinstatement proceedings. If the taxpayer does not respond to a denial of the application for reinstatement within 30 days of the denial, the director or the director’s designee will issue an order closing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Failure to file timely application for reinstatement. </w:t>
      </w:r>
      <w:r>
        <w:rPr>
          <w:rFonts w:ascii="Times New Roman" w:hAnsi="Times New Roman"/>
          <w:b w:val="false"/>
          <w:i w:val="false"/>
          <w:color w:val="000000"/>
          <w:sz w:val="24"/>
        </w:rPr>
        <w:t>If an application for reinstatement is filed after the 30-day deadline, the application shall not be accepted by the director or director’s designee.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243">
        <w:r>
          <w:rPr>
            <w:rStyle w:val="Hyperlink"/>
            <w:rFonts w:ascii="Times New Roman" w:hAnsi="Times New Roman"/>
            <w:b w:val="false"/>
            <w:i w:val="false"/>
            <w:color w:val="000000"/>
            <w:sz w:val="24"/>
          </w:rPr>
          <w:t>421.10</w:t>
        </w:r>
      </w:hyperlink>
      <w:r>
        <w:rPr>
          <w:rFonts w:ascii="Times New Roman" w:hAnsi="Times New Roman"/>
          <w:b w:val="false"/>
          <w:i w:val="false"/>
          <w:color w:val="000000"/>
          <w:sz w:val="24"/>
        </w:rPr>
        <w:t xml:space="preserve">, </w:t>
      </w:r>
      <w:hyperlink r:id="rId244">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 xml:space="preserve">, and </w:t>
      </w:r>
      <w:hyperlink r:id="rId245">
        <w:r>
          <w:rPr>
            <w:rStyle w:val="Hyperlink"/>
            <w:rFonts w:ascii="Times New Roman" w:hAnsi="Times New Roman"/>
            <w:b w:val="false"/>
            <w:i w:val="false"/>
            <w:color w:val="000000"/>
            <w:sz w:val="24"/>
          </w:rPr>
          <w:t>422.28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701—2507.12</w:t>
      </w:r>
      <w:r>
        <w:rPr>
          <w:rFonts w:ascii="Times New Roman" w:hAnsi="Times New Roman"/>
          <w:b/>
          <w:i w:val="false"/>
          <w:color w:val="000000"/>
          <w:sz w:val="24"/>
        </w:rPr>
        <w:t xml:space="preserve">(421) </w:t>
      </w:r>
      <w:r>
        <w:rPr>
          <w:rFonts w:ascii="Times New Roman" w:hAnsi="Times New Roman"/>
          <w:b/>
          <w:i w:val="false"/>
          <w:color w:val="000000"/>
          <w:sz w:val="24"/>
        </w:rPr>
        <w:t xml:space="preserve">Mailing to the last-known address or personal delivery of notices of assessment and refund denial letters.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2507.12(1)</w:t>
      </w:r>
      <w:r>
        <w:rPr>
          <w:rFonts w:ascii="Times New Roman" w:hAnsi="Times New Roman"/>
          <w:b w:val="false"/>
          <w:i w:val="false"/>
          <w:color w:val="000000"/>
          <w:sz w:val="24"/>
        </w:rPr>
        <w:t> </w:t>
      </w:r>
      <w:r>
        <w:rPr>
          <w:rFonts w:ascii="Times New Roman" w:hAnsi="Times New Roman"/>
          <w:b w:val="false"/>
          <w:i/>
          <w:color w:val="000000"/>
          <w:sz w:val="24"/>
        </w:rPr>
        <w:t xml:space="preserve">Failure by department to mail to last-known address or personally deliver.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department fails to either mail a notice of assessment to the taxpayer’s last-known address or personally deliver the notice to the taxpayer, interest is waived for the month the failure occurs through the month of correct mailing or personal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addition, if the department fails to either mail to the taxpayer’s last-known address or personally deliver to the taxpayer a notice of assessment or denial of a claim for refund or fails to mail or personally deliver a copy of the notice to the taxpayer’s authorized representative, if applicable, the time period to appeal the notice of assessment or a denial of a claim for refund is suspended until the notice or claim denial is correctly mailed or personally delivered or for a period not to exceed one year, whichever is the lesser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Collection activities, except in the case of a jeopardy assessment, shall be suspended and the statute of limitations for assessment and collection of the tax shall be tolled during the period in which interest is waived.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2507.12(2)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last-known address.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taxpayer’s last-known address for a particular tax type shall be one of the following most recently updated in the department’s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address provided in an application to register or receive a permit for a particular tax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address used on the most recent filed and processed Iowa tax return of a particular tax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address received by the department in a written, concise statement the taxpayer mailed to: Changes in Name or Address, Iowa Department of Revenue, P.O. Box 10465, Des Moines, Iowa 50306;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address provided by the taxpayer in GovConnectIowa;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address provided by the taxpayer in any correspondence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address the department receives from a third-party skip tracing service; a public or private utility company in response to a subpoena issued pursuant to Iowa Code section </w:t>
      </w:r>
      <w:hyperlink r:id="rId246">
        <w:r>
          <w:rPr>
            <w:rStyle w:val="Hyperlink"/>
            <w:rFonts w:ascii="Times New Roman" w:hAnsi="Times New Roman"/>
            <w:b w:val="false"/>
            <w:i w:val="false"/>
            <w:color w:val="000000"/>
            <w:sz w:val="24"/>
          </w:rPr>
          <w:t>421.17(32)</w:t>
        </w:r>
      </w:hyperlink>
      <w:r>
        <w:rPr>
          <w:rFonts w:ascii="Times New Roman" w:hAnsi="Times New Roman"/>
          <w:b w:val="false"/>
          <w:i w:val="false"/>
          <w:color w:val="000000"/>
          <w:sz w:val="24"/>
        </w:rPr>
        <w:t>; or a federal, state, or local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While the determination of a last-known address may differ by tax type, a notice of assessment or refund claim denial will be considered to be mailed to the last-known address if it is mailed to the taxpayer’s last-known address used for another tax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2507.12(3)</w:t>
      </w:r>
      <w:r>
        <w:rPr>
          <w:rFonts w:ascii="Times New Roman" w:hAnsi="Times New Roman"/>
          <w:b w:val="false"/>
          <w:i w:val="false"/>
          <w:color w:val="000000"/>
          <w:sz w:val="24"/>
        </w:rPr>
        <w:t> </w:t>
      </w:r>
      <w:r>
        <w:rPr>
          <w:rFonts w:ascii="Times New Roman" w:hAnsi="Times New Roman"/>
          <w:b w:val="false"/>
          <w:i/>
          <w:color w:val="000000"/>
          <w:sz w:val="24"/>
        </w:rPr>
        <w:t xml:space="preserve">Mail or personal delivery to a taxpayer. </w:t>
      </w:r>
      <w:r>
        <w:rPr>
          <w:rFonts w:ascii="Times New Roman" w:hAnsi="Times New Roman"/>
          <w:b w:val="false"/>
          <w:i w:val="false"/>
          <w:color w:val="000000"/>
          <w:sz w:val="24"/>
        </w:rPr>
        <w:t>The following shall constitute personal delivery to a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Personal service upon a taxpayer by any method deemed sufficient to constitute personal service of an original notice pursuant to the Iowa Rules of Civil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Providing a notice of assessment or refund claim denial to the taxpayer by electronic means based on the taxpayer’s election to receive electronic communications in GovConnectIowa.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Mailing to an address the department receives from a third-party skip tracing service; a public or private utility company in response to a subpoena issued pursuant to Iowa Code section </w:t>
      </w:r>
      <w:hyperlink r:id="rId247">
        <w:r>
          <w:rPr>
            <w:rStyle w:val="Hyperlink"/>
            <w:rFonts w:ascii="Times New Roman" w:hAnsi="Times New Roman"/>
            <w:b w:val="false"/>
            <w:i w:val="false"/>
            <w:color w:val="000000"/>
            <w:sz w:val="24"/>
          </w:rPr>
          <w:t>421.17(32)</w:t>
        </w:r>
      </w:hyperlink>
      <w:r>
        <w:rPr>
          <w:rFonts w:ascii="Times New Roman" w:hAnsi="Times New Roman"/>
          <w:b w:val="false"/>
          <w:i w:val="false"/>
          <w:color w:val="000000"/>
          <w:sz w:val="24"/>
        </w:rPr>
        <w:t>; or a federal, state, or local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By any other method that is reasonably calculated to result in the taxpayer actually receiving the notice, if the taxpayer actually receives the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2507.12(4)</w:t>
      </w:r>
      <w:r>
        <w:rPr>
          <w:rFonts w:ascii="Times New Roman" w:hAnsi="Times New Roman"/>
          <w:b w:val="false"/>
          <w:i w:val="false"/>
          <w:color w:val="000000"/>
          <w:sz w:val="24"/>
        </w:rPr>
        <w:t> </w:t>
      </w:r>
      <w:r>
        <w:rPr>
          <w:rFonts w:ascii="Times New Roman" w:hAnsi="Times New Roman"/>
          <w:b w:val="false"/>
          <w:i/>
          <w:color w:val="000000"/>
          <w:sz w:val="24"/>
        </w:rPr>
        <w:t xml:space="preserve">Mail or personal delivery to authorized representatives. </w:t>
      </w:r>
      <w:r>
        <w:rPr>
          <w:rFonts w:ascii="Times New Roman" w:hAnsi="Times New Roman"/>
          <w:b w:val="false"/>
          <w:i w:val="false"/>
          <w:color w:val="000000"/>
          <w:sz w:val="24"/>
        </w:rPr>
        <w:t>The department may mail or personally deliver a copy of a notice to an authorized representative by one of the following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Mailing to the address used on the most recently filed and processed written authorization as described in rule </w:t>
      </w:r>
      <w:hyperlink r:id="rId248">
        <w:r>
          <w:rPr>
            <w:rStyle w:val="Hyperlink"/>
            <w:rFonts w:ascii="Times New Roman" w:hAnsi="Times New Roman"/>
            <w:b w:val="false"/>
            <w:i w:val="false"/>
            <w:color w:val="000000"/>
            <w:sz w:val="24"/>
          </w:rPr>
          <w:t>701—8.8</w:t>
        </w:r>
      </w:hyperlink>
      <w:r>
        <w:rPr>
          <w:rFonts w:ascii="Times New Roman" w:hAnsi="Times New Roman"/>
          <w:b w:val="false"/>
          <w:i w:val="false"/>
          <w:color w:val="000000"/>
          <w:sz w:val="24"/>
        </w:rPr>
        <w:t>(17A,22,421,422) for the taxpayer the authorized representative is representing or the most recent address on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case of fiduciary or inheritance tax matters, mailing to the address for the authorized representative contained on the most recently filed and processed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By providing the notice electronically through GovConnectIowa or similar method of electronic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By any method deemed sufficient to constitute personal service of an original notice pursuant to the Iowa Rules of Civil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By any other method that is reasonably calculated to result in the authorized representatives actually receiving a copy of the notice if the authorized representative actually receives a copy of the notice.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49">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701—2507.13</w:t>
      </w:r>
      <w:r>
        <w:rPr>
          <w:rFonts w:ascii="Times New Roman" w:hAnsi="Times New Roman"/>
          <w:b/>
          <w:i w:val="false"/>
          <w:color w:val="000000"/>
          <w:sz w:val="24"/>
        </w:rPr>
        <w:t xml:space="preserve">(17A,421) </w:t>
      </w:r>
      <w:r>
        <w:rPr>
          <w:rFonts w:ascii="Times New Roman" w:hAnsi="Times New Roman"/>
          <w:b/>
          <w:i w:val="false"/>
          <w:color w:val="000000"/>
          <w:sz w:val="24"/>
        </w:rPr>
        <w:t xml:space="preserve">Demand for contested case proceeding. </w:t>
      </w:r>
      <w:r>
        <w:rPr>
          <w:rFonts w:ascii="Times New Roman" w:hAnsi="Times New Roman"/>
          <w:b w:val="false"/>
          <w:i w:val="false"/>
          <w:color w:val="000000"/>
          <w:sz w:val="24"/>
        </w:rPr>
        <w:t xml:space="preserve">Pursuant to Iowa Code section </w:t>
      </w:r>
      <w:hyperlink r:id="rId250">
        <w:r>
          <w:rPr>
            <w:rStyle w:val="Hyperlink"/>
            <w:rFonts w:ascii="Times New Roman" w:hAnsi="Times New Roman"/>
            <w:b w:val="false"/>
            <w:i w:val="false"/>
            <w:color w:val="000000"/>
            <w:sz w:val="24"/>
          </w:rPr>
          <w:t>421.60(2)</w:t>
        </w:r>
      </w:hyperlink>
      <w:r>
        <w:rPr>
          <w:rFonts w:ascii="Times New Roman" w:hAnsi="Times New Roman"/>
          <w:b w:val="false"/>
          <w:i/>
          <w:color w:val="000000"/>
          <w:sz w:val="24"/>
        </w:rPr>
        <w:t>“g,”</w:t>
      </w:r>
      <w:r>
        <w:rPr>
          <w:rFonts w:ascii="Times New Roman" w:hAnsi="Times New Roman"/>
          <w:b w:val="false"/>
          <w:i w:val="false"/>
          <w:color w:val="000000"/>
          <w:sz w:val="24"/>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accordance with Iowa Code section </w:t>
      </w:r>
      <w:hyperlink r:id="rId251">
        <w:r>
          <w:rPr>
            <w:rStyle w:val="Hyperlink"/>
            <w:rFonts w:ascii="Times New Roman" w:hAnsi="Times New Roman"/>
            <w:b w:val="false"/>
            <w:i w:val="false"/>
            <w:color w:val="000000"/>
            <w:sz w:val="24"/>
          </w:rPr>
          <w:t>421.60(2)</w:t>
        </w:r>
      </w:hyperlink>
      <w:r>
        <w:rPr>
          <w:rFonts w:ascii="Times New Roman" w:hAnsi="Times New Roman"/>
          <w:b w:val="false"/>
          <w:i/>
          <w:color w:val="000000"/>
          <w:sz w:val="24"/>
        </w:rPr>
        <w:t>“g”</w:t>
      </w:r>
      <w:r>
        <w:rPr>
          <w:rFonts w:ascii="Times New Roman" w:hAnsi="Times New Roman"/>
          <w:b w:val="false"/>
          <w:i w:val="false"/>
          <w:color w:val="000000"/>
          <w:sz w:val="24"/>
        </w:rPr>
        <w:t xml:space="preserve"> as described in this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53">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701—2507.14</w:t>
      </w:r>
      <w:r>
        <w:rPr>
          <w:rFonts w:ascii="Times New Roman" w:hAnsi="Times New Roman"/>
          <w:b/>
          <w:i w:val="false"/>
          <w:color w:val="000000"/>
          <w:sz w:val="24"/>
        </w:rPr>
        <w:t xml:space="preserve">(17A) </w:t>
      </w:r>
      <w:r>
        <w:rPr>
          <w:rFonts w:ascii="Times New Roman" w:hAnsi="Times New Roman"/>
          <w:b/>
          <w:i w:val="false"/>
          <w:color w:val="000000"/>
          <w:sz w:val="24"/>
        </w:rPr>
        <w:t xml:space="preserve">Answer. </w:t>
      </w:r>
      <w:r>
        <w:rPr>
          <w:rFonts w:ascii="Times New Roman" w:hAnsi="Times New Roman"/>
          <w:b w:val="false"/>
          <w:i w:val="false"/>
          <w:color w:val="000000"/>
          <w:sz w:val="24"/>
        </w:rPr>
        <w:t xml:space="preserve">If the parties are unable to resolve the appeal informally, or if the parties waive informal proceedings as described in rule </w:t>
      </w:r>
      <w:hyperlink r:id="rId254">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 xml:space="preserve">(17A,421), the department shall file an answer to the appeal with the clerk. Subject to the limitations in rule </w:t>
      </w:r>
      <w:hyperlink r:id="rId255">
        <w:r>
          <w:rPr>
            <w:rStyle w:val="Hyperlink"/>
            <w:rFonts w:ascii="Times New Roman" w:hAnsi="Times New Roman"/>
            <w:b w:val="false"/>
            <w:i w:val="false"/>
            <w:color w:val="000000"/>
            <w:sz w:val="24"/>
          </w:rPr>
          <w:t>701—2507.13</w:t>
        </w:r>
      </w:hyperlink>
      <w:r>
        <w:rPr>
          <w:rFonts w:ascii="Times New Roman" w:hAnsi="Times New Roman"/>
          <w:b w:val="false"/>
          <w:i w:val="false"/>
          <w:color w:val="000000"/>
          <w:sz w:val="24"/>
        </w:rPr>
        <w:t xml:space="preserve">(17A,421), the department will file an answer within 30 days of receipt of written demand for a contested case hearing from the taxpayer.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256">
        <w:r>
          <w:rPr>
            <w:rStyle w:val="Hyperlink"/>
            <w:rFonts w:ascii="Times New Roman" w:hAnsi="Times New Roman"/>
            <w:b w:val="false"/>
            <w:i w:val="false"/>
            <w:color w:val="000000"/>
            <w:sz w:val="24"/>
          </w:rPr>
          <w:t>421.7</w:t>
        </w:r>
      </w:hyperlink>
      <w:r>
        <w:rPr>
          <w:rFonts w:ascii="Times New Roman" w:hAnsi="Times New Roman"/>
          <w:b w:val="false"/>
          <w:i w:val="false"/>
          <w:color w:val="000000"/>
          <w:sz w:val="24"/>
        </w:rPr>
        <w:t xml:space="preserve"> from the time the department was required to answer until the date that the department files its answer. Failure to file an answer within 30 days after the demand for a contested case will not result in a default judgment for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2507.14(1)</w:t>
      </w:r>
      <w:r>
        <w:rPr>
          <w:rFonts w:ascii="Times New Roman" w:hAnsi="Times New Roman"/>
          <w:b w:val="false"/>
          <w:i w:val="false"/>
          <w:color w:val="000000"/>
          <w:sz w:val="24"/>
        </w:rPr>
        <w:t> </w:t>
      </w:r>
      <w:r>
        <w:rPr>
          <w:rFonts w:ascii="Times New Roman" w:hAnsi="Times New Roman"/>
          <w:b w:val="false"/>
          <w:i w:val="false"/>
          <w:color w:val="000000"/>
          <w:sz w:val="24"/>
        </w:rPr>
        <w:t>The answer of the department shall be drawn in a manner as provided by the Iowa Rules of Civil Procedure for answers filed in Iowa district courts.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2507.14(2)</w:t>
      </w:r>
      <w:r>
        <w:rPr>
          <w:rFonts w:ascii="Times New Roman" w:hAnsi="Times New Roman"/>
          <w:b w:val="false"/>
          <w:i w:val="false"/>
          <w:color w:val="000000"/>
          <w:sz w:val="24"/>
        </w:rPr>
        <w:t> </w:t>
      </w:r>
      <w:r>
        <w:rPr>
          <w:rFonts w:ascii="Times New Roman" w:hAnsi="Times New Roman"/>
          <w:b w:val="false"/>
          <w:i w:val="false"/>
          <w:color w:val="000000"/>
          <w:sz w:val="24"/>
        </w:rPr>
        <w:t>Each paragraph contained in the answer shall be numbered or lettered to correspond, where possible, with the paragraphs of the appeal. The answer shall be signed by the department’s counsel or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2507.14(3)</w:t>
      </w:r>
      <w:r>
        <w:rPr>
          <w:rFonts w:ascii="Times New Roman" w:hAnsi="Times New Roman"/>
          <w:b w:val="false"/>
          <w:i w:val="false"/>
          <w:color w:val="000000"/>
          <w:sz w:val="24"/>
        </w:rPr>
        <w:t> </w:t>
      </w:r>
      <w:r>
        <w:rPr>
          <w:rFonts w:ascii="Times New Roman" w:hAnsi="Times New Roman"/>
          <w:b w:val="false"/>
          <w:i w:val="false"/>
          <w:color w:val="000000"/>
          <w:sz w:val="24"/>
        </w:rPr>
        <w:t>The department shall promptly serve a copy of the answer upon the representative of record or, if there is no representative of record, upon the taxpayer. The department may amend its answer at any time prior to the commencement of the evidentiary hearing in response to the filing of an amended appeal or to assert a new matter or an affirmative defense. The presiding officer has discretion to grant a continuance to avoid prejudice to the taxpayer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2507.14(4)</w:t>
      </w:r>
      <w:r>
        <w:rPr>
          <w:rFonts w:ascii="Times New Roman" w:hAnsi="Times New Roman"/>
          <w:b w:val="false"/>
          <w:i w:val="false"/>
          <w:color w:val="000000"/>
          <w:sz w:val="24"/>
        </w:rPr>
        <w:t> </w:t>
      </w:r>
      <w:r>
        <w:rPr>
          <w:rFonts w:ascii="Times New Roman" w:hAnsi="Times New Roman"/>
          <w:b w:val="false"/>
          <w:i w:val="false"/>
          <w:color w:val="000000"/>
          <w:sz w:val="24"/>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2507.14(5)</w:t>
      </w:r>
      <w:r>
        <w:rPr>
          <w:rFonts w:ascii="Times New Roman" w:hAnsi="Times New Roman"/>
          <w:b w:val="false"/>
          <w:i w:val="false"/>
          <w:color w:val="000000"/>
          <w:sz w:val="24"/>
        </w:rPr>
        <w:t> </w:t>
      </w:r>
      <w:r>
        <w:rPr>
          <w:rFonts w:ascii="Times New Roman" w:hAnsi="Times New Roman"/>
          <w:b w:val="false"/>
          <w:i w:val="false"/>
          <w:color w:val="000000"/>
          <w:sz w:val="24"/>
        </w:rPr>
        <w:t>The department’s answer may contain a statement setting forth whether the case should be transferred to the division of administrative hearings or the director should retain the case for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2507.14(6)</w:t>
      </w:r>
      <w:r>
        <w:rPr>
          <w:rFonts w:ascii="Times New Roman" w:hAnsi="Times New Roman"/>
          <w:b w:val="false"/>
          <w:i w:val="false"/>
          <w:color w:val="000000"/>
          <w:sz w:val="24"/>
        </w:rPr>
        <w:t> </w:t>
      </w:r>
      <w:r>
        <w:rPr>
          <w:rFonts w:ascii="Times New Roman" w:hAnsi="Times New Roman"/>
          <w:b w:val="false"/>
          <w:i w:val="false"/>
          <w:color w:val="000000"/>
          <w:sz w:val="24"/>
        </w:rPr>
        <w:t>The department’s answer should set forth the basis for retention of the case by the director.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2507.14(7)</w:t>
      </w:r>
      <w:r>
        <w:rPr>
          <w:rFonts w:ascii="Times New Roman" w:hAnsi="Times New Roman"/>
          <w:b w:val="false"/>
          <w:i w:val="false"/>
          <w:color w:val="000000"/>
          <w:sz w:val="24"/>
        </w:rPr>
        <w:t> </w:t>
      </w:r>
      <w:r>
        <w:rPr>
          <w:rFonts w:ascii="Times New Roman" w:hAnsi="Times New Roman"/>
          <w:b w:val="false"/>
          <w:i w:val="false"/>
          <w:color w:val="000000"/>
          <w:sz w:val="24"/>
        </w:rPr>
        <w:t>Upon the filing of an answer, the clerk will transfer the appeal file to the division of administrative hearings within 30 days of the date of the filing of the answer unless the director determines not to transfer the case. If a party objects to a determination, the transfer, if any, would be made after the director makes a ruling on the objection.</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5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 </w:t>
      </w:r>
      <w:hyperlink r:id="rId258">
        <w:r>
          <w:rPr>
            <w:rStyle w:val="Hyperlink"/>
            <w:rFonts w:ascii="Times New Roman" w:hAnsi="Times New Roman"/>
            <w:b w:val="false"/>
            <w:i w:val="false"/>
            <w:color w:val="000000"/>
            <w:sz w:val="24"/>
          </w:rPr>
          <w:t>421.60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701—2507.15</w:t>
      </w:r>
      <w:r>
        <w:rPr>
          <w:rFonts w:ascii="Times New Roman" w:hAnsi="Times New Roman"/>
          <w:b/>
          <w:i w:val="false"/>
          <w:color w:val="000000"/>
          <w:sz w:val="24"/>
        </w:rPr>
        <w:t xml:space="preserve">(17A) </w:t>
      </w:r>
      <w:r>
        <w:rPr>
          <w:rFonts w:ascii="Times New Roman" w:hAnsi="Times New Roman"/>
          <w:b/>
          <w:i w:val="false"/>
          <w:color w:val="000000"/>
          <w:sz w:val="24"/>
        </w:rPr>
        <w:t xml:space="preserve">Subpoenas. </w:t>
      </w:r>
      <w:r>
        <w:rPr>
          <w:rFonts w:ascii="Times New Roman" w:hAnsi="Times New Roman"/>
          <w:b w:val="false"/>
          <w:i w:val="false"/>
          <w:color w:val="000000"/>
          <w:sz w:val="24"/>
        </w:rPr>
        <w:t>Prior to the commencement of a contested case, the department has the authority to subpoena books, papers, and records and has all other subpoena powers conferred upon it by law. Subpoenas in this case shall be issued by the director or the director’s designee. Once a contested case is commenced, subpoenas must be issued by the presiding officer.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9">
        <w:r>
          <w:rPr>
            <w:rStyle w:val="Hyperlink"/>
            <w:rFonts w:ascii="Times New Roman" w:hAnsi="Times New Roman"/>
            <w:b w:val="false"/>
            <w:i w:val="false"/>
            <w:color w:val="000000"/>
            <w:sz w:val="24"/>
          </w:rPr>
          <w:t>17A.13</w:t>
        </w:r>
      </w:hyperlink>
      <w:r>
        <w:rPr>
          <w:rFonts w:ascii="Times New Roman" w:hAnsi="Times New Roman"/>
          <w:b w:val="false"/>
          <w:i w:val="false"/>
          <w:color w:val="000000"/>
          <w:sz w:val="24"/>
        </w:rPr>
        <w:t xml:space="preserve">, </w:t>
      </w:r>
      <w:hyperlink r:id="rId260">
        <w:r>
          <w:rPr>
            <w:rStyle w:val="Hyperlink"/>
            <w:rFonts w:ascii="Times New Roman" w:hAnsi="Times New Roman"/>
            <w:b w:val="false"/>
            <w:i w:val="false"/>
            <w:color w:val="000000"/>
            <w:sz w:val="24"/>
          </w:rPr>
          <w:t>421.9</w:t>
        </w:r>
      </w:hyperlink>
      <w:r>
        <w:rPr>
          <w:rFonts w:ascii="Times New Roman" w:hAnsi="Times New Roman"/>
          <w:b w:val="false"/>
          <w:i w:val="false"/>
          <w:color w:val="000000"/>
          <w:sz w:val="24"/>
        </w:rPr>
        <w:t xml:space="preserve">, </w:t>
      </w:r>
      <w:hyperlink r:id="rId261">
        <w:r>
          <w:rPr>
            <w:rStyle w:val="Hyperlink"/>
            <w:rFonts w:ascii="Times New Roman" w:hAnsi="Times New Roman"/>
            <w:b w:val="false"/>
            <w:i w:val="false"/>
            <w:color w:val="000000"/>
            <w:sz w:val="24"/>
          </w:rPr>
          <w:t>421.17</w:t>
        </w:r>
      </w:hyperlink>
      <w:r>
        <w:rPr>
          <w:rFonts w:ascii="Times New Roman" w:hAnsi="Times New Roman"/>
          <w:b w:val="false"/>
          <w:i w:val="false"/>
          <w:color w:val="000000"/>
          <w:sz w:val="24"/>
        </w:rPr>
        <w:t xml:space="preserve">, and </w:t>
      </w:r>
      <w:hyperlink r:id="rId262">
        <w:r>
          <w:rPr>
            <w:rStyle w:val="Hyperlink"/>
            <w:rFonts w:ascii="Times New Roman" w:hAnsi="Times New Roman"/>
            <w:b w:val="false"/>
            <w:i w:val="false"/>
            <w:color w:val="000000"/>
            <w:sz w:val="24"/>
          </w:rPr>
          <w:t>422.70</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6/19/26, effective 6/30/26]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26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701.103.15.pdf" Type="http://schemas.openxmlformats.org/officeDocument/2006/relationships/hyperlink" Id="rId5"/>
    <Relationship TargetMode="External" Target="https://www.legis.iowa.gov/docs/iac/rule/701.103.16.pdf" Type="http://schemas.openxmlformats.org/officeDocument/2006/relationships/hyperlink" Id="rId6"/>
    <Relationship TargetMode="External" Target="https://www.legis.iowa.gov/docs/iac/rule/701.8.8.pdf" Type="http://schemas.openxmlformats.org/officeDocument/2006/relationships/hyperlink" Id="rId7"/>
    <Relationship TargetMode="External" Target="https://www.legis.iowa.gov/docs/iac/rule/7.2506.4.pdf" Type="http://schemas.openxmlformats.org/officeDocument/2006/relationships/hyperlink" Id="rId8"/>
    <Relationship TargetMode="External" Target="https://www.legis.iowa.gov/docs/iac/rule/7.2506.5.pdf" Type="http://schemas.openxmlformats.org/officeDocument/2006/relationships/hyperlink" Id="rId9"/>
    <Relationship TargetMode="External" Target="https://www.legis.iowa.gov/docs/iac/rule/7.2506.12.pdf" Type="http://schemas.openxmlformats.org/officeDocument/2006/relationships/hyperlink" Id="rId10"/>
    <Relationship TargetMode="External" Target="https://www.legis.iowa.gov/docs/iac/rule/7.2506.14.pdf" Type="http://schemas.openxmlformats.org/officeDocument/2006/relationships/hyperlink" Id="rId11"/>
    <Relationship TargetMode="External" Target="https://www.legis.iowa.gov/docs/iac/rule/7.2506.15.pdf" Type="http://schemas.openxmlformats.org/officeDocument/2006/relationships/hyperlink" Id="rId12"/>
    <Relationship TargetMode="External" Target="https://www.legis.iowa.gov/docs/iac/rule/7.2506.20.pdf" Type="http://schemas.openxmlformats.org/officeDocument/2006/relationships/hyperlink" Id="rId13"/>
    <Relationship TargetMode="External" Target="https://www.legis.iowa.gov/docs/iac/rule/7.2506.22.pdf" Type="http://schemas.openxmlformats.org/officeDocument/2006/relationships/hyperlink" Id="rId14"/>
    <Relationship TargetMode="External" Target="https://www.legis.iowa.gov/docs/iac/rule/7.2506.25.pdf" Type="http://schemas.openxmlformats.org/officeDocument/2006/relationships/hyperlink" Id="rId15"/>
    <Relationship TargetMode="External" Target="https://www.legis.iowa.gov/docs/iac/rule/7.2506.27.pdf" Type="http://schemas.openxmlformats.org/officeDocument/2006/relationships/hyperlink" Id="rId16"/>
    <Relationship TargetMode="External" Target="https://www.legis.iowa.gov/docs/iac/rule/701.2506.25.pdf" Type="http://schemas.openxmlformats.org/officeDocument/2006/relationships/hyperlink" Id="rId17"/>
    <Relationship TargetMode="External" Target="https://www.legis.iowa.gov/docs/ico/chapter/421.60.pdf" Type="http://schemas.openxmlformats.org/officeDocument/2006/relationships/hyperlink" Id="rId18"/>
    <Relationship TargetMode="External" Target="https://www.legis.iowa.gov/docs/iac/rule/7.2506.10.pdf" Type="http://schemas.openxmlformats.org/officeDocument/2006/relationships/hyperlink" Id="rId19"/>
    <Relationship TargetMode="External" Target="https://www.legis.iowa.gov/docs/iac/rule/7.2506.29.pdf" Type="http://schemas.openxmlformats.org/officeDocument/2006/relationships/hyperlink" Id="rId20"/>
    <Relationship TargetMode="External" Target="https://www.legis.iowa.gov/docs/iac/rule/7.2506.13.pdf" Type="http://schemas.openxmlformats.org/officeDocument/2006/relationships/hyperlink" Id="rId21"/>
    <Relationship TargetMode="External" Target="https://www.legis.iowa.gov/docs/iac/rule/7.2506.16.pdf" Type="http://schemas.openxmlformats.org/officeDocument/2006/relationships/hyperlink" Id="rId22"/>
    <Relationship TargetMode="External" Target="https://www.legis.iowa.gov/docs/iac/rule/7.2506.19.pdf" Type="http://schemas.openxmlformats.org/officeDocument/2006/relationships/hyperlink" Id="rId23"/>
    <Relationship TargetMode="External" Target="https://www.legis.iowa.gov/docs/iac/rule/7.2506.21.pdf" Type="http://schemas.openxmlformats.org/officeDocument/2006/relationships/hyperlink" Id="rId24"/>
    <Relationship TargetMode="External" Target="https://www.legis.iowa.gov/docs/iac/rule/7.2506.24.pdf" Type="http://schemas.openxmlformats.org/officeDocument/2006/relationships/hyperlink" Id="rId25"/>
    <Relationship TargetMode="External" Target="https://www.legis.iowa.gov/docs/iac/rule/7.2506.23.pdf" Type="http://schemas.openxmlformats.org/officeDocument/2006/relationships/hyperlink" Id="rId26"/>
    <Relationship TargetMode="External" Target="https://www.legis.iowa.gov/docs/iac/rule/7.2506.28.pdf" Type="http://schemas.openxmlformats.org/officeDocument/2006/relationships/hyperlink" Id="rId27"/>
    <Relationship TargetMode="External" Target="https://www.legis.iowa.gov/docs/iac/rule/701.2507.3.pdf" Type="http://schemas.openxmlformats.org/officeDocument/2006/relationships/hyperlink" Id="rId28"/>
    <Relationship TargetMode="External" Target="https://www.legis.iowa.gov/docs/iac/rule/701.2507.7.pdf" Type="http://schemas.openxmlformats.org/officeDocument/2006/relationships/hyperlink" Id="rId29"/>
    <Relationship TargetMode="External" Target="https://www.legis.iowa.gov/docs/iac/rule/701.2507.8.pdf" Type="http://schemas.openxmlformats.org/officeDocument/2006/relationships/hyperlink" Id="rId30"/>
    <Relationship TargetMode="External" Target="https://www.legis.iowa.gov/docs/iac/rule/701.2507.8.pdf" Type="http://schemas.openxmlformats.org/officeDocument/2006/relationships/hyperlink" Id="rId31"/>
    <Relationship TargetMode="External" Target="https://www.legis.iowa.gov/docs/iac/rule/701.2507.11.pdf" Type="http://schemas.openxmlformats.org/officeDocument/2006/relationships/hyperlink" Id="rId32"/>
    <Relationship TargetMode="External" Target="https://www.legis.iowa.gov/docs/iac/rule/701.2507.11.pdf" Type="http://schemas.openxmlformats.org/officeDocument/2006/relationships/hyperlink" Id="rId33"/>
    <Relationship TargetMode="External" Target="https://www.legis.iowa.gov/docs/iac/rule/701.2507.13.pdf" Type="http://schemas.openxmlformats.org/officeDocument/2006/relationships/hyperlink" Id="rId34"/>
    <Relationship TargetMode="External" Target="https://www.legis.iowa.gov/docs/iac/rule/701.2507.14.pdf" Type="http://schemas.openxmlformats.org/officeDocument/2006/relationships/hyperlink" Id="rId35"/>
    <Relationship TargetMode="External" Target="https://www.legis.iowa.gov/docs/iac/rule/701.2507.14.pdf" Type="http://schemas.openxmlformats.org/officeDocument/2006/relationships/hyperlink" Id="rId36"/>
    <Relationship TargetMode="External" Target="https://www.legis.iowa.gov/docs/iac/rule/701.2507.15.pdf" Type="http://schemas.openxmlformats.org/officeDocument/2006/relationships/hyperlink" Id="rId37"/>
    <Relationship TargetMode="External" Target="https://www.legis.iowa.gov/docs/iac/rule/701.103.15.pdf" Type="http://schemas.openxmlformats.org/officeDocument/2006/relationships/hyperlink" Id="rId38"/>
    <Relationship TargetMode="External" Target="https://www.legis.iowa.gov/docs/iac/rule/701.103.16.pdf" Type="http://schemas.openxmlformats.org/officeDocument/2006/relationships/hyperlink" Id="rId39"/>
    <Relationship TargetMode="External" Target="https://www.legis.iowa.gov/docs/ico/chapter/441.6.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ac/rule/7.2506.4.pdf" Type="http://schemas.openxmlformats.org/officeDocument/2006/relationships/hyperlink" Id="rId42"/>
    <Relationship TargetMode="External" Target="https://www.legis.iowa.gov/docs/iac/rule/7.2506.5.pdf" Type="http://schemas.openxmlformats.org/officeDocument/2006/relationships/hyperlink" Id="rId43"/>
    <Relationship TargetMode="External" Target="https://www.legis.iowa.gov/docs/iac/rule/7.2506.12.pdf" Type="http://schemas.openxmlformats.org/officeDocument/2006/relationships/hyperlink" Id="rId44"/>
    <Relationship TargetMode="External" Target="https://www.legis.iowa.gov/docs/iac/rule/7.2506.14.pdf" Type="http://schemas.openxmlformats.org/officeDocument/2006/relationships/hyperlink" Id="rId45"/>
    <Relationship TargetMode="External" Target="https://www.legis.iowa.gov/docs/iac/rule/7.2506.15.pdf" Type="http://schemas.openxmlformats.org/officeDocument/2006/relationships/hyperlink" Id="rId46"/>
    <Relationship TargetMode="External" Target="https://www.legis.iowa.gov/docs/iac/rule/7.2506.20.pdf" Type="http://schemas.openxmlformats.org/officeDocument/2006/relationships/hyperlink" Id="rId47"/>
    <Relationship TargetMode="External" Target="https://www.legis.iowa.gov/docs/iac/rule/7.2506.22.pdf" Type="http://schemas.openxmlformats.org/officeDocument/2006/relationships/hyperlink" Id="rId48"/>
    <Relationship TargetMode="External" Target="https://www.legis.iowa.gov/docs/iac/rule/7.2506.25.pdf" Type="http://schemas.openxmlformats.org/officeDocument/2006/relationships/hyperlink" Id="rId49"/>
    <Relationship TargetMode="External" Target="https://www.legis.iowa.gov/docs/iac/rule/7.2506.27.pdf" Type="http://schemas.openxmlformats.org/officeDocument/2006/relationships/hyperlink" Id="rId50"/>
    <Relationship TargetMode="External" Target="https://www.legis.iowa.gov/docs/ico/chapter/421.60.pdf" Type="http://schemas.openxmlformats.org/officeDocument/2006/relationships/hyperlink" Id="rId51"/>
    <Relationship TargetMode="External" Target="https://www.legis.iowa.gov/docs/iac/rule/7.2506.10.pdf" Type="http://schemas.openxmlformats.org/officeDocument/2006/relationships/hyperlink" Id="rId52"/>
    <Relationship TargetMode="External" Target="https://www.legis.iowa.gov/docs/iac/rule/7.2506.29.pdf" Type="http://schemas.openxmlformats.org/officeDocument/2006/relationships/hyperlink" Id="rId53"/>
    <Relationship TargetMode="External" Target="https://www.legis.iowa.gov/docs/iac/rule/7.2506.16.pdf" Type="http://schemas.openxmlformats.org/officeDocument/2006/relationships/hyperlink" Id="rId54"/>
    <Relationship TargetMode="External" Target="https://www.legis.iowa.gov/docs/iac/rule/7.2506.19.pdf" Type="http://schemas.openxmlformats.org/officeDocument/2006/relationships/hyperlink" Id="rId55"/>
    <Relationship TargetMode="External" Target="https://www.legis.iowa.gov/docs/iac/rule/7.2506.21.pdf" Type="http://schemas.openxmlformats.org/officeDocument/2006/relationships/hyperlink" Id="rId56"/>
    <Relationship TargetMode="External" Target="https://www.legis.iowa.gov/docs/iac/rule/7.2506.24.pdf" Type="http://schemas.openxmlformats.org/officeDocument/2006/relationships/hyperlink" Id="rId57"/>
    <Relationship TargetMode="External" Target="https://www.legis.iowa.gov/docs/iac/rule/7.2506.28.pdf" Type="http://schemas.openxmlformats.org/officeDocument/2006/relationships/hyperlink" Id="rId58"/>
    <Relationship TargetMode="External" Target="https://www.legis.iowa.gov/docs/iac/rule/701.2507.7.pdf" Type="http://schemas.openxmlformats.org/officeDocument/2006/relationships/hyperlink" Id="rId59"/>
    <Relationship TargetMode="External" Target="https://www.legis.iowa.gov/docs/iac/rule/701.2507.8.pdf" Type="http://schemas.openxmlformats.org/officeDocument/2006/relationships/hyperlink" Id="rId60"/>
    <Relationship TargetMode="External" Target="https://www.legis.iowa.gov/docs/iac/rule/701.2507.8.pdf" Type="http://schemas.openxmlformats.org/officeDocument/2006/relationships/hyperlink" Id="rId61"/>
    <Relationship TargetMode="External" Target="https://www.legis.iowa.gov/docs/iac/rule/701.2507.9.pdf" Type="http://schemas.openxmlformats.org/officeDocument/2006/relationships/hyperlink" Id="rId62"/>
    <Relationship TargetMode="External" Target="https://www.legis.iowa.gov/docs/iac/rule/701.2507.11.pdf" Type="http://schemas.openxmlformats.org/officeDocument/2006/relationships/hyperlink" Id="rId63"/>
    <Relationship TargetMode="External" Target="https://www.legis.iowa.gov/docs/iac/rule/701.2507.11.pdf" Type="http://schemas.openxmlformats.org/officeDocument/2006/relationships/hyperlink" Id="rId64"/>
    <Relationship TargetMode="External" Target="https://www.legis.iowa.gov/docs/iac/rule/701.2507.13.pdf" Type="http://schemas.openxmlformats.org/officeDocument/2006/relationships/hyperlink" Id="rId65"/>
    <Relationship TargetMode="External" Target="https://www.legis.iowa.gov/docs/iac/rule/701.2507.14.pdf" Type="http://schemas.openxmlformats.org/officeDocument/2006/relationships/hyperlink" Id="rId66"/>
    <Relationship TargetMode="External" Target="https://www.legis.iowa.gov/docs/iac/rule/701.2507.15.pdf" Type="http://schemas.openxmlformats.org/officeDocument/2006/relationships/hyperlink" Id="rId67"/>
    <Relationship TargetMode="External" Target="https://www.legis.iowa.gov/docs/ico/chapter/441.32.pdf" Type="http://schemas.openxmlformats.org/officeDocument/2006/relationships/hyperlink" Id="rId68"/>
    <Relationship TargetMode="External" Target="https://www.legis.iowa.gov/docs/ico/chapter/17A.pdf" Type="http://schemas.openxmlformats.org/officeDocument/2006/relationships/hyperlink" Id="rId69"/>
    <Relationship TargetMode="External" Target="https://www.legis.iowa.gov/docs/iac/rule/701.7.26.pdf" Type="http://schemas.openxmlformats.org/officeDocument/2006/relationships/hyperlink" Id="rId70"/>
    <Relationship TargetMode="External" Target="https://www.legis.iowa.gov/docs/iac/rule/701.7.15.pdf" Type="http://schemas.openxmlformats.org/officeDocument/2006/relationships/hyperlink" Id="rId71"/>
    <Relationship TargetMode="External" Target="https://www.legis.iowa.gov/docs/iac/rule/701.2506.4.pdf" Type="http://schemas.openxmlformats.org/officeDocument/2006/relationships/hyperlink" Id="rId72"/>
    <Relationship TargetMode="External" Target="https://www.legis.iowa.gov/docs/iac/chapter/701.7.pdf" Type="http://schemas.openxmlformats.org/officeDocument/2006/relationships/hyperlink" Id="rId73"/>
    <Relationship TargetMode="External" Target="https://www.legis.iowa.gov/docs/iac/chapter/7.2506.pdf" Type="http://schemas.openxmlformats.org/officeDocument/2006/relationships/hyperlink" Id="rId74"/>
    <Relationship TargetMode="External" Target="https://www.legis.iowa.gov/docs/iac/chapter/701.2506.pdf" Type="http://schemas.openxmlformats.org/officeDocument/2006/relationships/hyperlink" Id="rId75"/>
    <Relationship TargetMode="External" Target="https://www.legis.iowa.gov/docs/ico/chapter/453A.pdf" Type="http://schemas.openxmlformats.org/officeDocument/2006/relationships/hyperlink" Id="rId76"/>
    <Relationship TargetMode="External" Target="https://www.legis.iowa.gov/docs/iac/rule/701.7.19.pdf" Type="http://schemas.openxmlformats.org/officeDocument/2006/relationships/hyperlink" Id="rId77"/>
    <Relationship TargetMode="External" Target="https://www.legis.iowa.gov/docs/iac/rule/701.7.39.pdf" Type="http://schemas.openxmlformats.org/officeDocument/2006/relationships/hyperlink" Id="rId78"/>
    <Relationship TargetMode="External" Target="https://www.legis.iowa.gov/docs/iac/chapter/7.2506.pdf" Type="http://schemas.openxmlformats.org/officeDocument/2006/relationships/hyperlink" Id="rId79"/>
    <Relationship TargetMode="External" Target="https://www.legis.iowa.gov/docs/iac/chapter/701.701.pdf" Type="http://schemas.openxmlformats.org/officeDocument/2006/relationships/hyperlink" Id="rId80"/>
    <Relationship TargetMode="External" Target="https://www.legis.iowa.gov/docs/iac/chapter/701.2506.pdf" Type="http://schemas.openxmlformats.org/officeDocument/2006/relationships/hyperlink" Id="rId81"/>
    <Relationship TargetMode="External" Target="https://www.legis.iowa.gov/docs/ico/chapter/453A.pdf" Type="http://schemas.openxmlformats.org/officeDocument/2006/relationships/hyperlink" Id="rId82"/>
    <Relationship TargetMode="External" Target="https://www.legis.iowa.gov/docs/iac/chapter/7.2506.pdf" Type="http://schemas.openxmlformats.org/officeDocument/2006/relationships/hyperlink" Id="rId83"/>
    <Relationship TargetMode="External" Target="https://www.legis.iowa.gov/docs/iac/chapter/701.701.pdf" Type="http://schemas.openxmlformats.org/officeDocument/2006/relationships/hyperlink" Id="rId84"/>
    <Relationship TargetMode="External" Target="https://www.legis.iowa.gov/docs/iac/chapter/701.2506.pdf" Type="http://schemas.openxmlformats.org/officeDocument/2006/relationships/hyperlink" Id="rId85"/>
    <Relationship TargetMode="External" Target="https://www.legis.iowa.gov/docs/iac/chapter/7.2500.pdf" Type="http://schemas.openxmlformats.org/officeDocument/2006/relationships/hyperlink" Id="rId86"/>
    <Relationship TargetMode="External" Target="https://www.legis.iowa.gov/docs/iac/chapter/7.2506.pdf" Type="http://schemas.openxmlformats.org/officeDocument/2006/relationships/hyperlink" Id="rId87"/>
    <Relationship TargetMode="External" Target="https://www.legis.iowa.gov/docs/ico/chapter/17A.24.pdf" Type="http://schemas.openxmlformats.org/officeDocument/2006/relationships/hyperlink" Id="rId88"/>
    <Relationship TargetMode="External" Target="https://www.legis.iowa.gov/docs/iac/chapter/7.2500.pdf" Type="http://schemas.openxmlformats.org/officeDocument/2006/relationships/hyperlink" Id="rId89"/>
    <Relationship TargetMode="External" Target="https://www.legis.iowa.gov/docs/iac/chapter/7.2506.pdf" Type="http://schemas.openxmlformats.org/officeDocument/2006/relationships/hyperlink" Id="rId90"/>
    <Relationship TargetMode="External" Target="https://www.legis.iowa.gov/docs/ico/chapter/17A.24.pdf" Type="http://schemas.openxmlformats.org/officeDocument/2006/relationships/hyperlink" Id="rId91"/>
    <Relationship TargetMode="External" Target="https://www.legis.iowa.gov/docs/ico/chapter/17A.9.pdf" Type="http://schemas.openxmlformats.org/officeDocument/2006/relationships/hyperlink" Id="rId92"/>
    <Relationship TargetMode="External" Target="https://www.legis.iowa.gov/docs/iac/rule/701.8.8.pdf" Type="http://schemas.openxmlformats.org/officeDocument/2006/relationships/hyperlink" Id="rId93"/>
    <Relationship TargetMode="External" Target="https://www.legis.iowa.gov/docs/iac/chapter/7.2500.pdf" Type="http://schemas.openxmlformats.org/officeDocument/2006/relationships/hyperlink" Id="rId94"/>
    <Relationship TargetMode="External" Target="https://www.legis.iowa.gov/docs/iac/chapter/7.2506.pdf" Type="http://schemas.openxmlformats.org/officeDocument/2006/relationships/hyperlink" Id="rId95"/>
    <Relationship TargetMode="External" Target="https://www.legis.iowa.gov/docs/ico/chapter/17A.24.pdf" Type="http://schemas.openxmlformats.org/officeDocument/2006/relationships/hyperlink" Id="rId96"/>
    <Relationship TargetMode="External" Target="https://www.legis.iowa.gov/docs/iac/rule/701.2507.6.pdf" Type="http://schemas.openxmlformats.org/officeDocument/2006/relationships/hyperlink" Id="rId97"/>
    <Relationship TargetMode="External" Target="https://www.legis.iowa.gov/docs/iac/chapter/7.2500.pdf" Type="http://schemas.openxmlformats.org/officeDocument/2006/relationships/hyperlink" Id="rId98"/>
    <Relationship TargetMode="External" Target="https://www.legis.iowa.gov/docs/iac/chapter/7.2506.pdf" Type="http://schemas.openxmlformats.org/officeDocument/2006/relationships/hyperlink" Id="rId99"/>
    <Relationship TargetMode="External" Target="https://www.legis.iowa.gov/docs/ico/chapter/17A.24.pdf" Type="http://schemas.openxmlformats.org/officeDocument/2006/relationships/hyperlink" Id="rId100"/>
    <Relationship TargetMode="External" Target="https://www.legis.iowa.gov/docs/ico/chapter/22.7.pdf" Type="http://schemas.openxmlformats.org/officeDocument/2006/relationships/hyperlink" Id="rId101"/>
    <Relationship TargetMode="External" Target="https://www.legis.iowa.gov/docs/ico/chapter/99G.34.pdf" Type="http://schemas.openxmlformats.org/officeDocument/2006/relationships/hyperlink" Id="rId102"/>
    <Relationship TargetMode="External" Target="https://www.legis.iowa.gov/docs/ico/chapter/123.38A.pdf" Type="http://schemas.openxmlformats.org/officeDocument/2006/relationships/hyperlink" Id="rId103"/>
    <Relationship TargetMode="External" Target="https://www.legis.iowa.gov/docs/ico/chapter/422.20.pdf" Type="http://schemas.openxmlformats.org/officeDocument/2006/relationships/hyperlink" Id="rId104"/>
    <Relationship TargetMode="External" Target="https://www.legis.iowa.gov/docs/ico/chapter/422.72.pdf" Type="http://schemas.openxmlformats.org/officeDocument/2006/relationships/hyperlink" Id="rId105"/>
    <Relationship TargetMode="External" Target="https://www.legis.iowa.gov/docs/ico/chapter/437A.14.pdf" Type="http://schemas.openxmlformats.org/officeDocument/2006/relationships/hyperlink" Id="rId106"/>
    <Relationship TargetMode="External" Target="https://www.legis.iowa.gov/docs/ico/chapter/437B.10.pdf" Type="http://schemas.openxmlformats.org/officeDocument/2006/relationships/hyperlink" Id="rId107"/>
    <Relationship TargetMode="External" Target="https://www.legis.iowa.gov/docs/ico/chapter/453B.10.pdf" Type="http://schemas.openxmlformats.org/officeDocument/2006/relationships/hyperlink" Id="rId108"/>
    <Relationship TargetMode="External" Target="https://www.legis.iowa.gov/docs/ico/chapter/450.68.pdf" Type="http://schemas.openxmlformats.org/officeDocument/2006/relationships/hyperlink" Id="rId109"/>
    <Relationship TargetMode="External" Target="https://www.legis.iowa.gov/docs/ico/chapter/452A.63.pdf" Type="http://schemas.openxmlformats.org/officeDocument/2006/relationships/hyperlink" Id="rId110"/>
    <Relationship TargetMode="External" Target="https://www.legis.iowa.gov/docs/ico/chapter/22.pdf" Type="http://schemas.openxmlformats.org/officeDocument/2006/relationships/hyperlink" Id="rId111"/>
    <Relationship TargetMode="External" Target="https://www.legis.iowa.gov/docs/iac/rule/701.8.5.pdf" Type="http://schemas.openxmlformats.org/officeDocument/2006/relationships/hyperlink" Id="rId112"/>
    <Relationship TargetMode="External" Target="https://www.legis.iowa.gov/docs/ico/chapter/22.pdf" Type="http://schemas.openxmlformats.org/officeDocument/2006/relationships/hyperlink" Id="rId113"/>
    <Relationship TargetMode="External" Target="https://www.legis.iowa.gov/docs/ico/chapter/715C.1.pdf" Type="http://schemas.openxmlformats.org/officeDocument/2006/relationships/hyperlink" Id="rId114"/>
    <Relationship TargetMode="External" Target="https://www.legis.iowa.gov/docs/ico/chapter/22.pdf" Type="http://schemas.openxmlformats.org/officeDocument/2006/relationships/hyperlink" Id="rId115"/>
    <Relationship TargetMode="External" Target="https://www.legis.iowa.gov/docs/iac/rule/701.2505.3.pdf" Type="http://schemas.openxmlformats.org/officeDocument/2006/relationships/hyperlink" Id="rId116"/>
    <Relationship TargetMode="External" Target="https://www.legis.iowa.gov/docs/iac/rule/701.2505.9.pdf" Type="http://schemas.openxmlformats.org/officeDocument/2006/relationships/hyperlink" Id="rId117"/>
    <Relationship TargetMode="External" Target="https://www.legis.iowa.gov/docs/iac/rule/701.2507.6.pdf" Type="http://schemas.openxmlformats.org/officeDocument/2006/relationships/hyperlink" Id="rId118"/>
    <Relationship TargetMode="External" Target="https://www.legis.iowa.gov/docs/iac/rule/701.2505.9.pdf" Type="http://schemas.openxmlformats.org/officeDocument/2006/relationships/hyperlink" Id="rId119"/>
    <Relationship TargetMode="External" Target="https://www.legis.iowa.gov/docs/iac/rule/701.8.8.pdf" Type="http://schemas.openxmlformats.org/officeDocument/2006/relationships/hyperlink" Id="rId120"/>
    <Relationship TargetMode="External" Target="https://www.legis.iowa.gov/docs/ico/chapter/421.59.pdf" Type="http://schemas.openxmlformats.org/officeDocument/2006/relationships/hyperlink" Id="rId121"/>
    <Relationship TargetMode="External" Target="https://www.legis.iowa.gov/docs/iac/rule/701.8.8.pdf" Type="http://schemas.openxmlformats.org/officeDocument/2006/relationships/hyperlink" Id="rId122"/>
    <Relationship TargetMode="External" Target="https://www.legis.iowa.gov/docs/iac/rule/701.2505.9.pdf" Type="http://schemas.openxmlformats.org/officeDocument/2006/relationships/hyperlink" Id="rId123"/>
    <Relationship TargetMode="External" Target="https://www.legis.iowa.gov/docs/iac/rule/701.2505.9.pdf" Type="http://schemas.openxmlformats.org/officeDocument/2006/relationships/hyperlink" Id="rId124"/>
    <Relationship TargetMode="External" Target="https://www.legis.iowa.gov/docs/iac/rule/701.8.2.pdf" Type="http://schemas.openxmlformats.org/officeDocument/2006/relationships/hyperlink" Id="rId125"/>
    <Relationship TargetMode="External" Target="https://www.legis.iowa.gov/docs/iac/rule/701.2505.9.pdf" Type="http://schemas.openxmlformats.org/officeDocument/2006/relationships/hyperlink" Id="rId126"/>
    <Relationship TargetMode="External" Target="https://www.legis.iowa.gov/docs/ico/chapter/421.59.pdf" Type="http://schemas.openxmlformats.org/officeDocument/2006/relationships/hyperlink" Id="rId127"/>
    <Relationship TargetMode="External" Target="https://www.legis.iowa.gov/docs/iac/rule/701.2505.9.pdf" Type="http://schemas.openxmlformats.org/officeDocument/2006/relationships/hyperlink" Id="rId128"/>
    <Relationship TargetMode="External" Target="https://www.legis.iowa.gov/docs/ico/chapter/421.6.pdf" Type="http://schemas.openxmlformats.org/officeDocument/2006/relationships/hyperlink" Id="rId129"/>
    <Relationship TargetMode="External" Target="https://www.legis.iowa.gov/docs/iac/rule/701.8.2.pdf" Type="http://schemas.openxmlformats.org/officeDocument/2006/relationships/hyperlink" Id="rId130"/>
    <Relationship TargetMode="External" Target="https://www.legis.iowa.gov/docs/iac/rule/701.2505.3.pdf" Type="http://schemas.openxmlformats.org/officeDocument/2006/relationships/hyperlink" Id="rId131"/>
    <Relationship TargetMode="External" Target="https://www.legis.iowa.gov/docs/iac/rule/701.2505.4.pdf" Type="http://schemas.openxmlformats.org/officeDocument/2006/relationships/hyperlink" Id="rId132"/>
    <Relationship TargetMode="External" Target="https://www.legis.iowa.gov/docs/ico/chapter/22.7.pdf" Type="http://schemas.openxmlformats.org/officeDocument/2006/relationships/hyperlink" Id="rId133"/>
    <Relationship TargetMode="External" Target="https://www.legis.iowa.gov/docs/ico/chapter/8A.pdf" Type="http://schemas.openxmlformats.org/officeDocument/2006/relationships/hyperlink" Id="rId134"/>
    <Relationship TargetMode="External" Target="https://www.legis.iowa.gov/docs/ico/chapter/17A.pdf" Type="http://schemas.openxmlformats.org/officeDocument/2006/relationships/hyperlink" Id="rId135"/>
    <Relationship TargetMode="External" Target="https://www.legis.iowa.gov/docs/ico/chapter/99G.pdf" Type="http://schemas.openxmlformats.org/officeDocument/2006/relationships/hyperlink" Id="rId136"/>
    <Relationship TargetMode="External" Target="https://www.legis.iowa.gov/docs/ico/chapter/123.pdf" Type="http://schemas.openxmlformats.org/officeDocument/2006/relationships/hyperlink" Id="rId137"/>
    <Relationship TargetMode="External" Target="https://www.legis.iowa.gov/docs/ico/chapter/22.11.pdf" Type="http://schemas.openxmlformats.org/officeDocument/2006/relationships/hyperlink" Id="rId138"/>
    <Relationship TargetMode="External" Target="https://www.legis.iowa.gov/docs/ico/chapter/422.20.pdf" Type="http://schemas.openxmlformats.org/officeDocument/2006/relationships/hyperlink" Id="rId139"/>
    <Relationship TargetMode="External" Target="https://www.legis.iowa.gov/docs/ico/chapter/422.72.pdf" Type="http://schemas.openxmlformats.org/officeDocument/2006/relationships/hyperlink" Id="rId140"/>
    <Relationship TargetMode="External" Target="https://www.legis.iowa.gov/docs/ico/chapter/422.20.pdf" Type="http://schemas.openxmlformats.org/officeDocument/2006/relationships/hyperlink" Id="rId141"/>
    <Relationship TargetMode="External" Target="https://www.legis.iowa.gov/docs/ico/chapter/422.72.pdf" Type="http://schemas.openxmlformats.org/officeDocument/2006/relationships/hyperlink" Id="rId142"/>
    <Relationship TargetMode="External" Target="https://www.legis.iowa.gov/docs/ico/chapter/22.7.pdf" Type="http://schemas.openxmlformats.org/officeDocument/2006/relationships/hyperlink" Id="rId143"/>
    <Relationship TargetMode="External" Target="https://www.legis.iowa.gov/docs/ico/chapter/99G.34.pdf" Type="http://schemas.openxmlformats.org/officeDocument/2006/relationships/hyperlink" Id="rId144"/>
    <Relationship TargetMode="External" Target="https://www.legis.iowa.gov/docs/ico/chapter/21.5.pdf" Type="http://schemas.openxmlformats.org/officeDocument/2006/relationships/hyperlink" Id="rId145"/>
    <Relationship TargetMode="External" Target="https://www.legis.iowa.gov/docs/ico/chapter/22.7.pdf" Type="http://schemas.openxmlformats.org/officeDocument/2006/relationships/hyperlink" Id="rId146"/>
    <Relationship TargetMode="External" Target="https://www.legis.iowa.gov/docs/ico/chapter/72.3.pdf" Type="http://schemas.openxmlformats.org/officeDocument/2006/relationships/hyperlink" Id="rId147"/>
    <Relationship TargetMode="External" Target="https://www.legis.iowa.gov/docs/ico/chapter/17A.3.pdf" Type="http://schemas.openxmlformats.org/officeDocument/2006/relationships/hyperlink" Id="rId148"/>
    <Relationship TargetMode="External" Target="https://www.legis.iowa.gov/docs/ico/chapter/99G.24.pdf" Type="http://schemas.openxmlformats.org/officeDocument/2006/relationships/hyperlink" Id="rId149"/>
    <Relationship TargetMode="External" Target="https://www.legis.iowa.gov/docs/ico/chapter/123.pdf" Type="http://schemas.openxmlformats.org/officeDocument/2006/relationships/hyperlink" Id="rId150"/>
    <Relationship TargetMode="External" Target="https://www.legis.iowa.gov/docs/ico/chapter/99G.34.pdf" Type="http://schemas.openxmlformats.org/officeDocument/2006/relationships/hyperlink" Id="rId151"/>
    <Relationship TargetMode="External" Target="https://www.legis.iowa.gov/docs/ico/chapter/99G.35.pdf" Type="http://schemas.openxmlformats.org/officeDocument/2006/relationships/hyperlink" Id="rId152"/>
    <Relationship TargetMode="External" Target="https://www.legis.iowa.gov/docs/ico/chapter/123.38A.pdf" Type="http://schemas.openxmlformats.org/officeDocument/2006/relationships/hyperlink" Id="rId153"/>
    <Relationship TargetMode="External" Target="https://www.legis.iowa.gov/docs/ico/chapter/422.20.pdf" Type="http://schemas.openxmlformats.org/officeDocument/2006/relationships/hyperlink" Id="rId154"/>
    <Relationship TargetMode="External" Target="https://www.legis.iowa.gov/docs/ico/chapter/422.72.pdf" Type="http://schemas.openxmlformats.org/officeDocument/2006/relationships/hyperlink" Id="rId155"/>
    <Relationship TargetMode="External" Target="https://www.legis.iowa.gov/docs/ico/chapter/99G.34.pdf" Type="http://schemas.openxmlformats.org/officeDocument/2006/relationships/hyperlink" Id="rId156"/>
    <Relationship TargetMode="External" Target="https://www.legis.iowa.gov/docs/ico/chapter/99G.34.pdf" Type="http://schemas.openxmlformats.org/officeDocument/2006/relationships/hyperlink" Id="rId157"/>
    <Relationship TargetMode="External" Target="https://www.legis.iowa.gov/docs/ico/chapter/99G.41.pdf" Type="http://schemas.openxmlformats.org/officeDocument/2006/relationships/hyperlink" Id="rId158"/>
    <Relationship TargetMode="External" Target="https://www.legis.iowa.gov/docs/ico/chapter/99G.24.pdf" Type="http://schemas.openxmlformats.org/officeDocument/2006/relationships/hyperlink" Id="rId159"/>
    <Relationship TargetMode="External" Target="https://www.legis.iowa.gov/docs/ico/chapter/99G.34.pdf" Type="http://schemas.openxmlformats.org/officeDocument/2006/relationships/hyperlink" Id="rId160"/>
    <Relationship TargetMode="External" Target="https://www.legis.iowa.gov/docs/ico/chapter/99G.41.pdf" Type="http://schemas.openxmlformats.org/officeDocument/2006/relationships/hyperlink" Id="rId161"/>
    <Relationship TargetMode="External" Target="https://www.legis.iowa.gov/docs/iac/rule/7.2505.3.pdf" Type="http://schemas.openxmlformats.org/officeDocument/2006/relationships/hyperlink" Id="rId162"/>
    <Relationship TargetMode="External" Target="https://www.legis.iowa.gov/docs/iac/rule/701.2505.3.pdf" Type="http://schemas.openxmlformats.org/officeDocument/2006/relationships/hyperlink" Id="rId163"/>
    <Relationship TargetMode="External" Target="https://www.legis.iowa.gov/docs/ico/chapter/421.59.pdf" Type="http://schemas.openxmlformats.org/officeDocument/2006/relationships/hyperlink" Id="rId164"/>
    <Relationship TargetMode="External" Target="https://www.legis.iowa.gov/docs/ico/chapter/422.20.pdf" Type="http://schemas.openxmlformats.org/officeDocument/2006/relationships/hyperlink" Id="rId165"/>
    <Relationship TargetMode="External" Target="https://www.legis.iowa.gov/docs/ico/chapter/422.72.pdf" Type="http://schemas.openxmlformats.org/officeDocument/2006/relationships/hyperlink" Id="rId166"/>
    <Relationship TargetMode="External" Target="https://www.legis.iowa.gov/docs/ico/chapter/17A.pdf" Type="http://schemas.openxmlformats.org/officeDocument/2006/relationships/hyperlink" Id="rId167"/>
    <Relationship TargetMode="External" Target="https://www.legis.iowa.gov/docs/ico/chapter/22.pdf" Type="http://schemas.openxmlformats.org/officeDocument/2006/relationships/hyperlink" Id="rId168"/>
    <Relationship TargetMode="External" Target="https://www.legis.iowa.gov/docs/ico/chapter/99G.pdf" Type="http://schemas.openxmlformats.org/officeDocument/2006/relationships/hyperlink" Id="rId169"/>
    <Relationship TargetMode="External" Target="https://www.legis.iowa.gov/docs/ico/chapter/123.pdf" Type="http://schemas.openxmlformats.org/officeDocument/2006/relationships/hyperlink" Id="rId170"/>
    <Relationship TargetMode="External" Target="https://www.legis.iowa.gov/docs/ico/chapter/421.pdf" Type="http://schemas.openxmlformats.org/officeDocument/2006/relationships/hyperlink" Id="rId171"/>
    <Relationship TargetMode="External" Target="https://www.legis.iowa.gov/docs/ico/chapter/453E.pdf" Type="http://schemas.openxmlformats.org/officeDocument/2006/relationships/hyperlink" Id="rId172"/>
    <Relationship TargetMode="External" Target="https://www.legis.iowa.gov/docs/iac/chapter/7.2500.pdf" Type="http://schemas.openxmlformats.org/officeDocument/2006/relationships/hyperlink" Id="rId173"/>
    <Relationship TargetMode="External" Target="https://www.legis.iowa.gov/docs/iac/chapter/7.2506.pdf" Type="http://schemas.openxmlformats.org/officeDocument/2006/relationships/hyperlink" Id="rId174"/>
    <Relationship TargetMode="External" Target="https://www.legis.iowa.gov/docs/ico/chapter/17A.24.pdf" Type="http://schemas.openxmlformats.org/officeDocument/2006/relationships/hyperlink" Id="rId175"/>
    <Relationship TargetMode="External" Target="https://www.legis.iowa.gov/docs/iac/rule/701.2507.4.pdf" Type="http://schemas.openxmlformats.org/officeDocument/2006/relationships/hyperlink" Id="rId176"/>
    <Relationship TargetMode="External" Target="https://www.legis.iowa.gov/docs/ico/chapter/421.pdf" Type="http://schemas.openxmlformats.org/officeDocument/2006/relationships/hyperlink" Id="rId177"/>
    <Relationship TargetMode="External" Target="https://www.legis.iowa.gov/docs/ico/chapter/453E.pdf" Type="http://schemas.openxmlformats.org/officeDocument/2006/relationships/hyperlink" Id="rId178"/>
    <Relationship TargetMode="External" Target="https://www.legis.iowa.gov/docs/ico/chapter/421.59.pdf" Type="http://schemas.openxmlformats.org/officeDocument/2006/relationships/hyperlink" Id="rId179"/>
    <Relationship TargetMode="External" Target="https://www.legis.iowa.gov/docs/iac/rule/701.8.8.pdf" Type="http://schemas.openxmlformats.org/officeDocument/2006/relationships/hyperlink" Id="rId180"/>
    <Relationship TargetMode="External" Target="https://www.legis.iowa.gov/docs/ico/chapter/421.9A.pdf" Type="http://schemas.openxmlformats.org/officeDocument/2006/relationships/hyperlink" Id="rId181"/>
    <Relationship TargetMode="External" Target="https://www.legis.iowa.gov/docs/ico/chapter/17A.pdf" Type="http://schemas.openxmlformats.org/officeDocument/2006/relationships/hyperlink" Id="rId182"/>
    <Relationship TargetMode="External" Target="https://www.legis.iowa.gov/docs/ico/chapter/17A.pdf" Type="http://schemas.openxmlformats.org/officeDocument/2006/relationships/hyperlink" Id="rId183"/>
    <Relationship TargetMode="External" Target="https://www.legis.iowa.gov/docs/ico/chapter/17A.2.pdf" Type="http://schemas.openxmlformats.org/officeDocument/2006/relationships/hyperlink" Id="rId184"/>
    <Relationship TargetMode="External" Target="https://www.legis.iowa.gov/docs/ico/chapter/17A.10A.pdf" Type="http://schemas.openxmlformats.org/officeDocument/2006/relationships/hyperlink" Id="rId185"/>
    <Relationship TargetMode="External" Target="https://www.legis.iowa.gov/docs/ico/chapter/10A.pdf" Type="http://schemas.openxmlformats.org/officeDocument/2006/relationships/hyperlink" Id="rId186"/>
    <Relationship TargetMode="External" Target="https://www.legis.iowa.gov/docs/ico/chapter/421.59.pdf" Type="http://schemas.openxmlformats.org/officeDocument/2006/relationships/hyperlink" Id="rId187"/>
    <Relationship TargetMode="External" Target="https://www.legis.iowa.gov/docs/ico/chapter/422.14.pdf" Type="http://schemas.openxmlformats.org/officeDocument/2006/relationships/hyperlink" Id="rId188"/>
    <Relationship TargetMode="External" Target="https://www.legis.iowa.gov/docs/ico/chapter/450.pdf" Type="http://schemas.openxmlformats.org/officeDocument/2006/relationships/hyperlink" Id="rId189"/>
    <Relationship TargetMode="External" Target="https://www.legis.iowa.gov/docs/ico/chapter/450B.pdf" Type="http://schemas.openxmlformats.org/officeDocument/2006/relationships/hyperlink" Id="rId190"/>
    <Relationship TargetMode="External" Target="https://www.legis.iowa.gov/docs/ico/chapter/17A.pdf" Type="http://schemas.openxmlformats.org/officeDocument/2006/relationships/hyperlink" Id="rId191"/>
    <Relationship TargetMode="External" Target="https://www.legis.iowa.gov/docs/ico/chapter/421.9A.pdf" Type="http://schemas.openxmlformats.org/officeDocument/2006/relationships/hyperlink" Id="rId192"/>
    <Relationship TargetMode="External" Target="https://www.legis.iowa.gov/docs/iac/rule/701.8.6.pdf" Type="http://schemas.openxmlformats.org/officeDocument/2006/relationships/hyperlink" Id="rId193"/>
    <Relationship TargetMode="External" Target="https://www.legis.iowa.gov/docs/ico/chapter/17A.pdf" Type="http://schemas.openxmlformats.org/officeDocument/2006/relationships/hyperlink" Id="rId194"/>
    <Relationship TargetMode="External" Target="https://www.legis.iowa.gov/docs/ico/chapter/421.9A.pdf" Type="http://schemas.openxmlformats.org/officeDocument/2006/relationships/hyperlink" Id="rId195"/>
    <Relationship TargetMode="External" Target="https://www.legis.iowa.gov/docs/ico/chapter/421.9A.pdf" Type="http://schemas.openxmlformats.org/officeDocument/2006/relationships/hyperlink" Id="rId196"/>
    <Relationship TargetMode="External" Target="https://www.legis.iowa.gov/docs/ico/chapter/421.9A.pdf" Type="http://schemas.openxmlformats.org/officeDocument/2006/relationships/hyperlink" Id="rId197"/>
    <Relationship TargetMode="External" Target="https://www.legis.iowa.gov/docs/ico/chapter/17A.pdf" Type="http://schemas.openxmlformats.org/officeDocument/2006/relationships/hyperlink" Id="rId198"/>
    <Relationship TargetMode="External" Target="https://www.legis.iowa.gov/docs/iac/rule/701.8.2.pdf" Type="http://schemas.openxmlformats.org/officeDocument/2006/relationships/hyperlink" Id="rId199"/>
    <Relationship TargetMode="External" Target="https://www.legis.iowa.gov/docs/iac/rule/701.2507.5.pdf" Type="http://schemas.openxmlformats.org/officeDocument/2006/relationships/hyperlink" Id="rId200"/>
    <Relationship TargetMode="External" Target="https://www.legis.iowa.gov/docs/iac/rule/701.2507.5.pdf" Type="http://schemas.openxmlformats.org/officeDocument/2006/relationships/hyperlink" Id="rId201"/>
    <Relationship TargetMode="External" Target="https://www.legis.iowa.gov/docs/iac/rule/701.2507.5.pdf" Type="http://schemas.openxmlformats.org/officeDocument/2006/relationships/hyperlink" Id="rId202"/>
    <Relationship TargetMode="External" Target="https://www.legis.iowa.gov/docs/iac/rule/701.2507.5.pdf" Type="http://schemas.openxmlformats.org/officeDocument/2006/relationships/hyperlink" Id="rId203"/>
    <Relationship TargetMode="External" Target="https://www.legis.iowa.gov/docs/iac/rule/701.2507.5.pdf" Type="http://schemas.openxmlformats.org/officeDocument/2006/relationships/hyperlink" Id="rId204"/>
    <Relationship TargetMode="External" Target="https://www.legis.iowa.gov/docs/iac/rule/701.2507.5.pdf" Type="http://schemas.openxmlformats.org/officeDocument/2006/relationships/hyperlink" Id="rId205"/>
    <Relationship TargetMode="External" Target="https://www.legis.iowa.gov/docs/ico/chapter/17A.pdf" Type="http://schemas.openxmlformats.org/officeDocument/2006/relationships/hyperlink" Id="rId206"/>
    <Relationship TargetMode="External" Target="https://www.legis.iowa.gov/docs/ico/chapter/554D.pdf" Type="http://schemas.openxmlformats.org/officeDocument/2006/relationships/hyperlink" Id="rId207"/>
    <Relationship TargetMode="External" Target="https://www.legis.iowa.gov/docs/ico/chapter/421.17.pdf" Type="http://schemas.openxmlformats.org/officeDocument/2006/relationships/hyperlink" Id="rId208"/>
    <Relationship TargetMode="External" Target="https://www.legis.iowa.gov/docs/ico/chapter/421.27A.pdf" Type="http://schemas.openxmlformats.org/officeDocument/2006/relationships/hyperlink" Id="rId209"/>
    <Relationship TargetMode="External" Target="https://www.legis.iowa.gov/docs/ico/chapter/17A.pdf" Type="http://schemas.openxmlformats.org/officeDocument/2006/relationships/hyperlink" Id="rId210"/>
    <Relationship TargetMode="External" Target="https://www.legis.iowa.gov/docs/ico/chapter/422.20.pdf" Type="http://schemas.openxmlformats.org/officeDocument/2006/relationships/hyperlink" Id="rId211"/>
    <Relationship TargetMode="External" Target="https://www.legis.iowa.gov/docs/ico/chapter/422.72.pdf" Type="http://schemas.openxmlformats.org/officeDocument/2006/relationships/hyperlink" Id="rId212"/>
    <Relationship TargetMode="External" Target="https://www.legis.iowa.gov/docs/ico/chapter/17A.3.pdf" Type="http://schemas.openxmlformats.org/officeDocument/2006/relationships/hyperlink" Id="rId213"/>
    <Relationship TargetMode="External" Target="https://www.legis.iowa.gov/docs/ico/chapter/22.pdf" Type="http://schemas.openxmlformats.org/officeDocument/2006/relationships/hyperlink" Id="rId214"/>
    <Relationship TargetMode="External" Target="https://www.legis.iowa.gov/docs/ico/chapter/422.20.pdf" Type="http://schemas.openxmlformats.org/officeDocument/2006/relationships/hyperlink" Id="rId215"/>
    <Relationship TargetMode="External" Target="https://www.legis.iowa.gov/docs/ico/chapter/422.72.pdf" Type="http://schemas.openxmlformats.org/officeDocument/2006/relationships/hyperlink" Id="rId216"/>
    <Relationship TargetMode="External" Target="https://www.legis.iowa.gov/docs/iac/rule/7.2506.15.pdf" Type="http://schemas.openxmlformats.org/officeDocument/2006/relationships/hyperlink" Id="rId217"/>
    <Relationship TargetMode="External" Target="https://www.legis.iowa.gov/docs/iac/rule/701.2507.8.pdf" Type="http://schemas.openxmlformats.org/officeDocument/2006/relationships/hyperlink" Id="rId218"/>
    <Relationship TargetMode="External" Target="https://www.legis.iowa.gov/docs/iac/rule/701.2507.7.pdf" Type="http://schemas.openxmlformats.org/officeDocument/2006/relationships/hyperlink" Id="rId219"/>
    <Relationship TargetMode="External" Target="https://www.legis.iowa.gov/docs/iac/rule/7.2506.15.pdf" Type="http://schemas.openxmlformats.org/officeDocument/2006/relationships/hyperlink" Id="rId220"/>
    <Relationship TargetMode="External" Target="https://www.legis.iowa.gov/docs/ico/chapter/22.pdf" Type="http://schemas.openxmlformats.org/officeDocument/2006/relationships/hyperlink" Id="rId221"/>
    <Relationship TargetMode="External" Target="https://www.legis.iowa.gov/docs/ico/chapter/17A.pdf" Type="http://schemas.openxmlformats.org/officeDocument/2006/relationships/hyperlink" Id="rId222"/>
    <Relationship TargetMode="External" Target="https://www.legis.iowa.gov/docs/ico/chapter/17A.pdf" Type="http://schemas.openxmlformats.org/officeDocument/2006/relationships/hyperlink" Id="rId223"/>
    <Relationship TargetMode="External" Target="https://www.legis.iowa.gov/docs/ico/chapter/422.20.pdf" Type="http://schemas.openxmlformats.org/officeDocument/2006/relationships/hyperlink" Id="rId224"/>
    <Relationship TargetMode="External" Target="https://www.legis.iowa.gov/docs/ico/chapter/422.72.pdf" Type="http://schemas.openxmlformats.org/officeDocument/2006/relationships/hyperlink" Id="rId225"/>
    <Relationship TargetMode="External" Target="https://www.legis.iowa.gov/docs/iac/rule/701.2507.3.pdf" Type="http://schemas.openxmlformats.org/officeDocument/2006/relationships/hyperlink" Id="rId226"/>
    <Relationship TargetMode="External" Target="https://www.legis.iowa.gov/docs/ico/chapter/421.59.pdf" Type="http://schemas.openxmlformats.org/officeDocument/2006/relationships/hyperlink" Id="rId227"/>
    <Relationship TargetMode="External" Target="https://www.legis.iowa.gov/docs/ico/chapter/633B.pdf" Type="http://schemas.openxmlformats.org/officeDocument/2006/relationships/hyperlink" Id="rId228"/>
    <Relationship TargetMode="External" Target="https://www.legis.iowa.gov/docs/iac/rule/701.8.8.pdf" Type="http://schemas.openxmlformats.org/officeDocument/2006/relationships/hyperlink" Id="rId229"/>
    <Relationship TargetMode="External" Target="https://www.legis.iowa.gov/docs/iac/rule/701.8.8.pdf" Type="http://schemas.openxmlformats.org/officeDocument/2006/relationships/hyperlink" Id="rId230"/>
    <Relationship TargetMode="External" Target="https://www.legis.iowa.gov/docs/iac/rule/701.2507.8.pdf" Type="http://schemas.openxmlformats.org/officeDocument/2006/relationships/hyperlink" Id="rId231"/>
    <Relationship TargetMode="External" Target="https://www.legis.iowa.gov/docs/iac/rule/701.2507.11.pdf" Type="http://schemas.openxmlformats.org/officeDocument/2006/relationships/hyperlink" Id="rId232"/>
    <Relationship TargetMode="External" Target="https://www.legis.iowa.gov/docs/ico/chapter/17A.pdf" Type="http://schemas.openxmlformats.org/officeDocument/2006/relationships/hyperlink" Id="rId233"/>
    <Relationship TargetMode="External" Target="https://www.legis.iowa.gov/docs/ico/chapter/17A.pdf" Type="http://schemas.openxmlformats.org/officeDocument/2006/relationships/hyperlink" Id="rId234"/>
    <Relationship TargetMode="External" Target="https://www.legis.iowa.gov/docs/iac/rule/701.2507.13.pdf" Type="http://schemas.openxmlformats.org/officeDocument/2006/relationships/hyperlink" Id="rId235"/>
    <Relationship TargetMode="External" Target="https://www.legis.iowa.gov/docs/iac/rule/701.2507.8.pdf" Type="http://schemas.openxmlformats.org/officeDocument/2006/relationships/hyperlink" Id="rId236"/>
    <Relationship TargetMode="External" Target="https://www.legis.iowa.gov/docs/ico/chapter/17A.10.pdf" Type="http://schemas.openxmlformats.org/officeDocument/2006/relationships/hyperlink" Id="rId237"/>
    <Relationship TargetMode="External" Target="https://www.legis.iowa.gov/docs/iac/rule/701.2507.11.pdf" Type="http://schemas.openxmlformats.org/officeDocument/2006/relationships/hyperlink" Id="rId238"/>
    <Relationship TargetMode="External" Target="https://www.legis.iowa.gov/docs/ico/chapter/421.60.pdf" Type="http://schemas.openxmlformats.org/officeDocument/2006/relationships/hyperlink" Id="rId239"/>
    <Relationship TargetMode="External" Target="https://www.legis.iowa.gov/docs/iac/rule/701.2507.11.pdf" Type="http://schemas.openxmlformats.org/officeDocument/2006/relationships/hyperlink" Id="rId240"/>
    <Relationship TargetMode="External" Target="https://www.legis.iowa.gov/docs/iac/rule/701.2507.11.pdf" Type="http://schemas.openxmlformats.org/officeDocument/2006/relationships/hyperlink" Id="rId241"/>
    <Relationship TargetMode="External" Target="https://www.legis.iowa.gov/docs/ico/chapter/17A.12.pdf" Type="http://schemas.openxmlformats.org/officeDocument/2006/relationships/hyperlink" Id="rId242"/>
    <Relationship TargetMode="External" Target="https://www.legis.iowa.gov/docs/ico/chapter/421.10.pdf" Type="http://schemas.openxmlformats.org/officeDocument/2006/relationships/hyperlink" Id="rId243"/>
    <Relationship TargetMode="External" Target="https://www.legis.iowa.gov/docs/ico/chapter/421.60.pdf" Type="http://schemas.openxmlformats.org/officeDocument/2006/relationships/hyperlink" Id="rId244"/>
    <Relationship TargetMode="External" Target="https://www.legis.iowa.gov/docs/ico/chapter/422.28.pdf" Type="http://schemas.openxmlformats.org/officeDocument/2006/relationships/hyperlink" Id="rId245"/>
    <Relationship TargetMode="External" Target="https://www.legis.iowa.gov/docs/ico/chapter/421.17.pdf" Type="http://schemas.openxmlformats.org/officeDocument/2006/relationships/hyperlink" Id="rId246"/>
    <Relationship TargetMode="External" Target="https://www.legis.iowa.gov/docs/ico/chapter/421.17.pdf" Type="http://schemas.openxmlformats.org/officeDocument/2006/relationships/hyperlink" Id="rId247"/>
    <Relationship TargetMode="External" Target="https://www.legis.iowa.gov/docs/iac/rule/701.8.8.pdf" Type="http://schemas.openxmlformats.org/officeDocument/2006/relationships/hyperlink" Id="rId248"/>
    <Relationship TargetMode="External" Target="https://www.legis.iowa.gov/docs/ico/chapter/421.60.pdf" Type="http://schemas.openxmlformats.org/officeDocument/2006/relationships/hyperlink" Id="rId249"/>
    <Relationship TargetMode="External" Target="https://www.legis.iowa.gov/docs/ico/chapter/421.60.pdf" Type="http://schemas.openxmlformats.org/officeDocument/2006/relationships/hyperlink" Id="rId250"/>
    <Relationship TargetMode="External" Target="https://www.legis.iowa.gov/docs/ico/chapter/421.60.pdf" Type="http://schemas.openxmlformats.org/officeDocument/2006/relationships/hyperlink" Id="rId251"/>
    <Relationship TargetMode="External" Target="https://www.legis.iowa.gov/docs/ico/chapter/17A.12.pdf" Type="http://schemas.openxmlformats.org/officeDocument/2006/relationships/hyperlink" Id="rId252"/>
    <Relationship TargetMode="External" Target="https://www.legis.iowa.gov/docs/ico/chapter/421.60.pdf" Type="http://schemas.openxmlformats.org/officeDocument/2006/relationships/hyperlink" Id="rId253"/>
    <Relationship TargetMode="External" Target="https://www.legis.iowa.gov/docs/iac/rule/701.2507.13.pdf" Type="http://schemas.openxmlformats.org/officeDocument/2006/relationships/hyperlink" Id="rId254"/>
    <Relationship TargetMode="External" Target="https://www.legis.iowa.gov/docs/iac/rule/701.2507.13.pdf" Type="http://schemas.openxmlformats.org/officeDocument/2006/relationships/hyperlink" Id="rId255"/>
    <Relationship TargetMode="External" Target="https://www.legis.iowa.gov/docs/ico/chapter/421.7.pdf" Type="http://schemas.openxmlformats.org/officeDocument/2006/relationships/hyperlink" Id="rId256"/>
    <Relationship TargetMode="External" Target="https://www.legis.iowa.gov/docs/ico/chapter/17A.pdf" Type="http://schemas.openxmlformats.org/officeDocument/2006/relationships/hyperlink" Id="rId257"/>
    <Relationship TargetMode="External" Target="https://www.legis.iowa.gov/docs/ico/chapter/421.60.pdf" Type="http://schemas.openxmlformats.org/officeDocument/2006/relationships/hyperlink" Id="rId258"/>
    <Relationship TargetMode="External" Target="https://www.legis.iowa.gov/docs/ico/chapter/17A.13.pdf" Type="http://schemas.openxmlformats.org/officeDocument/2006/relationships/hyperlink" Id="rId259"/>
    <Relationship TargetMode="External" Target="https://www.legis.iowa.gov/docs/ico/chapter/421.9.pdf" Type="http://schemas.openxmlformats.org/officeDocument/2006/relationships/hyperlink" Id="rId260"/>
    <Relationship TargetMode="External" Target="https://www.legis.iowa.gov/docs/ico/chapter/421.17.pdf" Type="http://schemas.openxmlformats.org/officeDocument/2006/relationships/hyperlink" Id="rId261"/>
    <Relationship TargetMode="External" Target="https://www.legis.iowa.gov/docs/ico/chapter/422.70.pdf" Type="http://schemas.openxmlformats.org/officeDocument/2006/relationships/hyperlink" Id="rId262"/>
    <Relationship Target="footer.xml" Type="http://schemas.openxmlformats.org/officeDocument/2006/relationships/footer" Id="rId2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