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35D" w:id="1"/>
    <w:p>
      <w:pPr>
        <w:spacing w:before="0" w:after="0" w:line="480"/>
        <w:ind w:left="120"/>
        <w:jc w:val="right"/>
      </w:pPr>
      <w:r>
        <w:rPr>
          <w:rFonts w:ascii="Times New Roman" w:hAnsi="Times New Roman"/>
          <w:b/>
          <w:i w:val="false"/>
          <w:color w:val="000000"/>
          <w:sz w:val="28"/>
        </w:rPr>
        <w:t>ARC 0435D</w:t>
      </w:r>
    </w:p>
    <w:bookmarkEnd w:id="1"/>
    <w:p>
      <w:pPr>
        <w:pBdr>
          <w:top w:space="5"/>
        </w:pBdr>
        <w:spacing w:before="0" w:after="0" w:line="480"/>
        <w:ind w:left="120"/>
        <w:jc w:val="center"/>
      </w:pPr>
      <w:r>
        <w:rPr>
          <w:rFonts w:ascii="Times New Roman" w:hAnsi="Times New Roman"/>
          <w:b/>
          <w:i w:val="false"/>
          <w:color w:val="000000"/>
          <w:sz w:val="28"/>
        </w:rPr>
        <w:t>INSPECTIONS AND APPEALS DEPARTMENT[481]</w:t>
      </w:r>
    </w:p>
    <w:p>
      <w:pPr>
        <w:pBdr>
          <w:top w:space="2"/>
        </w:pBdr>
        <w:spacing w:before="0" w:after="0" w:line="480"/>
        <w:ind w:left="120"/>
        <w:jc w:val="center"/>
      </w:pPr>
      <w:r>
        <w:rPr>
          <w:rFonts w:ascii="Times New Roman" w:hAnsi="Times New Roman"/>
          <w:b/>
          <w:i w:val="false"/>
          <w:color w:val="000000"/>
          <w:sz w:val="24"/>
        </w:rPr>
        <w:t>Adopted and Filed Emergency</w:t>
      </w:r>
    </w:p>
    <w:p>
      <w:pPr>
        <w:spacing w:before="0" w:after="0" w:line="480"/>
        <w:ind w:left="120"/>
        <w:jc w:val="center"/>
      </w:pPr>
      <w:r>
        <w:rPr>
          <w:rFonts w:ascii="Times New Roman" w:hAnsi="Times New Roman"/>
          <w:b/>
          <w:i w:val="false"/>
          <w:color w:val="000000"/>
          <w:sz w:val="24"/>
        </w:rPr>
        <w:t>Rulemaking related to modification of the uniform rules on agency procedure</w:t>
      </w:r>
    </w:p>
    <w:p>
      <w:pPr>
        <w:pBdr>
          <w:top w:space="5"/>
        </w:pBdr>
        <w:spacing w:before="0" w:after="0" w:line="480"/>
        <w:ind w:left="120"/>
        <w:jc w:val="both"/>
      </w:pPr>
      <w:r>
        <w:rPr>
          <w:rFonts w:ascii="Times New Roman" w:hAnsi="Times New Roman"/>
          <w:b w:val="false"/>
          <w:i w:val="false"/>
          <w:color w:val="000000"/>
          <w:sz w:val="24"/>
        </w:rPr>
        <w:t>    The Department of Inspections, Appeals, and Licensing hereby adopts new Chapter 2500, “Definitions,”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chapter 17A.</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2026 Iowa Acts, Senate File 2463, and Iowa Code chapter 17A.</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rulemaking modifies the Uniform Rules on Agency Procedure related to definitions (7—Chapter 2500) to expand the definition of “agency” in order to fully encompass the unique and multiple entities a waiver can be presented to within the Department, including the agency itself along with the boards and commissions. The new Uniform Rules on Agency Procedure were effective as of January 13, 2026, and the Department’s Uniform Rules on Agency Procedure were rescinded by 2026 Iowa Acts, Senate File 2463, on July 1, 2026. Earlier adoption of this rulemaking will allow the Department to ensure a smooth transition between the old and new Uniform Rules on Agency Procedure that became effective on July 1, 2026.</w:t>
      </w:r>
    </w:p>
    <w:p>
      <w:pPr>
        <w:pBdr>
          <w:top w:space="2"/>
        </w:pBdr>
        <w:spacing w:before="0" w:after="0" w:line="480"/>
        <w:ind w:left="120"/>
        <w:jc w:val="center"/>
      </w:pPr>
      <w:r>
        <w:rPr>
          <w:rFonts w:ascii="Times New Roman" w:hAnsi="Times New Roman"/>
          <w:b w:val="false"/>
          <w:i/>
          <w:color w:val="000000"/>
          <w:sz w:val="24"/>
        </w:rPr>
        <w:t>Reason for Adoption of Rulemaking Without</w:t>
      </w:r>
      <w:r>
        <w:br/>
      </w:r>
      <w:r>
        <w:rPr>
          <w:rFonts w:ascii="Times New Roman" w:hAnsi="Times New Roman"/>
          <w:b w:val="false"/>
          <w:i/>
          <w:color w:val="000000"/>
          <w:sz w:val="24"/>
        </w:rPr>
        <w:t>Prior Notice and Opportunity for Public Participation</w:t>
      </w:r>
    </w:p>
    <w:p>
      <w:pPr>
        <w:pBdr>
          <w:top w:space="5"/>
        </w:pBdr>
        <w:spacing w:before="0" w:after="0" w:line="480"/>
        <w:ind w:left="120"/>
        <w:jc w:val="both"/>
      </w:pPr>
      <w:r>
        <w:rPr>
          <w:rFonts w:ascii="Times New Roman" w:hAnsi="Times New Roman"/>
          <w:b w:val="false"/>
          <w:i w:val="false"/>
          <w:color w:val="000000"/>
          <w:sz w:val="24"/>
        </w:rPr>
        <w:t>    Pursuant to Iowa Code section 17A.4(3), the Department finds that notice and public participation are unnecessary or impractical because statute so provides. 2026 Iowa Acts, Senate File 2463, section 5, authorizes emergency rulemaking to provide for additions, exceptions, or amendments to the Uniform Rules on Agency Procedure.</w:t>
      </w:r>
    </w:p>
    <w:p>
      <w:pPr>
        <w:pBdr>
          <w:top w:space="2"/>
        </w:pBdr>
        <w:spacing w:before="0" w:after="0" w:line="480"/>
        <w:ind w:left="120"/>
        <w:jc w:val="center"/>
      </w:pPr>
      <w:r>
        <w:rPr>
          <w:rFonts w:ascii="Times New Roman" w:hAnsi="Times New Roman"/>
          <w:b w:val="false"/>
          <w:i/>
          <w:color w:val="000000"/>
          <w:sz w:val="24"/>
        </w:rPr>
        <w:t>Reason for Waiver of Normal Effective Date</w:t>
      </w:r>
    </w:p>
    <w:p>
      <w:pPr>
        <w:pBdr>
          <w:top w:space="5"/>
        </w:pBdr>
        <w:spacing w:before="0" w:after="0" w:line="480"/>
        <w:ind w:left="120"/>
        <w:jc w:val="both"/>
      </w:pPr>
      <w:r>
        <w:rPr>
          <w:rFonts w:ascii="Times New Roman" w:hAnsi="Times New Roman"/>
          <w:b w:val="false"/>
          <w:i w:val="false"/>
          <w:color w:val="000000"/>
          <w:sz w:val="24"/>
        </w:rPr>
        <w:t>    Pursuant to Iowa Code section 17A.5(2)“b”(1)(a), the Department also finds that the normal effective date of this rulemaking, 35 days after publication, should be waived and the rulemaking made effective on June 19, 2026, because 2026 Iowa Acts, Senate File 2463, section 5, authorizes emergency rulemaking for the purpose stated above.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June 19, 2026.</w:t>
      </w:r>
    </w:p>
    <w:p>
      <w:pPr>
        <w:pBdr>
          <w:top w:space="2"/>
        </w:pBdr>
        <w:spacing w:before="0" w:after="0" w:line="480"/>
        <w:ind w:left="120"/>
        <w:jc w:val="center"/>
      </w:pPr>
      <w:r>
        <w:rPr>
          <w:rFonts w:ascii="Times New Roman" w:hAnsi="Times New Roman"/>
          <w:b w:val="false"/>
          <w:i/>
          <w:color w:val="000000"/>
          <w:sz w:val="24"/>
        </w:rPr>
        <w:t>Concurrent Publication of Notice of Intended Action</w:t>
      </w:r>
    </w:p>
    <w:p>
      <w:pPr>
        <w:pBdr>
          <w:top w:space="5"/>
        </w:pBdr>
        <w:spacing w:before="0" w:after="0" w:line="480"/>
        <w:ind w:left="120"/>
        <w:jc w:val="both"/>
      </w:pPr>
      <w:r>
        <w:rPr>
          <w:rFonts w:ascii="Times New Roman" w:hAnsi="Times New Roman"/>
          <w:b w:val="false"/>
          <w:i w:val="false"/>
          <w:color w:val="000000"/>
          <w:sz w:val="24"/>
        </w:rPr>
        <w:t xml:space="preserve">    In addition to its adoption on an emergency basis, this rulemaking has been initiated through the normal rulemaking process and is published herein under Notice of Intended Action as </w:t>
      </w:r>
      <w:r>
        <w:rPr>
          <w:rFonts w:ascii="Times New Roman" w:hAnsi="Times New Roman"/>
          <w:b/>
          <w:i w:val="false"/>
          <w:color w:val="000000"/>
          <w:sz w:val="24"/>
        </w:rPr>
        <w:t>ARC 0434D</w:t>
      </w:r>
      <w:r>
        <w:rPr>
          <w:rFonts w:ascii="Times New Roman" w:hAnsi="Times New Roman"/>
          <w:b w:val="false"/>
          <w:i w:val="false"/>
          <w:color w:val="000000"/>
          <w:sz w:val="24"/>
        </w:rPr>
        <w:t xml:space="preserve"> to allow for public comment.</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became effective on June 19,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481—Chapter 2500</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2500</w:t>
      </w:r>
    </w:p>
    <w:p>
      <w:pPr>
        <w:spacing w:before="0" w:after="0" w:line="480"/>
        <w:ind w:left="120"/>
        <w:jc w:val="center"/>
      </w:pPr>
      <w:r>
        <w:rPr>
          <w:rFonts w:ascii="Times New Roman" w:hAnsi="Times New Roman"/>
          <w:b w:val="false"/>
          <w:i w:val="false"/>
          <w:color w:val="000000"/>
          <w:sz w:val="21"/>
        </w:rPr>
        <w:t>DEFINITIONS</w:t>
      </w:r>
    </w:p>
    <w:p>
      <w:pPr>
        <w:spacing w:before="0" w:after="0" w:line="480"/>
        <w:ind w:left="120"/>
        <w:jc w:val="both"/>
      </w:pPr>
      <w:r>
        <w:rPr>
          <w:rFonts w:ascii="Times New Roman" w:hAnsi="Times New Roman"/>
          <w:b w:val="false"/>
          <w:i w:val="false"/>
          <w:color w:val="000000"/>
          <w:sz w:val="24"/>
        </w:rPr>
        <w:t xml:space="preserve">The Uniform Rules on Agency Procedure, 7—Chapters </w:t>
      </w:r>
      <w:hyperlink r:id="rId5">
        <w:r>
          <w:rPr>
            <w:rStyle w:val="Hyperlink"/>
            <w:rFonts w:ascii="Times New Roman" w:hAnsi="Times New Roman"/>
            <w:b w:val="false"/>
            <w:i w:val="false"/>
            <w:color w:val="000000"/>
            <w:sz w:val="24"/>
          </w:rPr>
          <w:t>2500</w:t>
        </w:r>
      </w:hyperlink>
      <w:r>
        <w:rPr>
          <w:rFonts w:ascii="Times New Roman" w:hAnsi="Times New Roman"/>
          <w:b w:val="false"/>
          <w:i w:val="false"/>
          <w:color w:val="000000"/>
          <w:sz w:val="24"/>
        </w:rPr>
        <w:t xml:space="preserve"> through </w:t>
      </w:r>
      <w:hyperlink r:id="rId6">
        <w:r>
          <w:rPr>
            <w:rStyle w:val="Hyperlink"/>
            <w:rFonts w:ascii="Times New Roman" w:hAnsi="Times New Roman"/>
            <w:b w:val="false"/>
            <w:i w:val="false"/>
            <w:color w:val="000000"/>
            <w:sz w:val="24"/>
          </w:rPr>
          <w:t>2506</w:t>
        </w:r>
      </w:hyperlink>
      <w:r>
        <w:rPr>
          <w:rFonts w:ascii="Times New Roman" w:hAnsi="Times New Roman"/>
          <w:b w:val="false"/>
          <w:i w:val="false"/>
          <w:color w:val="000000"/>
          <w:sz w:val="24"/>
        </w:rPr>
        <w:t xml:space="preserve">, are rules generally applicable to agencies pursuant to Iowa Code section </w:t>
      </w:r>
      <w:hyperlink r:id="rId7">
        <w:r>
          <w:rPr>
            <w:rStyle w:val="Hyperlink"/>
            <w:rFonts w:ascii="Times New Roman" w:hAnsi="Times New Roman"/>
            <w:b w:val="false"/>
            <w:i w:val="false"/>
            <w:color w:val="000000"/>
            <w:sz w:val="24"/>
          </w:rPr>
          <w:t>17A.24</w:t>
        </w:r>
      </w:hyperlink>
      <w:r>
        <w:rPr>
          <w:rFonts w:ascii="Times New Roman" w:hAnsi="Times New Roman"/>
          <w:b w:val="false"/>
          <w:i w:val="false"/>
          <w:color w:val="000000"/>
          <w:sz w:val="24"/>
        </w:rPr>
        <w:t>. Additions, exceptions, or amendments to the corresponding chapter are below.</w:t>
      </w:r>
    </w:p>
    <w:p>
      <w:pPr>
        <w:spacing w:before="0" w:after="0" w:line="480"/>
        <w:ind w:left="120"/>
        <w:jc w:val="both"/>
      </w:pPr>
      <w:r>
        <w:rPr>
          <w:rFonts w:ascii="Times New Roman" w:hAnsi="Times New Roman"/>
          <w:b/>
          <w:i w:val="false"/>
          <w:color w:val="000000"/>
          <w:sz w:val="24"/>
        </w:rPr>
        <w:t>481—2500.2</w:t>
      </w:r>
      <w:r>
        <w:rPr>
          <w:rFonts w:ascii="Times New Roman" w:hAnsi="Times New Roman"/>
          <w:b/>
          <w:i w:val="false"/>
          <w:color w:val="000000"/>
          <w:sz w:val="24"/>
        </w:rPr>
        <w:t xml:space="preserve">(17A) </w:t>
      </w:r>
      <w:r>
        <w:rPr>
          <w:rFonts w:ascii="Times New Roman" w:hAnsi="Times New Roman"/>
          <w:b/>
          <w:i w:val="false"/>
          <w:color w:val="000000"/>
          <w:sz w:val="24"/>
        </w:rPr>
        <w:t xml:space="preserve">Scope and applicability. </w:t>
      </w:r>
      <w:r>
        <w:rPr>
          <w:rFonts w:ascii="Times New Roman" w:hAnsi="Times New Roman"/>
          <w:b w:val="false"/>
          <w:i w:val="false"/>
          <w:color w:val="000000"/>
          <w:sz w:val="24"/>
        </w:rPr>
        <w:t xml:space="preserve">7—Chapter </w:t>
      </w:r>
      <w:hyperlink r:id="rId8">
        <w:r>
          <w:rPr>
            <w:rStyle w:val="Hyperlink"/>
            <w:rFonts w:ascii="Times New Roman" w:hAnsi="Times New Roman"/>
            <w:b w:val="false"/>
            <w:i w:val="false"/>
            <w:color w:val="000000"/>
            <w:sz w:val="24"/>
          </w:rPr>
          <w:t>2500</w:t>
        </w:r>
      </w:hyperlink>
      <w:r>
        <w:rPr>
          <w:rFonts w:ascii="Times New Roman" w:hAnsi="Times New Roman"/>
          <w:b w:val="false"/>
          <w:i w:val="false"/>
          <w:color w:val="000000"/>
          <w:sz w:val="24"/>
        </w:rPr>
        <w:t xml:space="preserve"> provides the definitions used by the agency in uniform rule proceedings. The following are additions to and expansions of the definitions found in 7—Chapter </w:t>
      </w:r>
      <w:hyperlink r:id="rId9">
        <w:r>
          <w:rPr>
            <w:rStyle w:val="Hyperlink"/>
            <w:rFonts w:ascii="Times New Roman" w:hAnsi="Times New Roman"/>
            <w:b w:val="false"/>
            <w:i w:val="false"/>
            <w:color w:val="000000"/>
            <w:sz w:val="24"/>
          </w:rPr>
          <w:t>2500</w:t>
        </w:r>
      </w:hyperlink>
      <w:r>
        <w:rPr>
          <w:rFonts w:ascii="Times New Roman" w:hAnsi="Times New Roman"/>
          <w:b w:val="false"/>
          <w:i w:val="false"/>
          <w:color w:val="000000"/>
          <w:sz w:val="24"/>
        </w:rPr>
        <w:t xml:space="preserve"> and applicable to 7—Chapters </w:t>
      </w:r>
      <w:hyperlink r:id="rId10">
        <w:r>
          <w:rPr>
            <w:rStyle w:val="Hyperlink"/>
            <w:rFonts w:ascii="Times New Roman" w:hAnsi="Times New Roman"/>
            <w:b w:val="false"/>
            <w:i w:val="false"/>
            <w:color w:val="000000"/>
            <w:sz w:val="24"/>
          </w:rPr>
          <w:t>2501</w:t>
        </w:r>
      </w:hyperlink>
      <w:r>
        <w:rPr>
          <w:rFonts w:ascii="Times New Roman" w:hAnsi="Times New Roman"/>
          <w:b w:val="false"/>
          <w:i w:val="false"/>
          <w:color w:val="000000"/>
          <w:sz w:val="24"/>
        </w:rPr>
        <w:t xml:space="preserve"> through </w:t>
      </w:r>
      <w:hyperlink r:id="rId11">
        <w:r>
          <w:rPr>
            <w:rStyle w:val="Hyperlink"/>
            <w:rFonts w:ascii="Times New Roman" w:hAnsi="Times New Roman"/>
            <w:b w:val="false"/>
            <w:i w:val="false"/>
            <w:color w:val="000000"/>
            <w:sz w:val="24"/>
          </w:rPr>
          <w:t>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“Custodian”</w:t>
      </w:r>
      <w:r>
        <w:rPr>
          <w:rFonts w:ascii="Times New Roman" w:hAnsi="Times New Roman"/>
          <w:b w:val="false"/>
          <w:i w:val="false"/>
          <w:color w:val="000000"/>
          <w:sz w:val="24"/>
        </w:rPr>
        <w:t> </w:t>
      </w:r>
      <w:r>
        <w:rPr>
          <w:rFonts w:ascii="Times New Roman" w:hAnsi="Times New Roman"/>
          <w:b w:val="false"/>
          <w:i w:val="false"/>
          <w:color w:val="000000"/>
          <w:sz w:val="24"/>
        </w:rPr>
        <w:t>means an agency that owns and exercises control over public records. The originating agency, if any, is the custodian of records that are used to perform work or a service for the originating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“Department”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department of inspections, appeals, and licensing authorized by Iowa Code chapter </w:t>
      </w:r>
      <w:hyperlink r:id="rId12">
        <w:r>
          <w:rPr>
            <w:rStyle w:val="Hyperlink"/>
            <w:rFonts w:ascii="Times New Roman" w:hAnsi="Times New Roman"/>
            <w:b w:val="false"/>
            <w:i w:val="false"/>
            <w:color w:val="000000"/>
            <w:sz w:val="24"/>
          </w:rPr>
          <w:t>10A</w:t>
        </w:r>
      </w:hyperlink>
      <w:r>
        <w:rPr>
          <w:rFonts w:ascii="Times New Roman" w:hAnsi="Times New Roman"/>
          <w:b w:val="false"/>
          <w:i w:val="false"/>
          <w:color w:val="000000"/>
          <w:sz w:val="24"/>
        </w:rPr>
        <w:t xml:space="preserve"> or, for purposes of this chapter, a division, board, or commission under the administrative authority of the department pursuant to Iowa Code chapter </w:t>
      </w:r>
      <w:hyperlink r:id="rId13">
        <w:r>
          <w:rPr>
            <w:rStyle w:val="Hyperlink"/>
            <w:rFonts w:ascii="Times New Roman" w:hAnsi="Times New Roman"/>
            <w:b w:val="false"/>
            <w:i w:val="false"/>
            <w:color w:val="000000"/>
            <w:sz w:val="24"/>
          </w:rPr>
          <w:t>10A</w:t>
        </w:r>
      </w:hyperlink>
      <w:r>
        <w:rPr>
          <w:rFonts w:ascii="Times New Roman" w:hAnsi="Times New Roman"/>
          <w:b w:val="false"/>
          <w:i w:val="false"/>
          <w:color w:val="000000"/>
          <w:sz w:val="24"/>
        </w:rPr>
        <w:t xml:space="preserve"> that has rulemaking and waiver authority to whom this chapter is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“Director”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director of the department, the director’s designee, or a division, board, or commission under the administrative authority of the department pursuant to Iowa Code chapter </w:t>
      </w:r>
      <w:hyperlink r:id="rId14">
        <w:r>
          <w:rPr>
            <w:rStyle w:val="Hyperlink"/>
            <w:rFonts w:ascii="Times New Roman" w:hAnsi="Times New Roman"/>
            <w:b w:val="false"/>
            <w:i w:val="false"/>
            <w:color w:val="000000"/>
            <w:sz w:val="24"/>
          </w:rPr>
          <w:t>10A</w:t>
        </w:r>
      </w:hyperlink>
      <w:r>
        <w:rPr>
          <w:rFonts w:ascii="Times New Roman" w:hAnsi="Times New Roman"/>
          <w:b w:val="false"/>
          <w:i w:val="false"/>
          <w:color w:val="000000"/>
          <w:sz w:val="24"/>
        </w:rPr>
        <w:t xml:space="preserve"> that has rulemaking and waiver authority or such division’s, board’s, or commission’s designee.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“Originating agency”</w:t>
      </w:r>
      <w:r>
        <w:rPr>
          <w:rFonts w:ascii="Times New Roman" w:hAnsi="Times New Roman"/>
          <w:b w:val="false"/>
          <w:i w:val="false"/>
          <w:color w:val="000000"/>
          <w:sz w:val="24"/>
        </w:rPr>
        <w:t> </w:t>
      </w:r>
      <w:r>
        <w:rPr>
          <w:rFonts w:ascii="Times New Roman" w:hAnsi="Times New Roman"/>
          <w:b w:val="false"/>
          <w:i w:val="false"/>
          <w:color w:val="000000"/>
          <w:sz w:val="24"/>
        </w:rPr>
        <w:t>means any government agency that has requested the department to perform work or a service on its behalf. An originating agency retains custody of all records provided by the originating agency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“Person”</w:t>
      </w:r>
      <w:r>
        <w:rPr>
          <w:rFonts w:ascii="Times New Roman" w:hAnsi="Times New Roman"/>
          <w:b w:val="false"/>
          <w:i w:val="false"/>
          <w:color w:val="000000"/>
          <w:sz w:val="24"/>
        </w:rPr>
        <w:t> </w:t>
      </w:r>
      <w:r>
        <w:rPr>
          <w:rFonts w:ascii="Times New Roman" w:hAnsi="Times New Roman"/>
          <w:b w:val="false"/>
          <w:i w:val="false"/>
          <w:color w:val="000000"/>
          <w:sz w:val="24"/>
        </w:rPr>
        <w:t>means an individual, corporation, limited liability company, government or governmental subdivision or association, or any legal entity.</w:t>
      </w:r>
    </w:p>
    <w:p>
      <w:pPr>
        <w:spacing w:before="0" w:after="0" w:line="480"/>
        <w:ind w:left="120"/>
        <w:jc w:val="center"/>
      </w:pPr>
      <w:r>
        <w:rPr>
          <w:rFonts w:ascii="Times New Roman" w:hAnsi="Times New Roman"/>
          <w:b w:val="false"/>
          <w:i w:val="false"/>
          <w:color w:val="000000"/>
          <w:sz w:val="24"/>
        </w:rPr>
        <w:t>[Filed Emergency 6/19/26, effective 6/19/26]</w:t>
      </w:r>
    </w:p>
    <w:p>
      <w:pPr>
        <w:spacing w:before="0" w:after="0" w:line="480"/>
        <w:ind w:left="120"/>
        <w:jc w:val="center"/>
      </w:pPr>
      <w:r>
        <w:rPr>
          <w:rFonts w:ascii="Times New Roman" w:hAnsi="Times New Roman"/>
          <w:b w:val="false"/>
          <w:i w:val="false"/>
          <w:color w:val="000000"/>
          <w:sz w:val="24"/>
        </w:rPr>
        <w:t>[Published 7/22/26]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7/22/26.</w:t>
      </w:r>
    </w:p>
    <w:p>
      <w:pPr>
        <w:spacing w:before="0" w:after="0" w:line="480"/>
        <w:ind w:left="120"/>
        <w:jc w:val="left"/>
      </w:pPr>
      <w:bookmarkStart w:name="lastARC" w:id="2"/>
      <w:bookmarkEnd w:id="2"/>
    </w:p>
    <w:sectPr>
      <w:footerReference r:id="rId1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ac/chapter/7.2500.pdf" Type="http://schemas.openxmlformats.org/officeDocument/2006/relationships/hyperlink" Id="rId5"/>
    <Relationship TargetMode="External" Target="https://www.legis.iowa.gov/docs/iac/chapter/7.2506.pdf" Type="http://schemas.openxmlformats.org/officeDocument/2006/relationships/hyperlink" Id="rId6"/>
    <Relationship TargetMode="External" Target="https://www.legis.iowa.gov/docs/ico/chapter/17A.24.pdf" Type="http://schemas.openxmlformats.org/officeDocument/2006/relationships/hyperlink" Id="rId7"/>
    <Relationship TargetMode="External" Target="https://www.legis.iowa.gov/docs/iac/chapter/7.2500.pdf" Type="http://schemas.openxmlformats.org/officeDocument/2006/relationships/hyperlink" Id="rId8"/>
    <Relationship TargetMode="External" Target="https://www.legis.iowa.gov/docs/iac/chapter/7.2500.pdf" Type="http://schemas.openxmlformats.org/officeDocument/2006/relationships/hyperlink" Id="rId9"/>
    <Relationship TargetMode="External" Target="https://www.legis.iowa.gov/docs/iac/chapter/7.2501.pdf" Type="http://schemas.openxmlformats.org/officeDocument/2006/relationships/hyperlink" Id="rId10"/>
    <Relationship TargetMode="External" Target="https://www.legis.iowa.gov/docs/iac/chapter/7.2506.pdf" Type="http://schemas.openxmlformats.org/officeDocument/2006/relationships/hyperlink" Id="rId11"/>
    <Relationship TargetMode="External" Target="https://www.legis.iowa.gov/docs/ico/chapter/10A.pdf" Type="http://schemas.openxmlformats.org/officeDocument/2006/relationships/hyperlink" Id="rId12"/>
    <Relationship TargetMode="External" Target="https://www.legis.iowa.gov/docs/ico/chapter/10A.pdf" Type="http://schemas.openxmlformats.org/officeDocument/2006/relationships/hyperlink" Id="rId13"/>
    <Relationship TargetMode="External" Target="https://www.legis.iowa.gov/docs/ico/chapter/10A.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