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1D" w:id="1"/>
    <w:p>
      <w:pPr>
        <w:spacing w:before="0" w:after="0" w:line="480"/>
        <w:ind w:left="120"/>
        <w:jc w:val="right"/>
      </w:pPr>
      <w:r>
        <w:rPr>
          <w:rFonts w:ascii="Times New Roman" w:hAnsi="Times New Roman"/>
          <w:b/>
          <w:i w:val="false"/>
          <w:color w:val="000000"/>
          <w:sz w:val="28"/>
        </w:rPr>
        <w:t>ARC 0431D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raffles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100, “General Provisions for Social and Charitable Gambling,”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99B.2.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2506.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amends Chapter 100 to implement 2026 Iowa Acts, House File 2506. This allows for organizations conducting social and charitable gambling events to conduct notification to a prize winner within one year of the prize being awarded.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17,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August 11,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Amy Oetken </w:t>
            </w:r>
            <w:r>
              <w:br/>
            </w:r>
            <w:r>
              <w:rPr>
                <w:rFonts w:ascii="Times New Roman" w:hAnsi="Times New Roman"/>
                <w:b w:val="false"/>
                <w:i w:val="false"/>
                <w:color w:val="000000"/>
                <w:sz w:val="14"/>
              </w:rPr>
              <w:t xml:space="preserve">Department of Inspections, Appeals, and Licensing </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515.672.4929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amy.oetken@dia.iowa.gov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100.10(1)</w:t>
      </w:r>
      <w:r>
        <w:rPr>
          <w:rFonts w:ascii="Times New Roman" w:hAnsi="Times New Roman"/>
          <w:b w:val="false"/>
          <w:i w:val="false"/>
          <w:color w:val="000000"/>
          <w:sz w:val="24"/>
        </w:rPr>
        <w:t> </w:t>
      </w:r>
      <w:r>
        <w:rPr>
          <w:rFonts w:ascii="Times New Roman" w:hAnsi="Times New Roman"/>
          <w:b w:val="false"/>
          <w:i w:val="false"/>
          <w:color w:val="000000"/>
          <w:sz w:val="24"/>
        </w:rPr>
        <w:t>A copy of the rules for a raffle shall be available upon request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Methods of awarding a prize, including the date the prize is won;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Prices to play, including discounts;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a sufficient number of entries must be sold in order for the raffle to occur, or if an alternate prize is offered when sales of entries are insufficient.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100.16(4)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100.16(4)</w:t>
      </w:r>
      <w:r>
        <w:rPr>
          <w:rFonts w:ascii="Times New Roman" w:hAnsi="Times New Roman"/>
          <w:b w:val="false"/>
          <w:i w:val="false"/>
          <w:color w:val="000000"/>
          <w:sz w:val="24"/>
        </w:rPr>
        <w:t> </w:t>
      </w:r>
      <w:r>
        <w:rPr>
          <w:rFonts w:ascii="Times New Roman" w:hAnsi="Times New Roman"/>
          <w:b w:val="false"/>
          <w:i/>
          <w:color w:val="000000"/>
          <w:sz w:val="24"/>
        </w:rPr>
        <w:t xml:space="preserve">Winners. </w:t>
      </w:r>
      <w:r>
        <w:rPr>
          <w:rFonts w:ascii="Times New Roman" w:hAnsi="Times New Roman"/>
          <w:b w:val="false"/>
          <w:i w:val="false"/>
          <w:color w:val="000000"/>
          <w:sz w:val="24"/>
        </w:rPr>
        <w:t>The drawing of the winning entry shall be done in a manner that allows the purchasers to observe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raffle shall clearly describe the date the prize will be considered to be won. If no specific winning date is specified, the prize will be considered to be won on the date of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by which the prize shall be claimed will be no fewer than 14 days following the notification of the winner.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Notification will be considered to be as soon as practical so long as it is within one year of the prize being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prize is not claimed, the licensed QO may do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draw until a winner claims the prize. Each drawing will allow the time period specified in paragraph </w:t>
      </w:r>
      <w:hyperlink r:id="rId6">
        <w:r>
          <w:rPr>
            <w:rStyle w:val="Hyperlink"/>
            <w:rFonts w:ascii="Times New Roman" w:hAnsi="Times New Roman"/>
            <w:b w:val="false"/>
            <w:i w:val="false"/>
            <w:color w:val="000000"/>
            <w:sz w:val="24"/>
          </w:rPr>
          <w:t>100.16(4)</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claiming the prize.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Donate the unclaimed prize to another QO to be used for an educational, civic, public, charitable, patriotic, or religious use.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my.oetken@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81.100.1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