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425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0425D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REGENTS BOARD[681]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Adopted and Filed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Rulemaking related to university of Iowa organization and general rules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Board of Regents hereby rescinds Chapter 12, “University of Iowa Organization and General Rules,”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adopted under the authority provided in 2024 Iowa Acts, Senate File 2370.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chapter 17A.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Pursuant to 2024 Iowa Acts, Senate File 2370, signed into law on May 17, 2024, the requirement for State agencies to provide a description of their organization, general course and method of operations and a statement of mission in the Iowa Administrative Code was removed. Therefore, the Board is rescinding Chapter 12 in its entirety.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 and Changes to Rulemaking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Notice of Intended Action for this rulemaking was published in the Iowa Administrative Bulletin on April 1, 2026, as </w:t>
      </w:r>
      <w:r>
        <w:rPr>
          <w:rFonts w:ascii="Times New Roman" w:hAnsi="Times New Roman"/>
          <w:b/>
          <w:i w:val="false"/>
          <w:color w:val="000000"/>
          <w:sz w:val="24"/>
        </w:rPr>
        <w:t>ARC 0166D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April 28,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April 30,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one attended the public hearings. No public comments were received. No changes from the Notice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Adoption of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was adopted by the Board on June 16, 2026.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Board for a waiver of the discretionary provisions, if any, pursuant to 7—Chapter 2504.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Effective Date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will become effective on August 12, 2026.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adopted: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681—Chapter 12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[Filed 6/10/26, effective 8/12/26]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[Published 7/8/26]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EDITOR’S NOTE: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For replacement pages for IAC, see IAC Supplement 7/8/26.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committees/meetings/meetingsListComm?groupID=705&amp;ga=91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