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20D" w:id="1"/>
    <w:p>
      <w:pPr>
        <w:spacing w:before="0" w:after="0" w:line="480"/>
        <w:ind w:left="120"/>
        <w:jc w:val="right"/>
      </w:pPr>
      <w:r>
        <w:rPr>
          <w:rFonts w:ascii="Times New Roman" w:hAnsi="Times New Roman"/>
          <w:b/>
          <w:i w:val="false"/>
          <w:color w:val="000000"/>
          <w:sz w:val="28"/>
        </w:rPr>
        <w:t>ARC 0420D</w:t>
      </w:r>
    </w:p>
    <w:bookmarkEnd w:id="1"/>
    <w:p>
      <w:pPr>
        <w:pBdr>
          <w:top w:space="5"/>
        </w:pBdr>
        <w:spacing w:before="0" w:after="0" w:line="480"/>
        <w:ind w:left="120"/>
        <w:jc w:val="center"/>
      </w:pPr>
      <w:r>
        <w:rPr>
          <w:rFonts w:ascii="Times New Roman" w:hAnsi="Times New Roman"/>
          <w:b/>
          <w:i w:val="false"/>
          <w:color w:val="000000"/>
          <w:sz w:val="28"/>
        </w:rPr>
        <w:t>REGENTS BOARD[681]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the state hygienic laboratory</w:t>
      </w:r>
    </w:p>
    <w:p>
      <w:pPr>
        <w:pBdr>
          <w:top w:space="5"/>
        </w:pBdr>
        <w:spacing w:before="0" w:after="0" w:line="480"/>
        <w:ind w:left="120"/>
        <w:jc w:val="both"/>
      </w:pPr>
      <w:r>
        <w:rPr>
          <w:rFonts w:ascii="Times New Roman" w:hAnsi="Times New Roman"/>
          <w:b w:val="false"/>
          <w:i w:val="false"/>
          <w:color w:val="000000"/>
          <w:sz w:val="24"/>
        </w:rPr>
        <w:t>    The Board of Regents hereby rescinds Chapter 5, “State Hygienic Laboratory,” Iowa Administrative Code, and adopts a new Chapter 5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263.7 and 263.8.</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263.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Iowa Code chapter 263 requires rules to be adopted for the State Hygienic Laboratory for examination and investigations and authorizes the laboratory to charge fees covering transportation of samples and the costs of examinations performed. Chapter 5 describes the specimens examined; who can submit specimens for examination or investigation; and when fees will be charged, waived or deferred. </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April 1, 2026, as </w:t>
      </w:r>
      <w:r>
        <w:rPr>
          <w:rFonts w:ascii="Times New Roman" w:hAnsi="Times New Roman"/>
          <w:b/>
          <w:i w:val="false"/>
          <w:color w:val="000000"/>
          <w:sz w:val="24"/>
        </w:rPr>
        <w:t>ARC 0160D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April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April 30,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Board on June 16,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Board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August 12,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681—Chapter 5</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5</w:t>
      </w:r>
    </w:p>
    <w:p>
      <w:pPr>
        <w:spacing w:before="0" w:after="0" w:line="480"/>
        <w:ind w:left="120"/>
        <w:jc w:val="center"/>
      </w:pPr>
      <w:r>
        <w:rPr>
          <w:rFonts w:ascii="Times New Roman" w:hAnsi="Times New Roman"/>
          <w:b w:val="false"/>
          <w:i w:val="false"/>
          <w:color w:val="000000"/>
          <w:sz w:val="21"/>
        </w:rPr>
        <w:t>STATE HYGIENIC LABORATORY</w:t>
      </w:r>
    </w:p>
    <w:p>
      <w:pPr>
        <w:pBdr>
          <w:top w:space="10"/>
        </w:pBdr>
        <w:spacing w:before="0" w:after="0" w:line="480"/>
        <w:ind w:left="120"/>
        <w:jc w:val="center"/>
      </w:pPr>
      <w:r>
        <w:rPr>
          <w:rFonts w:ascii="Times New Roman" w:hAnsi="Times New Roman"/>
          <w:b w:val="false"/>
          <w:i w:val="false"/>
          <w:color w:val="000000"/>
          <w:sz w:val="16"/>
        </w:rPr>
        <w:t>GENERAL REGULATIONS</w:t>
      </w:r>
    </w:p>
    <w:p>
      <w:pPr>
        <w:spacing w:before="0" w:after="0" w:line="480"/>
        <w:ind w:left="120"/>
        <w:jc w:val="both"/>
      </w:pPr>
      <w:r>
        <w:rPr>
          <w:rFonts w:ascii="Times New Roman" w:hAnsi="Times New Roman"/>
          <w:b/>
          <w:i w:val="false"/>
          <w:color w:val="000000"/>
          <w:sz w:val="24"/>
        </w:rPr>
        <w:t>681—5.1</w:t>
      </w:r>
      <w:r>
        <w:rPr>
          <w:rFonts w:ascii="Times New Roman" w:hAnsi="Times New Roman"/>
          <w:b/>
          <w:i w:val="false"/>
          <w:color w:val="000000"/>
          <w:sz w:val="24"/>
        </w:rPr>
        <w:t xml:space="preserve">(263) </w:t>
      </w:r>
      <w:r>
        <w:rPr>
          <w:rFonts w:ascii="Times New Roman" w:hAnsi="Times New Roman"/>
          <w:b/>
          <w:i w:val="false"/>
          <w:color w:val="000000"/>
          <w:sz w:val="24"/>
        </w:rPr>
        <w:t xml:space="preserve">Scope of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5.1(1)</w:t>
      </w:r>
      <w:r>
        <w:rPr>
          <w:rFonts w:ascii="Times New Roman" w:hAnsi="Times New Roman"/>
          <w:b w:val="false"/>
          <w:i w:val="false"/>
          <w:color w:val="000000"/>
          <w:sz w:val="24"/>
        </w:rPr>
        <w:t> </w:t>
      </w:r>
      <w:r>
        <w:rPr>
          <w:rFonts w:ascii="Times New Roman" w:hAnsi="Times New Roman"/>
          <w:b w:val="false"/>
          <w:i/>
          <w:color w:val="000000"/>
          <w:sz w:val="24"/>
        </w:rPr>
        <w:t xml:space="preserve">Scientific. </w:t>
      </w:r>
      <w:r>
        <w:rPr>
          <w:rFonts w:ascii="Times New Roman" w:hAnsi="Times New Roman"/>
          <w:b w:val="false"/>
          <w:i w:val="false"/>
          <w:color w:val="000000"/>
          <w:sz w:val="24"/>
        </w:rPr>
        <w:t>The laboratory provides analytical and reference services, surveillance information, disaster and terrorism response, population data, microbiological, biological, and chemical examinations and other investigations in the areas of disease, newborn and maternal screening, fieldwork and the assessment of environmental quality.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5.1(2)</w:t>
      </w:r>
      <w:r>
        <w:rPr>
          <w:rFonts w:ascii="Times New Roman" w:hAnsi="Times New Roman"/>
          <w:b w:val="false"/>
          <w:i w:val="false"/>
          <w:color w:val="000000"/>
          <w:sz w:val="24"/>
        </w:rPr>
        <w:t> </w:t>
      </w:r>
      <w:r>
        <w:rPr>
          <w:rFonts w:ascii="Times New Roman" w:hAnsi="Times New Roman"/>
          <w:b w:val="false"/>
          <w:i/>
          <w:color w:val="000000"/>
          <w:sz w:val="24"/>
        </w:rPr>
        <w:t xml:space="preserve">Consultative. </w:t>
      </w:r>
      <w:r>
        <w:rPr>
          <w:rFonts w:ascii="Times New Roman" w:hAnsi="Times New Roman"/>
          <w:b w:val="false"/>
          <w:i w:val="false"/>
          <w:color w:val="000000"/>
          <w:sz w:val="24"/>
        </w:rPr>
        <w:t>The professional staff of the laboratory provide regulatory review, consultative assistance, and data interpretation and evaluation of environmental effects and scientific needs to persons, agencies, and organizations with interest or involvement in public and environmental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5.1(3)</w:t>
      </w:r>
      <w:r>
        <w:rPr>
          <w:rFonts w:ascii="Times New Roman" w:hAnsi="Times New Roman"/>
          <w:b w:val="false"/>
          <w:i w:val="false"/>
          <w:color w:val="000000"/>
          <w:sz w:val="24"/>
        </w:rPr>
        <w:t> </w:t>
      </w:r>
      <w:r>
        <w:rPr>
          <w:rFonts w:ascii="Times New Roman" w:hAnsi="Times New Roman"/>
          <w:b w:val="false"/>
          <w:i/>
          <w:color w:val="000000"/>
          <w:sz w:val="24"/>
        </w:rPr>
        <w:t xml:space="preserve">Education and training. </w:t>
      </w:r>
      <w:r>
        <w:rPr>
          <w:rFonts w:ascii="Times New Roman" w:hAnsi="Times New Roman"/>
          <w:b w:val="false"/>
          <w:i w:val="false"/>
          <w:color w:val="000000"/>
          <w:sz w:val="24"/>
        </w:rPr>
        <w:t>As part of the laboratory’s academic mission, staff of the laboratory provide education and training for professional colleagues, educators, students, citizens, policymakers and anyone interested in public and environmental health through appropriate educational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5.1(4)</w:t>
      </w:r>
      <w:r>
        <w:rPr>
          <w:rFonts w:ascii="Times New Roman" w:hAnsi="Times New Roman"/>
          <w:b w:val="false"/>
          <w:i w:val="false"/>
          <w:color w:val="000000"/>
          <w:sz w:val="24"/>
        </w:rPr>
        <w:t> </w:t>
      </w:r>
      <w:r>
        <w:rPr>
          <w:rFonts w:ascii="Times New Roman" w:hAnsi="Times New Roman"/>
          <w:b w:val="false"/>
          <w:i/>
          <w:color w:val="000000"/>
          <w:sz w:val="24"/>
        </w:rPr>
        <w:t xml:space="preserve">Applied research. </w:t>
      </w:r>
      <w:r>
        <w:rPr>
          <w:rFonts w:ascii="Times New Roman" w:hAnsi="Times New Roman"/>
          <w:b w:val="false"/>
          <w:i w:val="false"/>
          <w:color w:val="000000"/>
          <w:sz w:val="24"/>
        </w:rPr>
        <w:t>The laboratory conducts scientific research designed to solve practical problems and to translate basic research to improve public and environmental health.</w:t>
      </w:r>
    </w:p>
    <w:p>
      <w:pPr>
        <w:spacing w:before="0" w:after="0" w:line="480"/>
        <w:ind w:left="120"/>
        <w:jc w:val="both"/>
      </w:pPr>
      <w:r>
        <w:rPr>
          <w:rFonts w:ascii="Times New Roman" w:hAnsi="Times New Roman"/>
          <w:b/>
          <w:i w:val="false"/>
          <w:color w:val="000000"/>
          <w:sz w:val="24"/>
        </w:rPr>
        <w:t>681—5.2</w:t>
      </w:r>
      <w:r>
        <w:rPr>
          <w:rFonts w:ascii="Times New Roman" w:hAnsi="Times New Roman"/>
          <w:b/>
          <w:i w:val="false"/>
          <w:color w:val="000000"/>
          <w:sz w:val="24"/>
        </w:rPr>
        <w:t xml:space="preserve">(263) </w:t>
      </w:r>
      <w:r>
        <w:rPr>
          <w:rFonts w:ascii="Times New Roman" w:hAnsi="Times New Roman"/>
          <w:b/>
          <w:i w:val="false"/>
          <w:color w:val="000000"/>
          <w:sz w:val="24"/>
        </w:rPr>
        <w:t xml:space="preserve">Specimens examined.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5.2(1)</w:t>
      </w:r>
      <w:r>
        <w:rPr>
          <w:rFonts w:ascii="Times New Roman" w:hAnsi="Times New Roman"/>
          <w:b w:val="false"/>
          <w:i w:val="false"/>
          <w:color w:val="000000"/>
          <w:sz w:val="24"/>
        </w:rPr>
        <w:t> </w:t>
      </w:r>
      <w:r>
        <w:rPr>
          <w:rFonts w:ascii="Times New Roman" w:hAnsi="Times New Roman"/>
          <w:b w:val="false"/>
          <w:i/>
          <w:color w:val="000000"/>
          <w:sz w:val="24"/>
        </w:rPr>
        <w:t xml:space="preserve">Classification. </w:t>
      </w:r>
      <w:r>
        <w:rPr>
          <w:rFonts w:ascii="Times New Roman" w:hAnsi="Times New Roman"/>
          <w:b w:val="false"/>
          <w:i w:val="false"/>
          <w:color w:val="000000"/>
          <w:sz w:val="24"/>
        </w:rPr>
        <w:t>This being the state public health and environmental laboratory, specimens submitted to it should have a direct or probable significance that is actionable for public health, medical management, or the quality and preservation of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5.2(2)</w:t>
      </w:r>
      <w:r>
        <w:rPr>
          <w:rFonts w:ascii="Times New Roman" w:hAnsi="Times New Roman"/>
          <w:b w:val="false"/>
          <w:i w:val="false"/>
          <w:color w:val="000000"/>
          <w:sz w:val="24"/>
        </w:rPr>
        <w:t> </w:t>
      </w:r>
      <w:r>
        <w:rPr>
          <w:rFonts w:ascii="Times New Roman" w:hAnsi="Times New Roman"/>
          <w:b w:val="false"/>
          <w:i/>
          <w:color w:val="000000"/>
          <w:sz w:val="24"/>
        </w:rPr>
        <w:t xml:space="preserve">Who may submit specimens.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Licensed physicians, osteopathic physicians, and other licensed practitioners may submit specimens for the diagnosis and control of communicable or other diseases in which such tests are required by the state department of public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Veterinarians may submit animal specimens involving diseases of animals that are communicable to humans.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of health and human services may submit specimens as stated in Iowa Code section </w:t>
      </w:r>
      <w:hyperlink r:id="rId5">
        <w:r>
          <w:rPr>
            <w:rStyle w:val="Hyperlink"/>
            <w:rFonts w:ascii="Times New Roman" w:hAnsi="Times New Roman"/>
            <w:b w:val="false"/>
            <w:i w:val="false"/>
            <w:color w:val="000000"/>
            <w:sz w:val="24"/>
          </w:rPr>
          <w:t>263.8(2)</w:t>
        </w:r>
      </w:hyperlink>
      <w:r>
        <w:rPr>
          <w:rFonts w:ascii="Times New Roman" w:hAnsi="Times New Roman"/>
          <w:b w:val="false"/>
          <w:i w:val="false"/>
          <w:color w:val="000000"/>
          <w:sz w:val="24"/>
        </w:rPr>
        <w:t>. Other programs, services, and studies may be negotiated on a contractual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natural resources department may submit specimens necessary in the conduct of its fundamental responsibilities relative to municipal water supplies. Other programs, services, and studies may be negotiated on a contractual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Other state agencies, institutions, and municipalities may submit specimens, generally under a contractual arrangement if the submission is to be of a regular or routine nature.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Local departments of health may submit specimens when performing official functions of state regulatory agencies. The examination of other specimens necessary in the support of locally directed programs are provided only with prior clearance and cost negotiations.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Private individuals may submit specimens to address infectious disease or environmental concerns.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Privately owned industries and businesses may submit specimens for environmental studies by prior arrangement with the laboratory on a fee-based contractual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Public schools may submit specimens at the discretion of the school nurse, consulting physician, principal, or upon recommendations of the local department of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Any agency, organization, business or individual impacted by a natural disaster may submit specimens that require testing to ensure health and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First responders, hazmat teams, the Radiological Emergency Response Team, the 71st Civil Support Team, the FBI, the United States Postal Service and any other officially recognized law enforcement or terrorism response agency may submit samples for identification and confirmation of potential weapons of mass destruction (WMD) according to the Iowa Chemical, Biological, Radiological, Nuclear, and Explosive (CBRNE) Response Protocol.</w:t>
      </w:r>
    </w:p>
    <w:p>
      <w:pPr>
        <w:spacing w:before="0" w:after="0" w:line="480"/>
        <w:ind w:left="120"/>
        <w:jc w:val="both"/>
      </w:pPr>
      <w:r>
        <w:rPr>
          <w:rFonts w:ascii="Times New Roman" w:hAnsi="Times New Roman"/>
          <w:b/>
          <w:i w:val="false"/>
          <w:color w:val="000000"/>
          <w:sz w:val="24"/>
        </w:rPr>
        <w:t>681—5.3</w:t>
      </w:r>
      <w:r>
        <w:rPr>
          <w:rFonts w:ascii="Times New Roman" w:hAnsi="Times New Roman"/>
          <w:b/>
          <w:i w:val="false"/>
          <w:color w:val="000000"/>
          <w:sz w:val="24"/>
        </w:rPr>
        <w:t xml:space="preserve">(263) </w:t>
      </w:r>
      <w:r>
        <w:rPr>
          <w:rFonts w:ascii="Times New Roman" w:hAnsi="Times New Roman"/>
          <w:b/>
          <w:i w:val="false"/>
          <w:color w:val="000000"/>
          <w:sz w:val="24"/>
        </w:rPr>
        <w:t xml:space="preserve">Charges.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5.3(1)</w:t>
      </w:r>
      <w:r>
        <w:rPr>
          <w:rFonts w:ascii="Times New Roman" w:hAnsi="Times New Roman"/>
          <w:b w:val="false"/>
          <w:i w:val="false"/>
          <w:color w:val="000000"/>
          <w:sz w:val="24"/>
        </w:rPr>
        <w:t> </w:t>
      </w:r>
      <w:r>
        <w:rPr>
          <w:rFonts w:ascii="Times New Roman" w:hAnsi="Times New Roman"/>
          <w:b w:val="false"/>
          <w:i w:val="false"/>
          <w:color w:val="000000"/>
          <w:sz w:val="24"/>
        </w:rPr>
        <w:t>Specimens for which the fee may be waived or deferred by the laboratory: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Specimens submitted relating to diseases communicable from human to human, from animals to human, provided such examinations are required by rules of the state department of public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Specimens submitted under statutory authority by state agencies or designees of state agencies that are involved in investigations or episodes challenging the health of the public or the quality of the environment. Expenses caused by emergency testing may be eligible for subsequent reimbursement.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Any specimen when there is probable cause that a direct threat to public health exists. Such tests may qualify for subsequent reimbursement.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Specimens submitted related to the confirmation or identification of potential WMD according to the Iowa CBRNE Response Protocol.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5.3(2)</w:t>
      </w:r>
      <w:r>
        <w:rPr>
          <w:rFonts w:ascii="Times New Roman" w:hAnsi="Times New Roman"/>
          <w:b w:val="false"/>
          <w:i w:val="false"/>
          <w:color w:val="000000"/>
          <w:sz w:val="24"/>
        </w:rPr>
        <w:t> </w:t>
      </w:r>
      <w:r>
        <w:rPr>
          <w:rFonts w:ascii="Times New Roman" w:hAnsi="Times New Roman"/>
          <w:b w:val="false"/>
          <w:i w:val="false"/>
          <w:color w:val="000000"/>
          <w:sz w:val="24"/>
        </w:rPr>
        <w:t>Specimens for which fees are charged: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Specimens submitted under no statutory authority that are part of special investigations or surveillance programs and where there is no direct threat to the public health or environmental quality.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Specimens submitted for the submitter’s private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Specimens submitted by private concerns and municipalities that are product quality control measures and, therefore, a cost of doing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Specimens not covered by statute, by rules of the department of health and human services, by rules of the department of natural resources or by this subrule may be examined and charged for at rates to be determined by the laboratory subject to any limitations imposed by law.</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6">
        <w:r>
          <w:rPr>
            <w:rStyle w:val="Hyperlink"/>
            <w:rFonts w:ascii="Times New Roman" w:hAnsi="Times New Roman"/>
            <w:b w:val="false"/>
            <w:i w:val="false"/>
            <w:color w:val="000000"/>
            <w:sz w:val="24"/>
          </w:rPr>
          <w:t>263</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6/10/26, effective 8/12/26]</w:t>
      </w:r>
    </w:p>
    <w:p>
      <w:pPr>
        <w:spacing w:before="0" w:after="0" w:line="480"/>
        <w:ind w:left="120"/>
        <w:jc w:val="center"/>
      </w:pPr>
      <w:r>
        <w:rPr>
          <w:rFonts w:ascii="Times New Roman" w:hAnsi="Times New Roman"/>
          <w:b w:val="false"/>
          <w:i w:val="false"/>
          <w:color w:val="000000"/>
          <w:sz w:val="24"/>
        </w:rPr>
        <w:t>[Published 7/8/26]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7/8/26.</w:t>
      </w:r>
    </w:p>
    <w:p>
      <w:pPr>
        <w:spacing w:before="0" w:after="0" w:line="480"/>
        <w:ind w:left="120"/>
        <w:jc w:val="left"/>
      </w:pPr>
      <w:bookmarkStart w:name="lastARC" w:id="2"/>
      <w:bookmarkEnd w:id="2"/>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263.8.pdf" Type="http://schemas.openxmlformats.org/officeDocument/2006/relationships/hyperlink" Id="rId5"/>
    <Relationship TargetMode="External" Target="https://www.legis.iowa.gov/docs/ico/chapter/26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