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6D" w:id="1"/>
    <w:p>
      <w:pPr>
        <w:spacing w:before="0" w:after="0" w:line="480"/>
        <w:ind w:left="120"/>
        <w:jc w:val="right"/>
      </w:pPr>
      <w:r>
        <w:rPr>
          <w:rFonts w:ascii="Times New Roman" w:hAnsi="Times New Roman"/>
          <w:b/>
          <w:i w:val="false"/>
          <w:color w:val="000000"/>
          <w:sz w:val="28"/>
        </w:rPr>
        <w:t>ARC 0416D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retail sales of pseudoephedrine</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174, “Retail Sales of Pseudoephedrine,” Iowa Administrative Code, and adopts a new Chapter 174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124.212B.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124.212A and 124.212B.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rescinds Chapter 174 and adopts a new chapter in lieu of. The purpose of this chapter is to outline the use of electronic logbooks that track retail sales of pseudoephedrine as required by Iowa Code section 124.212A. This chapter also provides reporting requirements for assessment of civil penalties upon a retailer or employee of a retailer of products containing pseudoephedrine for a violation of Iowa Code section 126.23A or 124.212A.</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0227D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20,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174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174</w:t>
      </w:r>
    </w:p>
    <w:p>
      <w:pPr>
        <w:spacing w:before="0" w:after="0" w:line="480"/>
        <w:ind w:left="120"/>
        <w:jc w:val="center"/>
      </w:pPr>
      <w:r>
        <w:rPr>
          <w:rFonts w:ascii="Times New Roman" w:hAnsi="Times New Roman"/>
          <w:b w:val="false"/>
          <w:i w:val="false"/>
          <w:color w:val="000000"/>
          <w:sz w:val="21"/>
        </w:rPr>
        <w:t>RETAIL SALES OF PSEUDOEPHEDRINE</w:t>
      </w:r>
    </w:p>
    <w:p>
      <w:pPr>
        <w:spacing w:before="0" w:after="0" w:line="480"/>
        <w:ind w:left="120"/>
        <w:jc w:val="both"/>
      </w:pPr>
      <w:r>
        <w:rPr>
          <w:rFonts w:ascii="Times New Roman" w:hAnsi="Times New Roman"/>
          <w:b/>
          <w:i w:val="false"/>
          <w:color w:val="000000"/>
          <w:sz w:val="24"/>
        </w:rPr>
        <w:t>661—174.1</w:t>
      </w:r>
      <w:r>
        <w:rPr>
          <w:rFonts w:ascii="Times New Roman" w:hAnsi="Times New Roman"/>
          <w:b/>
          <w:i w:val="false"/>
          <w:color w:val="000000"/>
          <w:sz w:val="24"/>
        </w:rPr>
        <w:t xml:space="preserve">(81GA,SF169) </w:t>
      </w:r>
      <w:r>
        <w:rPr>
          <w:rFonts w:ascii="Times New Roman" w:hAnsi="Times New Roman"/>
          <w:b/>
          <w:i w:val="false"/>
          <w:color w:val="000000"/>
          <w:sz w:val="24"/>
        </w:rPr>
        <w:t xml:space="preserve">Electronic logbooks. </w:t>
      </w:r>
      <w:r>
        <w:rPr>
          <w:rFonts w:ascii="Times New Roman" w:hAnsi="Times New Roman"/>
          <w:b w:val="false"/>
          <w:i w:val="false"/>
          <w:color w:val="000000"/>
          <w:sz w:val="24"/>
        </w:rPr>
        <w:t xml:space="preserve">A logbook of retail sales of products containing pseudoephedrine, as required in Iowa Code section </w:t>
      </w:r>
      <w:hyperlink r:id="rId5">
        <w:r>
          <w:rPr>
            <w:rStyle w:val="Hyperlink"/>
            <w:rFonts w:ascii="Times New Roman" w:hAnsi="Times New Roman"/>
            <w:b w:val="false"/>
            <w:i w:val="false"/>
            <w:color w:val="000000"/>
            <w:sz w:val="24"/>
          </w:rPr>
          <w:t>124.212A</w:t>
        </w:r>
      </w:hyperlink>
      <w:r>
        <w:rPr>
          <w:rFonts w:ascii="Times New Roman" w:hAnsi="Times New Roman"/>
          <w:b w:val="false"/>
          <w:i w:val="false"/>
          <w:color w:val="000000"/>
          <w:sz w:val="24"/>
        </w:rPr>
        <w:t>, may be recorded in any electronic format, provided that the retailer maintaining the logbook provides to any peace officer a printed copy of the information required to be maintained in the same manner as would be provided if the logbook were maintained on paper.</w:t>
      </w:r>
    </w:p>
    <w:p>
      <w:pPr>
        <w:spacing w:before="0" w:after="0" w:line="480"/>
        <w:ind w:left="120"/>
        <w:jc w:val="both"/>
      </w:pPr>
      <w:r>
        <w:rPr>
          <w:rFonts w:ascii="Times New Roman" w:hAnsi="Times New Roman"/>
          <w:b w:val="false"/>
          <w:i w:val="false"/>
          <w:color w:val="000000"/>
          <w:sz w:val="24"/>
        </w:rPr>
        <w:t>NOTE 1:</w:t>
      </w:r>
      <w:r>
        <w:rPr>
          <w:rFonts w:ascii="Times New Roman" w:hAnsi="Times New Roman"/>
          <w:b w:val="false"/>
          <w:i w:val="false"/>
          <w:color w:val="000000"/>
          <w:sz w:val="24"/>
        </w:rPr>
        <w:t xml:space="preserve"> Information required to be recorded in the logbook includes the legible signature of the purchaser and the printed name and address of the purchaser.</w:t>
      </w:r>
    </w:p>
    <w:p>
      <w:pPr>
        <w:spacing w:before="0" w:after="0" w:line="480"/>
        <w:ind w:left="120"/>
        <w:jc w:val="both"/>
      </w:pPr>
      <w:r>
        <w:rPr>
          <w:rFonts w:ascii="Times New Roman" w:hAnsi="Times New Roman"/>
          <w:b w:val="false"/>
          <w:i w:val="false"/>
          <w:color w:val="000000"/>
          <w:sz w:val="24"/>
        </w:rPr>
        <w:t>NOTE 2:</w:t>
      </w:r>
      <w:r>
        <w:rPr>
          <w:rFonts w:ascii="Times New Roman" w:hAnsi="Times New Roman"/>
          <w:b w:val="false"/>
          <w:i w:val="false"/>
          <w:color w:val="000000"/>
          <w:sz w:val="24"/>
        </w:rPr>
        <w:t xml:space="preserve"> This rule applies only to the content of the information provided to a peace officer from a logbook, not to the conditions or circumstances under which information from a logbook is provided to a peace officer.</w:t>
      </w:r>
    </w:p>
    <w:p>
      <w:pPr>
        <w:spacing w:before="0" w:after="0" w:line="480"/>
        <w:ind w:left="120"/>
        <w:jc w:val="both"/>
      </w:pPr>
      <w:r>
        <w:rPr>
          <w:rFonts w:ascii="Times New Roman" w:hAnsi="Times New Roman"/>
          <w:b/>
          <w:i w:val="false"/>
          <w:color w:val="000000"/>
          <w:sz w:val="24"/>
        </w:rPr>
        <w:t>661—174.2</w:t>
      </w:r>
      <w:r>
        <w:rPr>
          <w:rFonts w:ascii="Times New Roman" w:hAnsi="Times New Roman"/>
          <w:b/>
          <w:i w:val="false"/>
          <w:color w:val="000000"/>
          <w:sz w:val="24"/>
        </w:rPr>
        <w:t xml:space="preserve">(81GA,SF169) </w:t>
      </w:r>
      <w:r>
        <w:rPr>
          <w:rFonts w:ascii="Times New Roman" w:hAnsi="Times New Roman"/>
          <w:b/>
          <w:i w:val="false"/>
          <w:color w:val="000000"/>
          <w:sz w:val="24"/>
        </w:rPr>
        <w:t xml:space="preserve">Reporting of civil penalties. </w:t>
      </w:r>
      <w:r>
        <w:rPr>
          <w:rFonts w:ascii="Times New Roman" w:hAnsi="Times New Roman"/>
          <w:b w:val="false"/>
          <w:i w:val="false"/>
          <w:color w:val="000000"/>
          <w:sz w:val="24"/>
        </w:rPr>
        <w:t xml:space="preserve">Pursuant to Iowa Code section </w:t>
      </w:r>
      <w:hyperlink r:id="rId6">
        <w:r>
          <w:rPr>
            <w:rStyle w:val="Hyperlink"/>
            <w:rFonts w:ascii="Times New Roman" w:hAnsi="Times New Roman"/>
            <w:b w:val="false"/>
            <w:i w:val="false"/>
            <w:color w:val="000000"/>
            <w:sz w:val="24"/>
          </w:rPr>
          <w:t>126.23B</w:t>
        </w:r>
      </w:hyperlink>
      <w:r>
        <w:rPr>
          <w:rFonts w:ascii="Times New Roman" w:hAnsi="Times New Roman"/>
          <w:b w:val="false"/>
          <w:i w:val="false"/>
          <w:color w:val="000000"/>
          <w:sz w:val="24"/>
        </w:rPr>
        <w:t xml:space="preserve">, within 30 days of the assessment of a civil penalty upon a retailer or employee of a retailer of products containing pseudoephedrine for a violation of the provisions of Iowa Code section </w:t>
      </w:r>
      <w:hyperlink r:id="rId7">
        <w:r>
          <w:rPr>
            <w:rStyle w:val="Hyperlink"/>
            <w:rFonts w:ascii="Times New Roman" w:hAnsi="Times New Roman"/>
            <w:b w:val="false"/>
            <w:i w:val="false"/>
            <w:color w:val="000000"/>
            <w:sz w:val="24"/>
          </w:rPr>
          <w:t>124.212A</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00"/>
            <w:sz w:val="24"/>
          </w:rPr>
          <w:t>126.23A</w:t>
        </w:r>
      </w:hyperlink>
      <w:r>
        <w:rPr>
          <w:rFonts w:ascii="Times New Roman" w:hAnsi="Times New Roman"/>
          <w:b w:val="false"/>
          <w:i w:val="false"/>
          <w:color w:val="000000"/>
          <w:sz w:val="24"/>
        </w:rPr>
        <w:t>, the city or county that has enforced the civil penalty will report the following information to the department: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Name and address of the retailer.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Name and birth date of the employee, if the civil penalty was assessed against an employee. If the assessment was against more than one employee, the name and birth date of each employee subject to the assessment will be reported.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Date of the violation.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Description of the violation.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Amount of the civil penalty assessed.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124.212B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6/12/26,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24.212A.pdf" Type="http://schemas.openxmlformats.org/officeDocument/2006/relationships/hyperlink" Id="rId5"/>
    <Relationship TargetMode="External" Target="https://www.legis.iowa.gov/docs/ico/chapter/126.23B.pdf" Type="http://schemas.openxmlformats.org/officeDocument/2006/relationships/hyperlink" Id="rId6"/>
    <Relationship TargetMode="External" Target="https://www.legis.iowa.gov/docs/ico/chapter/124.212A.pdf" Type="http://schemas.openxmlformats.org/officeDocument/2006/relationships/hyperlink" Id="rId7"/>
    <Relationship TargetMode="External" Target="https://www.legis.iowa.gov/docs/ico/chapter/126.23A.pdf" Type="http://schemas.openxmlformats.org/officeDocument/2006/relationships/hyperlink" Id="rId8"/>
    <Relationship TargetMode="External" Target="https://www.legis.iowa.gov/docs/ico/chapter/124.212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