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2D" w:id="1"/>
    <w:p>
      <w:pPr>
        <w:spacing w:before="0" w:after="0" w:line="480"/>
        <w:ind w:left="120"/>
        <w:jc w:val="right"/>
      </w:pPr>
      <w:r>
        <w:rPr>
          <w:rFonts w:ascii="Times New Roman" w:hAnsi="Times New Roman"/>
          <w:b/>
          <w:i w:val="false"/>
          <w:color w:val="000000"/>
          <w:sz w:val="28"/>
        </w:rPr>
        <w:t>ARC 0412D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state building code</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amends Chapter 301, “State Building Code,”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103A.7 and 103A.8A.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103A.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section 103A.7(1) provides that the State Building Code Commissioner is empowered and directed to formulate, adopt, and amend or revise State Building Code rules. Pursuant to Iowa Code section 103A.7(2), the rules shall include (among other things) reasonable provisions for the conservation of energy through thermal efficiency standards for buildings intended for human occupancy and that are heated or cooled and lighting efficiency standards for buildings intended for human occupancy that are lighted. Additionally, pursuant to Iowa Code section 103A.8A, the State Building Code Commissioner shall adopt as a part of the State Building Code a requirement that new single-family or two-family residential construction shall comply with energy conservation requirements.</w:t>
      </w:r>
    </w:p>
    <w:p>
      <w:pPr>
        <w:spacing w:before="0" w:after="0" w:line="480"/>
        <w:ind w:left="120"/>
        <w:jc w:val="both"/>
      </w:pPr>
      <w:r>
        <w:rPr>
          <w:rFonts w:ascii="Times New Roman" w:hAnsi="Times New Roman"/>
          <w:b w:val="false"/>
          <w:i w:val="false"/>
          <w:color w:val="000000"/>
          <w:sz w:val="24"/>
        </w:rPr>
        <w:t>    The purpose of this rulemaking is to amend the energy conservation provisions of the State Building Code to increase the acceptable air leakage rate when simulated energy performance analysis is utilized. For a number of years, the energy conservation rules of the State Building Code have amended the adopted International Energy Conservation Code (2012 Edition) (IECC (2012)) to increase the acceptable air leakage rate when using physical testing with a blower door from three air changes per hour to four air changes per hour (in Climate Zones 3 through 8, which encompass Iowa). This amendment can currently be found in subrule 301.24(9). Note that the physical testing of air leakage rate with a blower door is a mandatory provision that must be performed on all constructed residences.</w:t>
      </w:r>
    </w:p>
    <w:p>
      <w:pPr>
        <w:spacing w:before="0" w:after="0" w:line="480"/>
        <w:ind w:left="120"/>
        <w:jc w:val="both"/>
      </w:pPr>
      <w:r>
        <w:rPr>
          <w:rFonts w:ascii="Times New Roman" w:hAnsi="Times New Roman"/>
          <w:b w:val="false"/>
          <w:i w:val="false"/>
          <w:color w:val="000000"/>
          <w:sz w:val="24"/>
        </w:rPr>
        <w:t>    To demonstrate compliance, the IECC (2012) provides a general prescriptive route and an alternative performance route, or “simulated performance alternative.” As the name suggests, this alternative is a simulated analysis using software that is conducted on proposed residential construction (i.e., before construction is completed). The simulated energy performance analysis has many fields or building components, of which air exchange rate is just one. The acceptable air leakage rate under the IECC (2012) simulated energy performance analysis is three air changes per hour, and it is not currently amended by State rules. It has come to the Department’s attention that this has created confusion within the home builder industry and with local enforcement of these provisions, with some in the field believing that the amendment to acceptable air leakage rate for physical testing also applies to the acceptable air leakage rate that is one component of the simulated energy performance analysis. To alleviate this confusion, the Department is amending IECC (2012) by State rule to allow for four air changes per hour during the simulated energy performance analysis.</w:t>
      </w:r>
    </w:p>
    <w:p>
      <w:pPr>
        <w:spacing w:before="0" w:after="0" w:line="480"/>
        <w:ind w:left="120"/>
        <w:jc w:val="both"/>
      </w:pPr>
      <w:r>
        <w:rPr>
          <w:rFonts w:ascii="Times New Roman" w:hAnsi="Times New Roman"/>
          <w:b w:val="false"/>
          <w:i w:val="false"/>
          <w:color w:val="000000"/>
          <w:sz w:val="24"/>
        </w:rPr>
        <w:t>    Additionally, this rulemaking would make the simulated energy performance analysis less restrictive, consistent with the directives of Executive Order 10 (January 10, 2023). The Department has received preclearance for this rulemaking from the Administrative Rules Coordinator pursuant to Section IV(A)(i) of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0123D</w:t>
      </w:r>
      <w:r>
        <w:rPr>
          <w:rFonts w:ascii="Times New Roman" w:hAnsi="Times New Roman"/>
          <w:b w:val="false"/>
          <w:i w:val="false"/>
          <w:color w:val="000000"/>
          <w:sz w:val="24"/>
        </w:rPr>
        <w:t xml:space="preserve">. Public hearings were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8,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The Department received written comments from the Iowa Chapter of the American Institute of Architects, with comments related to the distinction between modeling and tested results, the appropriate response to the above-noted confusion in the industry, concerns regarding potential energy performance reduction, and more. The Department fully considered these comments; however, there were no changes made based upon them.</w:t>
      </w:r>
    </w:p>
    <w:p>
      <w:pPr>
        <w:spacing w:before="0" w:after="0" w:line="480"/>
        <w:ind w:left="120"/>
        <w:jc w:val="both"/>
      </w:pPr>
      <w:r>
        <w:rPr>
          <w:rFonts w:ascii="Times New Roman" w:hAnsi="Times New Roman"/>
          <w:b w:val="false"/>
          <w:i w:val="false"/>
          <w:color w:val="000000"/>
          <w:sz w:val="24"/>
        </w:rPr>
        <w: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Commissioner on June 16, 2026. Pursuant to Iowa Code sections 103A.7(1) and 103A.14, the State Building Code Advisory Council approved adoption of this rulemaking at a June 3, 2026, public meeting.</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301.24(12)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301.24(12)</w:t>
      </w:r>
      <w:r>
        <w:rPr>
          <w:rFonts w:ascii="Times New Roman" w:hAnsi="Times New Roman"/>
          <w:b w:val="false"/>
          <w:i w:val="false"/>
          <w:color w:val="000000"/>
          <w:sz w:val="24"/>
        </w:rPr>
        <w:t> </w:t>
      </w:r>
      <w:r>
        <w:rPr>
          <w:rFonts w:ascii="Times New Roman" w:hAnsi="Times New Roman"/>
          <w:b w:val="false"/>
          <w:i w:val="false"/>
          <w:color w:val="000000"/>
          <w:sz w:val="24"/>
        </w:rPr>
        <w:t>Delete the first clause of the Standard Reference Design for Building Component “Air exchange rate” in Table R405.5.2(1) and insert in lieu thereof the following new clause: “Air leakage of 5 air changes per hour in Climate Zones 1 and 2, and 4 air changes per hour in Climate Zones 3 through 8 at a pressure of 0.2 inches w.g. (50 Pa).”</w:t>
      </w:r>
    </w:p>
    <w:p>
      <w:pPr>
        <w:spacing w:before="0" w:after="0" w:line="480"/>
        <w:ind w:left="120"/>
        <w:jc w:val="center"/>
      </w:pPr>
      <w:r>
        <w:rPr>
          <w:rFonts w:ascii="Times New Roman" w:hAnsi="Times New Roman"/>
          <w:b w:val="false"/>
          <w:i w:val="false"/>
          <w:color w:val="000000"/>
          <w:sz w:val="24"/>
        </w:rPr>
        <w:t>[Filed 6/16/26,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