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09D" w:id="1"/>
    <w:p>
      <w:pPr>
        <w:spacing w:before="0" w:after="0" w:line="480"/>
        <w:ind w:left="120"/>
        <w:jc w:val="right"/>
      </w:pPr>
      <w:r>
        <w:rPr>
          <w:rFonts w:ascii="Times New Roman" w:hAnsi="Times New Roman"/>
          <w:b/>
          <w:i w:val="false"/>
          <w:color w:val="000000"/>
          <w:sz w:val="28"/>
        </w:rPr>
        <w:t>ARC 0409D</w:t>
      </w:r>
    </w:p>
    <w:bookmarkEnd w:id="1"/>
    <w:p>
      <w:pPr>
        <w:pBdr>
          <w:top w:space="5"/>
        </w:pBdr>
        <w:spacing w:before="0" w:after="0" w:line="480"/>
        <w:ind w:left="120"/>
        <w:jc w:val="center"/>
      </w:pPr>
      <w:r>
        <w:rPr>
          <w:rFonts w:ascii="Times New Roman" w:hAnsi="Times New Roman"/>
          <w:b/>
          <w:i w:val="false"/>
          <w:color w:val="000000"/>
          <w:sz w:val="28"/>
        </w:rPr>
        <w:t>NATURAL RESOURCE COMMISSION[571]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trail cameras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proposes to amend Chapter 51, “Game Management Areas,”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455A.5(6)“a” and 481A.6.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456A.24(2)“a,” 481A.6 and 481A.39.</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proposed rulemaking defines “trail camera” and prohibits the use of trail cameras on game management areas (GMAs), except when specifically authorized by permit or when used directly by the Department of Natural Resources (Department) or its designated agents. This prohibition is consistent with the ethical hunting principle of fair chase, ensuring that a hunter does not gain an improper or unfair technological advantage over game. Furthermore, the proliferation of trail cameras has generated numerous concerns and complaints from the public. This measure will protect the recreational experience of sportsmen and sportswomen and other visitors to these wild areas.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April 29,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May 19,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This rulemaking has no fiscal impact to the State of Iowa. There are no associated compliance costs since the proposed amendments only restrict the use of a particular piece of equipment. The only costs are related to education and enforcement, and those costs will be borne by the Department.</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Commission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proposed rulemaking, which must be received by the Department no later than 4:30 p.m. on July 28, 2026. Comments should be directed to:</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Chris Ensminger </w:t>
            </w:r>
            <w:r>
              <w:br/>
            </w:r>
            <w:r>
              <w:rPr>
                <w:rFonts w:ascii="Times New Roman" w:hAnsi="Times New Roman"/>
                <w:b w:val="false"/>
                <w:i w:val="false"/>
                <w:color w:val="000000"/>
                <w:sz w:val="14"/>
              </w:rPr>
              <w:t xml:space="preserve">Iowa Department of Natural Resources </w:t>
            </w:r>
            <w:r>
              <w:br/>
            </w:r>
            <w:r>
              <w:rPr>
                <w:rFonts w:ascii="Times New Roman" w:hAnsi="Times New Roman"/>
                <w:b w:val="false"/>
                <w:i w:val="false"/>
                <w:color w:val="000000"/>
                <w:sz w:val="14"/>
              </w:rPr>
              <w:t>6200 Park Avenue, Suite 200</w:t>
            </w:r>
            <w:r>
              <w:br/>
            </w:r>
            <w:r>
              <w:rPr>
                <w:rFonts w:ascii="Times New Roman" w:hAnsi="Times New Roman"/>
                <w:b w:val="false"/>
                <w:i w:val="false"/>
                <w:color w:val="000000"/>
                <w:sz w:val="14"/>
              </w:rPr>
              <w:t xml:space="preserve">Des Moines, Iowa 50321 </w:t>
            </w:r>
            <w:r>
              <w:br/>
            </w:r>
            <w:r>
              <w:rPr>
                <w:rFonts w:ascii="Times New Roman" w:hAnsi="Times New Roman"/>
                <w:b w:val="false"/>
                <w:i w:val="false"/>
                <w:color w:val="000000"/>
                <w:sz w:val="14"/>
              </w:rPr>
              <w:t>Phone: 515.250.6886</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chris.ensminger@dnr.iowa.gov</w:t>
              </w:r>
            </w:hyperlink>
          </w:p>
        </w:tc>
      </w:tr>
    </w:tbl>
    <w:p>
      <w:pPr>
        <w:pBdr>
          <w:top w:space="5"/>
        </w:pBdr>
        <w:spacing w:before="0" w:after="0" w:line="480"/>
        <w:ind w:left="120"/>
        <w:jc w:val="both"/>
      </w:pPr>
      <w:r>
        <w:rPr>
          <w:rFonts w:ascii="Times New Roman" w:hAnsi="Times New Roman"/>
          <w:b w:val="false"/>
          <w:i w:val="false"/>
          <w:color w:val="000000"/>
          <w:sz w:val="24"/>
        </w:rPr>
        <w:t xml:space="preserve">    Free language assistance: If you speak a non-English language, the Department offers language assistance services free of charge. Contact the Department at </w:t>
      </w:r>
      <w:hyperlink r:id="rId5">
        <w:r>
          <w:rPr>
            <w:rStyle w:val="Hyperlink"/>
            <w:rFonts w:ascii="Times New Roman" w:hAnsi="Times New Roman"/>
            <w:b w:val="false"/>
            <w:i w:val="false"/>
            <w:color w:val="0000ff"/>
            <w:sz w:val="24"/>
          </w:rPr>
          <w:t>chris.ensminger@dnr.iowa.gov</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    Servicios gratuitos de asistencia lingüística: Si habla un idioma que no sea el inglés, los servicios de asistencia lingüística están disponibles de forma gratuita. Comuníquese con el Departamento al </w:t>
      </w:r>
      <w:hyperlink r:id="rId6">
        <w:r>
          <w:rPr>
            <w:rStyle w:val="Hyperlink"/>
            <w:rFonts w:ascii="Times New Roman" w:hAnsi="Times New Roman"/>
            <w:b w:val="false"/>
            <w:i w:val="false"/>
            <w:color w:val="0000ff"/>
            <w:sz w:val="24"/>
          </w:rPr>
          <w:t>chris.ensminger@dnr.iowa.gov</w:t>
        </w:r>
      </w:hyperlink>
      <w:r>
        <w:rPr>
          <w:rFonts w:ascii="Times New Roman" w:hAnsi="Times New Roman"/>
          <w:b w:val="false"/>
          <w:i w:val="false"/>
          <w:color w:val="000000"/>
          <w:sz w:val="24"/>
        </w:rPr>
        <w:t>.</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28, 2026</w:t>
            </w:r>
            <w:r>
              <w:br/>
            </w:r>
            <w:r>
              <w:rPr>
                <w:rFonts w:ascii="Times New Roman" w:hAnsi="Times New Roman"/>
                <w:b w:val="false"/>
                <w:i w:val="false"/>
                <w:color w:val="000000"/>
                <w:sz w:val="14"/>
              </w:rPr>
              <w:t xml:space="preserve"> 1 to 2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Suite 200</w:t>
            </w:r>
            <w:r>
              <w:br/>
            </w:r>
            <w:r>
              <w:rPr>
                <w:rFonts w:ascii="Times New Roman" w:hAnsi="Times New Roman"/>
                <w:b w:val="false"/>
                <w:i w:val="false"/>
                <w:color w:val="000000"/>
                <w:sz w:val="14"/>
              </w:rPr>
              <w:t xml:space="preserve"> 6200 Park Avenue</w:t>
            </w:r>
            <w:r>
              <w:br/>
            </w:r>
            <w:r>
              <w:rPr>
                <w:rFonts w:ascii="Times New Roman" w:hAnsi="Times New Roman"/>
                <w:b w:val="false"/>
                <w:i w:val="false"/>
                <w:color w:val="000000"/>
                <w:sz w:val="14"/>
              </w:rPr>
              <w:t xml:space="preserve"> Des Moines, Iowa</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Any persons who intend to attend the hearing and have special requirements, such as those related to hearing or mobility impairments, should contact the Department and advise of specific needs.</w:t>
      </w:r>
    </w:p>
    <w:p>
      <w:pPr>
        <w:spacing w:before="0" w:after="0" w:line="480"/>
        <w:ind w:left="120"/>
        <w:jc w:val="both"/>
      </w:pPr>
      <w:r>
        <w:rPr>
          <w:rFonts w:ascii="Times New Roman" w:hAnsi="Times New Roman"/>
          <w:b w:val="false"/>
          <w:i w:val="false"/>
          <w:color w:val="000000"/>
          <w:sz w:val="24"/>
        </w:rPr>
        <w:t xml:space="preserve">    Free language assistance: If you need assistance in a language other than English, contact the Department at </w:t>
      </w:r>
      <w:hyperlink r:id="rId7">
        <w:r>
          <w:rPr>
            <w:rStyle w:val="Hyperlink"/>
            <w:rFonts w:ascii="Times New Roman" w:hAnsi="Times New Roman"/>
            <w:b w:val="false"/>
            <w:i w:val="false"/>
            <w:color w:val="0000ff"/>
            <w:sz w:val="24"/>
          </w:rPr>
          <w:t>chris.ensminger@dnr.iowa.gov</w:t>
        </w:r>
      </w:hyperlink>
      <w:r>
        <w:rPr>
          <w:rFonts w:ascii="Times New Roman" w:hAnsi="Times New Roman"/>
          <w:b w:val="false"/>
          <w:i w:val="false"/>
          <w:color w:val="000000"/>
          <w:sz w:val="24"/>
        </w:rPr>
        <w:t xml:space="preserve"> or </w:t>
      </w:r>
      <w:hyperlink r:id="rId8">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or by telephone at 515.210.3408 at least seven days before the event.</w:t>
      </w:r>
    </w:p>
    <w:p>
      <w:pPr>
        <w:spacing w:before="0" w:after="0" w:line="480"/>
        <w:ind w:left="120"/>
        <w:jc w:val="both"/>
      </w:pPr>
      <w:r>
        <w:rPr>
          <w:rFonts w:ascii="Times New Roman" w:hAnsi="Times New Roman"/>
          <w:b w:val="false"/>
          <w:i w:val="false"/>
          <w:color w:val="000000"/>
          <w:sz w:val="24"/>
        </w:rPr>
        <w:t xml:space="preserve">    Asistencia lingüística gratuita: Si necesita ayuda en un idioma que no sea inglés, comuníquese con el Departamento al </w:t>
      </w:r>
      <w:hyperlink r:id="rId9">
        <w:r>
          <w:rPr>
            <w:rStyle w:val="Hyperlink"/>
            <w:rFonts w:ascii="Times New Roman" w:hAnsi="Times New Roman"/>
            <w:b w:val="false"/>
            <w:i w:val="false"/>
            <w:color w:val="0000ff"/>
            <w:sz w:val="24"/>
          </w:rPr>
          <w:t>chris.ensminger@dnr.iowa.gov</w:t>
        </w:r>
      </w:hyperlink>
      <w:r>
        <w:rPr>
          <w:rFonts w:ascii="Times New Roman" w:hAnsi="Times New Roman"/>
          <w:b w:val="false"/>
          <w:i w:val="false"/>
          <w:color w:val="000000"/>
          <w:sz w:val="24"/>
        </w:rPr>
        <w:t xml:space="preserve"> o </w:t>
      </w:r>
      <w:hyperlink r:id="rId10">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 por teléfono a 515.210.3408 al menos siete días antes del evento.</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11">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“Trail camera”</w:t>
      </w:r>
      <w:r>
        <w:rPr>
          <w:rFonts w:ascii="Times New Roman" w:hAnsi="Times New Roman"/>
          <w:b w:val="false"/>
          <w:i w:val="false"/>
          <w:color w:val="000000"/>
          <w:sz w:val="24"/>
        </w:rPr>
        <w:t xml:space="preserve"> in rule </w:t>
      </w:r>
      <w:r>
        <w:rPr>
          <w:rFonts w:ascii="Times New Roman" w:hAnsi="Times New Roman"/>
          <w:b/>
          <w:i w:val="false"/>
          <w:color w:val="000000"/>
          <w:sz w:val="24"/>
        </w:rPr>
        <w:t>571—51.1(481A)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“Trail camera”</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“game camera”</w:t>
      </w:r>
      <w:r>
        <w:rPr>
          <w:rFonts w:ascii="Times New Roman" w:hAnsi="Times New Roman"/>
          <w:b w:val="false"/>
          <w:i w:val="false"/>
          <w:color w:val="000000"/>
          <w:sz w:val="24"/>
        </w:rPr>
        <w:t> </w:t>
      </w:r>
      <w:r>
        <w:rPr>
          <w:rFonts w:ascii="Times New Roman" w:hAnsi="Times New Roman"/>
          <w:b w:val="false"/>
          <w:i w:val="false"/>
          <w:color w:val="000000"/>
          <w:sz w:val="24"/>
        </w:rPr>
        <w:t>means any remote motion-activated or infrared camera in which the shutter is activated by sound triggers, proximity sensation, radio transmitters, or a self-timer built into the trail or game camera.</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571—51.6(481A)</w:t>
      </w:r>
      <w:r>
        <w:rPr>
          <w:rFonts w:ascii="Times New Roman" w:hAnsi="Times New Roman"/>
          <w:b w:val="false"/>
          <w:i w:val="false"/>
          <w:color w:val="000000"/>
          <w:sz w:val="24"/>
        </w:rPr>
        <w:t>, catchwords</w:t>
      </w:r>
      <w:r>
        <w:rPr>
          <w:rFonts w:ascii="Times New Roman" w:hAnsi="Times New Roman"/>
          <w:b w:val="false"/>
          <w:i w:val="false"/>
          <w:color w:val="000000"/>
          <w:sz w:val="24"/>
        </w:rPr>
        <w:t>, as follows:</w:t>
      </w:r>
    </w:p>
    <w:p>
      <w:pPr>
        <w:spacing w:before="210" w:after="0" w:line="480"/>
        <w:ind w:left="120"/>
        <w:jc w:val="both"/>
      </w:pPr>
      <w:r>
        <w:rPr>
          <w:rFonts w:ascii="Times New Roman" w:hAnsi="Times New Roman"/>
          <w:b/>
          <w:i w:val="false"/>
          <w:color w:val="000000"/>
          <w:sz w:val="24"/>
        </w:rPr>
        <w:t>571—51.6</w:t>
      </w:r>
      <w:r>
        <w:rPr>
          <w:rFonts w:ascii="Times New Roman" w:hAnsi="Times New Roman"/>
          <w:b/>
          <w:i w:val="false"/>
          <w:color w:val="000000"/>
          <w:sz w:val="24"/>
        </w:rPr>
        <w:t xml:space="preserve">(481A) </w:t>
      </w:r>
      <w:r>
        <w:rPr>
          <w:rFonts w:ascii="Times New Roman" w:hAnsi="Times New Roman"/>
          <w:b/>
          <w:i w:val="false"/>
          <w:color w:val="000000"/>
          <w:sz w:val="24"/>
        </w:rPr>
        <w:t>Use of blinds</w:t>
      </w:r>
      <w:r>
        <w:rPr>
          <w:rFonts w:ascii="Times New Roman" w:hAnsi="Times New Roman"/>
          <w:b/>
          <w:i w:val="false"/>
          <w:color w:val="000000"/>
          <w:sz w:val="24"/>
          <w:u w:val="single"/>
        </w:rPr>
        <w:t>,</w:t>
      </w:r>
      <w:r>
        <w:rPr>
          <w:rFonts w:ascii="Times New Roman" w:hAnsi="Times New Roman"/>
          <w:b/>
          <w:i w:val="false"/>
          <w:color w:val="000000"/>
          <w:sz w:val="24"/>
          <w:u w:val="single"/>
        </w:rPr>
        <w:t> </w:t>
      </w:r>
      <w:r>
        <w:rPr>
          <w:rFonts w:ascii="Times New Roman" w:hAnsi="Times New Roman"/>
          <w:b/>
          <w:i w:val="false"/>
          <w:strike/>
          <w:color w:val="000000"/>
          <w:sz w:val="24"/>
        </w:rPr>
        <w:t>and</w:t>
      </w:r>
      <w:r>
        <w:rPr>
          <w:rFonts w:ascii="Times New Roman" w:hAnsi="Times New Roman"/>
          <w:b/>
          <w:i w:val="false"/>
          <w:color w:val="000000"/>
          <w:sz w:val="24"/>
        </w:rPr>
        <w:t xml:space="preserve"> decoys</w:t>
      </w:r>
      <w:r>
        <w:rPr>
          <w:rFonts w:ascii="Times New Roman" w:hAnsi="Times New Roman"/>
          <w:b/>
          <w:i w:val="false"/>
          <w:color w:val="000000"/>
          <w:sz w:val="24"/>
          <w:u w:val="single"/>
        </w:rPr>
        <w:t>, and trail cameras</w:t>
      </w:r>
      <w:r>
        <w:rPr>
          <w:rFonts w:ascii="Times New Roman" w:hAnsi="Times New Roman"/>
          <w:b/>
          <w:i w:val="false"/>
          <w:color w:val="000000"/>
          <w:sz w:val="24"/>
        </w:rPr>
        <w:t xml:space="preserve"> on game management areas. </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51.6(5)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51.6(5)</w:t>
      </w:r>
      <w:r>
        <w:rPr>
          <w:rFonts w:ascii="Times New Roman" w:hAnsi="Times New Roman"/>
          <w:b w:val="false"/>
          <w:i w:val="false"/>
          <w:color w:val="000000"/>
          <w:sz w:val="24"/>
        </w:rPr>
        <w:t> </w:t>
      </w:r>
      <w:r>
        <w:rPr>
          <w:rFonts w:ascii="Times New Roman" w:hAnsi="Times New Roman"/>
          <w:b w:val="false"/>
          <w:i/>
          <w:color w:val="000000"/>
          <w:sz w:val="24"/>
        </w:rPr>
        <w:t xml:space="preserve">Trail cameras. </w:t>
      </w:r>
      <w:r>
        <w:rPr>
          <w:rFonts w:ascii="Times New Roman" w:hAnsi="Times New Roman"/>
          <w:b w:val="false"/>
          <w:i w:val="false"/>
          <w:color w:val="000000"/>
          <w:sz w:val="24"/>
        </w:rPr>
        <w:t>Trail cameras are prohibited on game management areas unless specifically authorized by permit or when used directly by the department or its designated agents.</w:t>
      </w:r>
    </w:p>
    <w:p>
      <w:pPr>
        <w:spacing w:before="0" w:after="0" w:line="480"/>
        <w:ind w:left="120"/>
        <w:jc w:val="left"/>
      </w:pPr>
      <w:bookmarkStart w:name="lastARC" w:id="2"/>
      <w:bookmarkEnd w:id="2"/>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hris.ensminger@dnr.iowa.gov" Type="http://schemas.openxmlformats.org/officeDocument/2006/relationships/hyperlink" Id="rId4"/>
    <Relationship TargetMode="External" Target="mailto:chris.ensminger@dnr.iowa.gov" Type="http://schemas.openxmlformats.org/officeDocument/2006/relationships/hyperlink" Id="rId5"/>
    <Relationship TargetMode="External" Target="mailto:chris.ensminger@dnr.iowa.gov" Type="http://schemas.openxmlformats.org/officeDocument/2006/relationships/hyperlink" Id="rId6"/>
    <Relationship TargetMode="External" Target="mailto:chris.ensminger@dnr.iowa.gov" Type="http://schemas.openxmlformats.org/officeDocument/2006/relationships/hyperlink" Id="rId7"/>
    <Relationship TargetMode="External" Target="mailto:civilrights@dnr.iowa.gov" Type="http://schemas.openxmlformats.org/officeDocument/2006/relationships/hyperlink" Id="rId8"/>
    <Relationship TargetMode="External" Target="mailto:chris.ensminger@dnr.iowa.gov" Type="http://schemas.openxmlformats.org/officeDocument/2006/relationships/hyperlink" Id="rId9"/>
    <Relationship TargetMode="External" Target="mailto:civilrights@dnr.iowa.gov" Type="http://schemas.openxmlformats.org/officeDocument/2006/relationships/hyperlink" Id="rId10"/>
    <Relationship TargetMode="External" Target="https://www.legis.iowa.gov/committees/meetings/meetingsListComm?groupID=705&amp;ga=91"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