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5D" w:id="1"/>
    <w:p>
      <w:pPr>
        <w:spacing w:before="0" w:after="0" w:line="480"/>
        <w:ind w:left="120"/>
        <w:jc w:val="right"/>
      </w:pPr>
      <w:r>
        <w:rPr>
          <w:rFonts w:ascii="Times New Roman" w:hAnsi="Times New Roman"/>
          <w:b/>
          <w:i w:val="false"/>
          <w:color w:val="000000"/>
          <w:sz w:val="28"/>
        </w:rPr>
        <w:t>ARC 0405D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 before the plumbing and mechanical systems board</w:t>
      </w:r>
    </w:p>
    <w:p>
      <w:pPr>
        <w:pBdr>
          <w:top w:space="5"/>
        </w:pBdr>
        <w:spacing w:before="0" w:after="0" w:line="480"/>
        <w:ind w:left="120"/>
        <w:jc w:val="both"/>
      </w:pPr>
      <w:r>
        <w:rPr>
          <w:rFonts w:ascii="Times New Roman" w:hAnsi="Times New Roman"/>
          <w:b w:val="false"/>
          <w:i w:val="false"/>
          <w:color w:val="000000"/>
          <w:sz w:val="24"/>
        </w:rPr>
        <w:t xml:space="preserve">    The Department of Inspections, Appeals, and Licensing hereby amends Chapter 427, “Plumbing and Mechanical Systems Board—Administrative and Regulatory Authority,”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105.4.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2026 Iowa Acts, Senate File 2463, section 5, subsection (2)“b,” this rulemaking has been determined to be necessary to enhance procedures related to contested cases before the Plumbing and Mechanical Systems Board. This rulemaking supplements the Uniform Rules on Agency Procedure in a way that assists both licensees and the Board and modifies the Board’s administrative and regulatory authority rules to supplement the agency’s uniform rules on contested case provisions found in 481—Chapter 506.</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Department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June 30, 2026, because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19,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0406D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in an amount requiring a fiscal impact statement pursuant to Iowa Code section 17A.4(4).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481—427.6</w:t>
      </w:r>
      <w:r>
        <w:rPr>
          <w:rFonts w:ascii="Times New Roman" w:hAnsi="Times New Roman"/>
          <w:b w:val="false"/>
          <w:i w:val="false"/>
          <w:color w:val="000000"/>
          <w:sz w:val="24"/>
        </w:rPr>
        <w:t>(17A):</w:t>
      </w:r>
    </w:p>
    <w:p>
      <w:pPr>
        <w:spacing w:before="210" w:after="0" w:line="480"/>
        <w:ind w:left="120"/>
        <w:jc w:val="both"/>
      </w:pPr>
      <w:r>
        <w:rPr>
          <w:rFonts w:ascii="Times New Roman" w:hAnsi="Times New Roman"/>
          <w:b/>
          <w:i w:val="false"/>
          <w:color w:val="000000"/>
          <w:sz w:val="24"/>
        </w:rPr>
        <w:t>481—427.6</w:t>
      </w:r>
      <w:r>
        <w:rPr>
          <w:rFonts w:ascii="Times New Roman" w:hAnsi="Times New Roman"/>
          <w:b/>
          <w:i w:val="false"/>
          <w:color w:val="000000"/>
          <w:sz w:val="24"/>
        </w:rPr>
        <w:t xml:space="preserve">(17A) </w:t>
      </w:r>
      <w:r>
        <w:rPr>
          <w:rFonts w:ascii="Times New Roman" w:hAnsi="Times New Roman"/>
          <w:b/>
          <w:i w:val="false"/>
          <w:color w:val="000000"/>
          <w:sz w:val="24"/>
        </w:rPr>
        <w:t xml:space="preserve">Contested cases. </w:t>
      </w:r>
      <w:r>
        <w:rPr>
          <w:rFonts w:ascii="Times New Roman" w:hAnsi="Times New Roman"/>
          <w:b w:val="false"/>
          <w:i w:val="false"/>
          <w:color w:val="000000"/>
          <w:sz w:val="24"/>
        </w:rPr>
        <w:t xml:space="preserve">Contested cases are governed by </w:t>
      </w:r>
      <w:hyperlink r:id="rId5">
        <w:r>
          <w:rPr>
            <w:rStyle w:val="Hyperlink"/>
            <w:rFonts w:ascii="Times New Roman" w:hAnsi="Times New Roman"/>
            <w:b w:val="false"/>
            <w:i w:val="false"/>
            <w:color w:val="000000"/>
            <w:sz w:val="24"/>
          </w:rPr>
          <w:t>481—Chapter 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481—427.7</w:t>
      </w:r>
      <w:r>
        <w:rPr>
          <w:rFonts w:ascii="Times New Roman" w:hAnsi="Times New Roman"/>
          <w:b w:val="false"/>
          <w:i w:val="false"/>
          <w:color w:val="000000"/>
          <w:sz w:val="24"/>
        </w:rPr>
        <w:t>(17A):</w:t>
      </w:r>
    </w:p>
    <w:p>
      <w:pPr>
        <w:spacing w:before="0" w:after="0" w:line="480"/>
        <w:ind w:left="120"/>
        <w:jc w:val="both"/>
      </w:pPr>
      <w:r>
        <w:rPr>
          <w:rFonts w:ascii="Times New Roman" w:hAnsi="Times New Roman"/>
          <w:b/>
          <w:i w:val="false"/>
          <w:color w:val="000000"/>
          <w:sz w:val="24"/>
        </w:rPr>
        <w:t>481—427.7</w:t>
      </w:r>
      <w:r>
        <w:rPr>
          <w:rFonts w:ascii="Times New Roman" w:hAnsi="Times New Roman"/>
          <w:b/>
          <w:i w:val="false"/>
          <w:color w:val="000000"/>
          <w:sz w:val="24"/>
        </w:rPr>
        <w:t xml:space="preserve">(17A) </w:t>
      </w:r>
      <w:r>
        <w:rPr>
          <w:rFonts w:ascii="Times New Roman" w:hAnsi="Times New Roman"/>
          <w:b/>
          <w:i w:val="false"/>
          <w:color w:val="000000"/>
          <w:sz w:val="24"/>
        </w:rPr>
        <w:t xml:space="preserve">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427.7(1)</w:t>
      </w:r>
      <w:r>
        <w:rPr>
          <w:rFonts w:ascii="Times New Roman" w:hAnsi="Times New Roman"/>
          <w:b w:val="false"/>
          <w:i w:val="false"/>
          <w:color w:val="000000"/>
          <w:sz w:val="24"/>
        </w:rPr>
        <w:t> </w:t>
      </w:r>
      <w:r>
        <w:rPr>
          <w:rFonts w:ascii="Times New Roman" w:hAnsi="Times New Roman"/>
          <w:b w:val="false"/>
          <w:i/>
          <w:color w:val="000000"/>
          <w:sz w:val="24"/>
        </w:rPr>
        <w:t xml:space="preserve">Final decisions. </w:t>
      </w:r>
      <w:r>
        <w:rPr>
          <w:rFonts w:ascii="Times New Roman" w:hAnsi="Times New Roman"/>
          <w:b w:val="false"/>
          <w:i w:val="false"/>
          <w:color w:val="000000"/>
          <w:sz w:val="24"/>
        </w:rPr>
        <w:t xml:space="preserve">When a quorum of the board presides over the reception of evidence at a hearing, its decision is a final decision. A majority of the members constitutes a quorum. Final decisions will be served on the parties in accordance with 481—subrule </w:t>
      </w:r>
      <w:hyperlink r:id="rId6">
        <w:r>
          <w:rPr>
            <w:rStyle w:val="Hyperlink"/>
            <w:rFonts w:ascii="Times New Roman" w:hAnsi="Times New Roman"/>
            <w:b w:val="false"/>
            <w:i w:val="false"/>
            <w:color w:val="000000"/>
            <w:sz w:val="24"/>
          </w:rPr>
          <w:t>506.13(2)</w:t>
        </w:r>
      </w:hyperlink>
      <w:r>
        <w:rPr>
          <w:rFonts w:ascii="Times New Roman" w:hAnsi="Times New Roman"/>
          <w:b w:val="false"/>
          <w:i w:val="false"/>
          <w:color w:val="000000"/>
          <w:sz w:val="24"/>
        </w:rPr>
        <w:t xml:space="preserve">. Final decisions of the board, including consent agreements and consent orders, are public documents pursuant to Iowa Code chapter </w:t>
      </w:r>
      <w:hyperlink r:id="rId7">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427.7(2)</w:t>
      </w:r>
      <w:r>
        <w:rPr>
          <w:rFonts w:ascii="Times New Roman" w:hAnsi="Times New Roman"/>
          <w:b w:val="false"/>
          <w:i w:val="false"/>
          <w:color w:val="000000"/>
          <w:sz w:val="24"/>
        </w:rPr>
        <w:t> </w:t>
      </w:r>
      <w:r>
        <w:rPr>
          <w:rFonts w:ascii="Times New Roman" w:hAnsi="Times New Roman"/>
          <w:b w:val="false"/>
          <w:i/>
          <w:color w:val="000000"/>
          <w:sz w:val="24"/>
        </w:rPr>
        <w:t xml:space="preserve">Proposed panel 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Panel of specialists. </w:t>
      </w:r>
      <w:r>
        <w:rPr>
          <w:rFonts w:ascii="Times New Roman" w:hAnsi="Times New Roman"/>
          <w:b w:val="false"/>
          <w:i w:val="false"/>
          <w:color w:val="000000"/>
          <w:sz w:val="24"/>
        </w:rPr>
        <w:t>When a panel of three specialists presides over the hearing, the panel will issue a proposed decision that will include findings of fact but will not include conclusions of law or any recommendation for or against the discipline for a licensee. A proposed decision of a panel of specialists, together with a transcript of the proceedings and the exhibits presented, will be reviewed by the board within 30 days of the date the proposed decision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Panel of board members. </w:t>
      </w:r>
      <w:r>
        <w:rPr>
          <w:rFonts w:ascii="Times New Roman" w:hAnsi="Times New Roman"/>
          <w:b w:val="false"/>
          <w:i w:val="false"/>
          <w:color w:val="000000"/>
          <w:sz w:val="24"/>
        </w:rPr>
        <w:t xml:space="preserve">When a panel of three or more board members presides over the hearing, the panel will issue a proposed decision that will include proposed findings of fact, conclusions of law, and the order. A proposed panel decision will be reviewed by the board within 30 days of the date the proposed panel decision was issued. A proposed panel decision becomes a final decision without further proceedings unless appealed in accordance with paragraph </w:t>
      </w:r>
      <w:hyperlink r:id="rId8">
        <w:r>
          <w:rPr>
            <w:rStyle w:val="Hyperlink"/>
            <w:rFonts w:ascii="Times New Roman" w:hAnsi="Times New Roman"/>
            <w:b w:val="false"/>
            <w:i w:val="false"/>
            <w:color w:val="000000"/>
            <w:sz w:val="24"/>
          </w:rPr>
          <w:t>427.7(2)</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Appeal of proposed panel decisions. </w:t>
      </w:r>
      <w:r>
        <w:rPr>
          <w:rFonts w:ascii="Times New Roman" w:hAnsi="Times New Roman"/>
          <w:b w:val="false"/>
          <w:i w:val="false"/>
          <w:color w:val="000000"/>
          <w:sz w:val="24"/>
        </w:rPr>
        <w:t xml:space="preserve">A proposed panel decision pursuant to paragraph </w:t>
      </w:r>
      <w:hyperlink r:id="rId9">
        <w:r>
          <w:rPr>
            <w:rStyle w:val="Hyperlink"/>
            <w:rFonts w:ascii="Times New Roman" w:hAnsi="Times New Roman"/>
            <w:b w:val="false"/>
            <w:i w:val="false"/>
            <w:color w:val="000000"/>
            <w:sz w:val="24"/>
          </w:rPr>
          <w:t>427.7(2)</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may be appealed to the full board by either party by serving on the executive officer, either in person or by certified mail, a notice of appeal within 30 days after service of the proposed decision on the appealing party. The notice of appeal shall specify the party initiating the appeal, the proposed decision or order appealed, the specific findings or conclusions to which exception is taken and any other exceptions to the decision or order, the relief sought, and the grounds for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Following receipt of a notice of appeal, the board will enter an order establishing a schedule for submission of briefs and oral argument. The parties shall serve their briefs on the board and shall furnish an additional copy to each party by first-class mail. Briefs will cite any applicable legal authority and specify relevant portions of the record in that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Oral argument will be heard by the board unless waived by both parties. The time granted each party for oral argument will be established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record on appeal will be the entire record made before the hearing panel or administrative law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w:t>
      </w:r>
      <w:r>
        <w:rPr>
          <w:rFonts w:ascii="Times New Roman" w:hAnsi="Times New Roman"/>
          <w:b w:val="false"/>
          <w:i w:val="false"/>
          <w:color w:val="000000"/>
          <w:sz w:val="24"/>
        </w:rPr>
        <w:t>At no time prior to the release of the final decision by the board shall a proposed decision be made public or distributed to any person other than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Requests to present additional evidence. </w:t>
      </w:r>
      <w:r>
        <w:rPr>
          <w:rFonts w:ascii="Times New Roman" w:hAnsi="Times New Roman"/>
          <w:b w:val="false"/>
          <w:i w:val="false"/>
          <w:color w:val="000000"/>
          <w:sz w:val="24"/>
        </w:rPr>
        <w:t>A party may request the taking of additional evidence after the issuance of a proposed decision only by establishing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evidence is material;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evidence arose after the completion of the original hearing;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Good cause exists for failure to present the evidence at the original hearing;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party has not waived the right to present additional evidence.</w:t>
      </w:r>
    </w:p>
    <w:p>
      <w:pPr>
        <w:spacing w:before="0" w:after="0" w:line="480"/>
        <w:ind w:left="120"/>
        <w:jc w:val="both"/>
      </w:pPr>
      <w:r>
        <w:rPr>
          <w:rFonts w:ascii="Times New Roman" w:hAnsi="Times New Roman"/>
          <w:b w:val="false"/>
          <w:i w:val="false"/>
          <w:color w:val="000000"/>
          <w:sz w:val="24"/>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481—427.8</w:t>
      </w:r>
      <w:r>
        <w:rPr>
          <w:rFonts w:ascii="Times New Roman" w:hAnsi="Times New Roman"/>
          <w:b w:val="false"/>
          <w:i w:val="false"/>
          <w:color w:val="000000"/>
          <w:sz w:val="24"/>
        </w:rPr>
        <w:t>(17A):</w:t>
      </w:r>
    </w:p>
    <w:p>
      <w:pPr>
        <w:spacing w:before="210" w:after="0" w:line="480"/>
        <w:ind w:left="120"/>
        <w:jc w:val="both"/>
      </w:pPr>
      <w:r>
        <w:rPr>
          <w:rFonts w:ascii="Times New Roman" w:hAnsi="Times New Roman"/>
          <w:b/>
          <w:i w:val="false"/>
          <w:color w:val="000000"/>
          <w:sz w:val="24"/>
        </w:rPr>
        <w:t>481—427.8</w:t>
      </w:r>
      <w:r>
        <w:rPr>
          <w:rFonts w:ascii="Times New Roman" w:hAnsi="Times New Roman"/>
          <w:b/>
          <w:i w:val="false"/>
          <w:color w:val="000000"/>
          <w:sz w:val="24"/>
        </w:rPr>
        <w:t xml:space="preserve">(17A) </w:t>
      </w:r>
      <w:r>
        <w:rPr>
          <w:rFonts w:ascii="Times New Roman" w:hAnsi="Times New Roman"/>
          <w:b/>
          <w:i w:val="false"/>
          <w:color w:val="000000"/>
          <w:sz w:val="24"/>
        </w:rPr>
        <w:t xml:space="preserve">Client notification. </w:t>
      </w:r>
      <w:r>
        <w:rPr>
          <w:rFonts w:ascii="Times New Roman" w:hAnsi="Times New Roman"/>
          <w:b w:val="false"/>
          <w:i w:val="false"/>
          <w:color w:val="000000"/>
          <w:sz w:val="24"/>
        </w:rPr>
        <w:t>Within 15 days (or such other time period specifically ordered by the board) of the licensee’s receipt of the board’s final decision, whether entered by consent or following hearing, which suspends or revokes a license or accepts a voluntary surrender of a license to resolve a disciplinary case, the licensee shall notify in writing all current clients of the fact that the license has been suspended, revoked or voluntarily surrendered. Such notice shall advise clients to obtain alternative professional services. Within 30 days of receipt of the board’s final order, the licensee shall file with the board copies of the notices sent. Compliance with this requirement is a condition for an application for reinstatement.</w:t>
      </w:r>
    </w:p>
    <w:p>
      <w:pPr>
        <w:spacing w:before="0" w:after="0" w:line="480"/>
        <w:ind w:left="120"/>
        <w:jc w:val="center"/>
      </w:pPr>
      <w:r>
        <w:rPr>
          <w:rFonts w:ascii="Times New Roman" w:hAnsi="Times New Roman"/>
          <w:b w:val="false"/>
          <w:i w:val="false"/>
          <w:color w:val="000000"/>
          <w:sz w:val="24"/>
        </w:rPr>
        <w:t>[Filed Emergency 6/8/26, effective 6/30/26]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481.506.1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481.427.7.pdf" Type="http://schemas.openxmlformats.org/officeDocument/2006/relationships/hyperlink" Id="rId8"/>
    <Relationship TargetMode="External" Target="https://www.legis.iowa.gov/docs/iac/rule/481.427.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