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4D" w:id="1"/>
    <w:p>
      <w:pPr>
        <w:spacing w:before="0" w:after="0" w:line="480"/>
        <w:ind w:left="120"/>
        <w:jc w:val="right"/>
      </w:pPr>
      <w:r>
        <w:rPr>
          <w:rFonts w:ascii="Times New Roman" w:hAnsi="Times New Roman"/>
          <w:b/>
          <w:i w:val="false"/>
          <w:color w:val="000000"/>
          <w:sz w:val="28"/>
        </w:rPr>
        <w:t>ARC 0404D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electric transmission line franchise process</w:t>
      </w:r>
    </w:p>
    <w:p>
      <w:pPr>
        <w:pBdr>
          <w:top w:space="5"/>
        </w:pBdr>
        <w:spacing w:before="0" w:after="0" w:line="480"/>
        <w:ind w:left="120"/>
        <w:jc w:val="both"/>
      </w:pPr>
      <w:r>
        <w:rPr>
          <w:rFonts w:ascii="Times New Roman" w:hAnsi="Times New Roman"/>
          <w:b w:val="false"/>
          <w:i w:val="false"/>
          <w:color w:val="000000"/>
          <w:sz w:val="24"/>
        </w:rPr>
        <w:t>    The Utilities Commission hereby amends Chapter 11, “Electric Lines,” and Chapter 25, “Iowa Electrical Safety Code,”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478.19.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478.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In December 2024, the Midcontinent Independent System Operator (MISO) approved long-range transmission planning projects referred to as Tranche 2.1. To serve as the backbone to the project and to better address anticipated generation and electric demand, MISO selected 765 kV transmission lines. The Iowa Utilities Commission (Commission) anticipates additional buildout of other high voltage transmission lines in the years to come due to growing demand for electricity.</w:t>
      </w:r>
    </w:p>
    <w:p>
      <w:pPr>
        <w:spacing w:before="0" w:after="0" w:line="480"/>
        <w:ind w:left="120"/>
        <w:jc w:val="both"/>
      </w:pPr>
      <w:r>
        <w:rPr>
          <w:rFonts w:ascii="Times New Roman" w:hAnsi="Times New Roman"/>
          <w:b w:val="false"/>
          <w:i w:val="false"/>
          <w:color w:val="000000"/>
          <w:sz w:val="24"/>
        </w:rPr>
        <w:t>    In anticipation of the new projects, the Commission has evaluated potential impacts of this scale of transmission and seeks to minimize impacts to agricultural producers, landowners, and communities. The Commission is adopting rules governing the electric transmission line franchise process (Chapter 11) and the Iowa Electrical Safety Code (Chapter 25), which will establish new requirements for the electric franchise process and set safety standards.</w:t>
      </w:r>
    </w:p>
    <w:p>
      <w:pPr>
        <w:spacing w:before="0" w:after="0" w:line="480"/>
        <w:ind w:left="120"/>
        <w:jc w:val="both"/>
      </w:pPr>
      <w:r>
        <w:rPr>
          <w:rFonts w:ascii="Times New Roman" w:hAnsi="Times New Roman"/>
          <w:b w:val="false"/>
          <w:i w:val="false"/>
          <w:color w:val="000000"/>
          <w:sz w:val="24"/>
        </w:rPr>
        <w:t>    The Commission issued an order adopting amendments on May 19, 2026. The order is available on the Commission’s electronic filing system under Docket No. RMU-2025-1125.</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0172D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27, 2026</w:t>
      </w:r>
    </w:p>
    <w:p>
      <w:pPr>
        <w:spacing w:before="0" w:after="0" w:line="480"/>
        <w:ind w:left="120"/>
        <w:jc w:val="both"/>
      </w:pPr>
      <w:r>
        <w:rPr>
          <w:rFonts w:ascii="Times New Roman" w:hAnsi="Times New Roman"/>
          <w:b w:val="false"/>
          <w:i w:val="false"/>
          <w:color w:val="000000"/>
          <w:sz w:val="24"/>
        </w:rPr>
        <w:t>    On April 27, 2026, the Commission held a public hearing, which was attended by Office of Consumer Advocate (OCA), a division of the Iowa Department of Justice; Iowa Farm Bureau Federation (Farm Bureau); ITC Midwest LLC (ITC Midwest); MidAmerican Energy Company (MidAmerican); and Midcontinent Grid Solutions. Stakeholders choosing to speak stood by the content of their written comments.</w:t>
      </w:r>
    </w:p>
    <w:p>
      <w:pPr>
        <w:spacing w:before="0" w:after="0" w:line="480"/>
        <w:ind w:left="120"/>
        <w:jc w:val="both"/>
      </w:pPr>
      <w:r>
        <w:rPr>
          <w:rFonts w:ascii="Times New Roman" w:hAnsi="Times New Roman"/>
          <w:b w:val="false"/>
          <w:i w:val="false"/>
          <w:color w:val="000000"/>
          <w:sz w:val="24"/>
        </w:rPr>
        <w:t>    The Commission received written comments from OCA, the Iowa Association of Electric Cooperatives (IAEC), Farm Bureau, ITC Midwest, and MidAmerican. OCA expressed support for the amendments published in the Notice. IAEC expressed appreciation for the changes the Commission included within amendments contained in the Notice. Farm Bureau requested the addition of language in the guy restriction contained in subrule 25.6(3)—a change the Commission made in the Adopted and Filed. Finally, both ITC Midwest and MidAmerican proposed changes to limit the electric field strength restriction to row crop land increase of land included in the broader definition of crop and pasture land—changes that Farm Bureau opposed and that were not included in the adopted amendments.</w:t>
      </w:r>
    </w:p>
    <w:p>
      <w:pPr>
        <w:spacing w:before="0" w:after="0" w:line="480"/>
        <w:ind w:left="120"/>
        <w:jc w:val="both"/>
      </w:pPr>
      <w:r>
        <w:rPr>
          <w:rFonts w:ascii="Times New Roman" w:hAnsi="Times New Roman"/>
          <w:b w:val="false"/>
          <w:i w:val="false"/>
          <w:color w:val="000000"/>
          <w:sz w:val="24"/>
        </w:rPr>
        <w:t>    At Farm Bureau’s request, the Commission added language to the guy restriction contained in subrule 25.6(3). Specifically, if a landowner chooses to consent to the placement of a guyed structure on agricultural land, the additional language requires the agreement “to specifically allow the use of such structures.”</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May 19,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The agency does not anticipate that the rulemaking will have a fiscal impact to the agency or to the State. The agency’s obligation to conduct electric transmission line franchise proceedings is imposed by Iowa Code chapter 478 and not these amendments. Further, the agency does not anticipate the amendments will result in a meaningful increase of agency costs to conduct electric transmission line franchise proceedings. However, the amendments are expected to result in an increase of electric transmission line construction costs (i.e., guyed towers are generally less expensive than non-guy-wired towers, costs associated with compliance with noise and field strength restrictions), although the extent of the cost increase is dependent on numerous factors that would be unique to specific transmission projects (e.g., proposed operating voltage of proposed transmission line, length of proposed line, whether landowners consent to guyed towers). Further, the portions of the amendments that may increase construction costs only apply to electric transmission lines with a maximum operating voltage of 170,000 volts or more, which represents only a portion of transmission projects that come before the Commission. Conversely, certain amendments are anticipated to lessen the impacts that transmission infrastructure will have on agricultural production. Therefore, the agency anticipates that the amendments will mitigate against the decline in revenue due to the loss of agricultural production that would likely occur without the amendments. For these reasons, the agency is unable to determine the fiscal impact of the amendments.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No waiver provision is included in the proposed amendments because the Commission has a general waiver provision in rule 199—1.3(17A,474,476) that provides procedures for requesting a waiver.</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Reletter paragraph </w:t>
      </w:r>
      <w:r>
        <w:rPr>
          <w:rFonts w:ascii="Times New Roman" w:hAnsi="Times New Roman"/>
          <w:b/>
          <w:i w:val="false"/>
          <w:color w:val="000000"/>
          <w:sz w:val="24"/>
        </w:rPr>
        <w:t>11.5(1)“i”</w:t>
      </w:r>
      <w:r>
        <w:rPr>
          <w:rFonts w:ascii="Times New Roman" w:hAnsi="Times New Roman"/>
          <w:b w:val="false"/>
          <w:i w:val="false"/>
          <w:color w:val="000000"/>
          <w:sz w:val="24"/>
        </w:rPr>
        <w:t xml:space="preserve"> as </w:t>
      </w:r>
      <w:r>
        <w:rPr>
          <w:rFonts w:ascii="Times New Roman" w:hAnsi="Times New Roman"/>
          <w:b/>
          <w:i w:val="false"/>
          <w:color w:val="000000"/>
          <w:sz w:val="24"/>
        </w:rPr>
        <w:t>11.5(1)“k”</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11.5(1)“i”</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Exhibit I. </w:t>
      </w:r>
      <w:r>
        <w:rPr>
          <w:rFonts w:ascii="Times New Roman" w:hAnsi="Times New Roman"/>
          <w:b w:val="false"/>
          <w:i w:val="false"/>
          <w:color w:val="000000"/>
          <w:sz w:val="24"/>
        </w:rPr>
        <w:t xml:space="preserve">This exhibit is required only for electric transmission lines with a maximum operating voltage of 170,000 volts or more. This exhibit shall contain an explanation for the electric company’s plan to comply with the noise limit set by </w:t>
      </w:r>
      <w:hyperlink r:id="rId5">
        <w:r>
          <w:rPr>
            <w:rStyle w:val="Hyperlink"/>
            <w:rFonts w:ascii="Times New Roman" w:hAnsi="Times New Roman"/>
            <w:b w:val="false"/>
            <w:i w:val="false"/>
            <w:color w:val="000000"/>
            <w:sz w:val="24"/>
          </w:rPr>
          <w:t>199—subrule 25.6(1)</w:t>
        </w:r>
      </w:hyperlink>
      <w:r>
        <w:rPr>
          <w:rFonts w:ascii="Times New Roman" w:hAnsi="Times New Roman"/>
          <w:b w:val="false"/>
          <w:i w:val="false"/>
          <w:color w:val="000000"/>
          <w:sz w:val="24"/>
        </w:rPr>
        <w:t>. The explanation shall include the assessment at the minimum conductor height and the maximum rms voltage.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11.5(1)“j”</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Exhibit J. </w:t>
      </w:r>
      <w:r>
        <w:rPr>
          <w:rFonts w:ascii="Times New Roman" w:hAnsi="Times New Roman"/>
          <w:b w:val="false"/>
          <w:i w:val="false"/>
          <w:color w:val="000000"/>
          <w:sz w:val="24"/>
        </w:rPr>
        <w:t xml:space="preserve">This exhibit is required only for electric transmission lines with a maximum operating voltage of 170,000 volts or more. This exhibit shall contain an explanation for the electric company’s plan to comply with the maximum electric field strength limit set by </w:t>
      </w:r>
      <w:hyperlink r:id="rId6">
        <w:r>
          <w:rPr>
            <w:rStyle w:val="Hyperlink"/>
            <w:rFonts w:ascii="Times New Roman" w:hAnsi="Times New Roman"/>
            <w:b w:val="false"/>
            <w:i w:val="false"/>
            <w:color w:val="000000"/>
            <w:sz w:val="24"/>
          </w:rPr>
          <w:t>199—subrule 25.6(2)</w:t>
        </w:r>
      </w:hyperlink>
      <w:r>
        <w:rPr>
          <w:rFonts w:ascii="Times New Roman" w:hAnsi="Times New Roman"/>
          <w:b w:val="false"/>
          <w:i w:val="false"/>
          <w:color w:val="000000"/>
          <w:sz w:val="24"/>
        </w:rPr>
        <w:t>. The explanation shall include the assessment at the minimum conductor height and the maximum rms voltage.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25.1(4)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25.1(4)</w:t>
      </w:r>
      <w:r>
        <w:rPr>
          <w:rFonts w:ascii="Times New Roman" w:hAnsi="Times New Roman"/>
          <w:b w:val="false"/>
          <w:i w:val="false"/>
          <w:color w:val="000000"/>
          <w:sz w:val="24"/>
        </w:rPr>
        <w:t> </w:t>
      </w:r>
      <w:r>
        <w:rPr>
          <w:rFonts w:ascii="Times New Roman" w:hAnsi="Times New Roman"/>
          <w:b w:val="false"/>
          <w:i/>
          <w:color w:val="000000"/>
          <w:sz w:val="24"/>
        </w:rPr>
        <w:t xml:space="preserve">Definition of crop and pasture land. </w:t>
      </w:r>
      <w:r>
        <w:rPr>
          <w:rFonts w:ascii="Times New Roman" w:hAnsi="Times New Roman"/>
          <w:b w:val="false"/>
          <w:i w:val="false"/>
          <w:color w:val="000000"/>
          <w:sz w:val="24"/>
        </w:rPr>
        <w:t>For the purpose of this chapter, “crop and pasture land” means any land devoted to agricultural use, including but not limited to land used for crop production, cleared land capable of being cultivated, hay land, pasture land,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25.2(5)“c”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“ANSI S12.9-2013/Part 1” as published February 27, 2013; “ANSI S12.9-2013/Part 3” as published February 13, 2015; “ANSI S1.4-2014/Part 1” as published July 21, 2014; and “Institute of Electrical and Electronics Engineers Standard 656-2018” as published February 15, 2018, are adopted as standards for determining noise from electric transmission lines.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paragraph </w:t>
      </w:r>
      <w:r>
        <w:rPr>
          <w:rFonts w:ascii="Times New Roman" w:hAnsi="Times New Roman"/>
          <w:b/>
          <w:i w:val="false"/>
          <w:color w:val="000000"/>
          <w:sz w:val="24"/>
        </w:rPr>
        <w:t>25.2(5)“d”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“Institute of Electrical and Electronics Engineers Standard 644-2019” as published November 7, 2019, is adopted as the standard for measuring the electric field strength from electric transmission lines.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199—25.6</w:t>
      </w:r>
      <w:r>
        <w:rPr>
          <w:rFonts w:ascii="Times New Roman" w:hAnsi="Times New Roman"/>
          <w:b w:val="false"/>
          <w:i w:val="false"/>
          <w:color w:val="000000"/>
          <w:sz w:val="24"/>
        </w:rPr>
        <w:t>(476,478):</w:t>
      </w:r>
    </w:p>
    <w:p>
      <w:pPr>
        <w:spacing w:before="0" w:after="0" w:line="480"/>
        <w:ind w:left="120"/>
        <w:jc w:val="both"/>
      </w:pPr>
      <w:r>
        <w:rPr>
          <w:rFonts w:ascii="Times New Roman" w:hAnsi="Times New Roman"/>
          <w:b/>
          <w:i w:val="false"/>
          <w:color w:val="000000"/>
          <w:sz w:val="24"/>
        </w:rPr>
        <w:t>199—25.6</w:t>
      </w:r>
      <w:r>
        <w:rPr>
          <w:rFonts w:ascii="Times New Roman" w:hAnsi="Times New Roman"/>
          <w:b/>
          <w:i w:val="false"/>
          <w:color w:val="000000"/>
          <w:sz w:val="24"/>
        </w:rPr>
        <w:t xml:space="preserve">(476,478) </w:t>
      </w:r>
      <w:r>
        <w:rPr>
          <w:rFonts w:ascii="Times New Roman" w:hAnsi="Times New Roman"/>
          <w:b/>
          <w:i w:val="false"/>
          <w:color w:val="000000"/>
          <w:sz w:val="24"/>
        </w:rPr>
        <w:t xml:space="preserve">Additional requirements for higher voltage transmission lines. </w:t>
      </w:r>
      <w:r>
        <w:rPr>
          <w:rFonts w:ascii="Times New Roman" w:hAnsi="Times New Roman"/>
          <w:b w:val="false"/>
          <w:i w:val="false"/>
          <w:color w:val="000000"/>
          <w:sz w:val="24"/>
        </w:rPr>
        <w:t xml:space="preserve">This rule applies to overhead electric transmission lines with a maximum operation voltage of 170,000 volts or greater for which petitions have been filed pursuant to rule </w:t>
      </w:r>
      <w:hyperlink r:id="rId7">
        <w:r>
          <w:rPr>
            <w:rStyle w:val="Hyperlink"/>
            <w:rFonts w:ascii="Times New Roman" w:hAnsi="Times New Roman"/>
            <w:b w:val="false"/>
            <w:i w:val="false"/>
            <w:color w:val="000000"/>
            <w:sz w:val="24"/>
          </w:rPr>
          <w:t>199—11.5</w:t>
        </w:r>
      </w:hyperlink>
      <w:r>
        <w:rPr>
          <w:rFonts w:ascii="Times New Roman" w:hAnsi="Times New Roman"/>
          <w:b w:val="false"/>
          <w:i w:val="false"/>
          <w:color w:val="000000"/>
          <w:sz w:val="24"/>
        </w:rPr>
        <w:t xml:space="preserve">(478) or </w:t>
      </w:r>
      <w:hyperlink r:id="rId8">
        <w:r>
          <w:rPr>
            <w:rStyle w:val="Hyperlink"/>
            <w:rFonts w:ascii="Times New Roman" w:hAnsi="Times New Roman"/>
            <w:b w:val="false"/>
            <w:i w:val="false"/>
            <w:color w:val="000000"/>
            <w:sz w:val="24"/>
          </w:rPr>
          <w:t>199—11.6</w:t>
        </w:r>
      </w:hyperlink>
      <w:r>
        <w:rPr>
          <w:rFonts w:ascii="Times New Roman" w:hAnsi="Times New Roman"/>
          <w:b w:val="false"/>
          <w:i w:val="false"/>
          <w:color w:val="000000"/>
          <w:sz w:val="24"/>
        </w:rPr>
        <w:t>(478) after January 1, 2027.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25.6(1)</w:t>
      </w:r>
      <w:r>
        <w:rPr>
          <w:rFonts w:ascii="Times New Roman" w:hAnsi="Times New Roman"/>
          <w:b w:val="false"/>
          <w:i w:val="false"/>
          <w:color w:val="000000"/>
          <w:sz w:val="24"/>
        </w:rPr>
        <w:t> </w:t>
      </w:r>
      <w:r>
        <w:rPr>
          <w:rFonts w:ascii="Times New Roman" w:hAnsi="Times New Roman"/>
          <w:b w:val="false"/>
          <w:i/>
          <w:color w:val="000000"/>
          <w:sz w:val="24"/>
        </w:rPr>
        <w:t xml:space="preserve">Noise restriction. </w:t>
      </w:r>
      <w:r>
        <w:rPr>
          <w:rFonts w:ascii="Times New Roman" w:hAnsi="Times New Roman"/>
          <w:b w:val="false"/>
          <w:i w:val="false"/>
          <w:color w:val="000000"/>
          <w:sz w:val="24"/>
        </w:rPr>
        <w:t>The audible noise from an overhead electric transmission line during a measurement period shall not exceed 55 dBA for more than 50 percent of the measured time. The measurement shall be one hour in length, adjusted for ambient noise, A-weighted, fast-time averaged, and be taken at the edge of the total combined transmission line right-of-way.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25.6(2)</w:t>
      </w:r>
      <w:r>
        <w:rPr>
          <w:rFonts w:ascii="Times New Roman" w:hAnsi="Times New Roman"/>
          <w:b w:val="false"/>
          <w:i w:val="false"/>
          <w:color w:val="000000"/>
          <w:sz w:val="24"/>
        </w:rPr>
        <w:t> </w:t>
      </w:r>
      <w:r>
        <w:rPr>
          <w:rFonts w:ascii="Times New Roman" w:hAnsi="Times New Roman"/>
          <w:b w:val="false"/>
          <w:i/>
          <w:color w:val="000000"/>
          <w:sz w:val="24"/>
        </w:rPr>
        <w:t xml:space="preserve">Electric field strength restriction. </w:t>
      </w:r>
      <w:r>
        <w:rPr>
          <w:rFonts w:ascii="Times New Roman" w:hAnsi="Times New Roman"/>
          <w:b w:val="false"/>
          <w:i w:val="false"/>
          <w:color w:val="000000"/>
          <w:sz w:val="24"/>
        </w:rPr>
        <w:t>The electric field strength from an overhead electric transmission line shall not be greater than 6,000 volts per meter when measured one meter above the ground anywhere within the transmission line right-of-way.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25.6(3)</w:t>
      </w:r>
      <w:r>
        <w:rPr>
          <w:rFonts w:ascii="Times New Roman" w:hAnsi="Times New Roman"/>
          <w:b w:val="false"/>
          <w:i w:val="false"/>
          <w:color w:val="000000"/>
          <w:sz w:val="24"/>
        </w:rPr>
        <w:t> </w:t>
      </w:r>
      <w:r>
        <w:rPr>
          <w:rFonts w:ascii="Times New Roman" w:hAnsi="Times New Roman"/>
          <w:b w:val="false"/>
          <w:i/>
          <w:color w:val="000000"/>
          <w:sz w:val="24"/>
        </w:rPr>
        <w:t xml:space="preserve">Guy restriction. </w:t>
      </w:r>
      <w:r>
        <w:rPr>
          <w:rFonts w:ascii="Times New Roman" w:hAnsi="Times New Roman"/>
          <w:b w:val="false"/>
          <w:i w:val="false"/>
          <w:color w:val="000000"/>
          <w:sz w:val="24"/>
        </w:rPr>
        <w:t>Overhead electric transmission line structures primarily reliant on guys for support shall not be constructed on crop and pasture land except by agreement with the landowner to specifically allow the use of such structures.</w:t>
      </w:r>
    </w:p>
    <w:p>
      <w:pPr>
        <w:spacing w:before="0" w:after="0" w:line="480"/>
        <w:ind w:left="120"/>
        <w:jc w:val="center"/>
      </w:pPr>
      <w:r>
        <w:rPr>
          <w:rFonts w:ascii="Times New Roman" w:hAnsi="Times New Roman"/>
          <w:b w:val="false"/>
          <w:i w:val="false"/>
          <w:color w:val="000000"/>
          <w:sz w:val="24"/>
        </w:rPr>
        <w:t>[Filed 5/29/26,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199.25.6.pdf" Type="http://schemas.openxmlformats.org/officeDocument/2006/relationships/hyperlink" Id="rId5"/>
    <Relationship TargetMode="External" Target="https://www.legis.iowa.gov/docs/iac/rule/199.25.6.pdf" Type="http://schemas.openxmlformats.org/officeDocument/2006/relationships/hyperlink" Id="rId6"/>
    <Relationship TargetMode="External" Target="https://www.legis.iowa.gov/docs/iac/rule/199.11.5.pdf" Type="http://schemas.openxmlformats.org/officeDocument/2006/relationships/hyperlink" Id="rId7"/>
    <Relationship TargetMode="External" Target="https://www.legis.iowa.gov/docs/iac/rule/199.11.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