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97D" w:id="1"/>
    <w:p>
      <w:pPr>
        <w:spacing w:before="0" w:after="0" w:line="480"/>
        <w:ind w:left="120"/>
        <w:jc w:val="right"/>
      </w:pPr>
      <w:r>
        <w:rPr>
          <w:rFonts w:ascii="Times New Roman" w:hAnsi="Times New Roman"/>
          <w:b/>
          <w:i w:val="false"/>
          <w:color w:val="000000"/>
          <w:sz w:val="28"/>
        </w:rPr>
        <w:t>ARC 0397D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individual and family direct support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184, “Individual and Family Direct Support,”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225C.</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was undertaken as a result of a Red Tape Rule Review pursuant to Executive Order 10. The Department’s review found Chapter 184 describes programs that have already sunsetted and for which there is no longer statutory authority. The Family Support Subsidy program was designed to assist families in staying together by defraying some of the costs of caring for a child with special needs living at home. The chapter also defined and structured the corresponding comprehensive family support program, known as Children at Home. This program was designed to assist families raising a child with a disability in obtaining needed services and supports. Because the programs and the statutory authority for rulemaking are no longer in place, the Department is rescinding this chapter.</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29, 2026, as </w:t>
      </w:r>
      <w:r>
        <w:rPr>
          <w:rFonts w:ascii="Times New Roman" w:hAnsi="Times New Roman"/>
          <w:b/>
          <w:i w:val="false"/>
          <w:color w:val="000000"/>
          <w:sz w:val="24"/>
        </w:rPr>
        <w:t>ARC 0230D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441—Chapter 184</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6/3/26, effective 8/1/26]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