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6D" w:id="1"/>
    <w:p>
      <w:pPr>
        <w:spacing w:before="0" w:after="0" w:line="480"/>
        <w:ind w:left="120"/>
        <w:jc w:val="right"/>
      </w:pPr>
      <w:r>
        <w:rPr>
          <w:rFonts w:ascii="Times New Roman" w:hAnsi="Times New Roman"/>
          <w:b/>
          <w:i w:val="false"/>
          <w:color w:val="000000"/>
          <w:sz w:val="28"/>
        </w:rPr>
        <w:t>ARC 0396D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conditions of eligibility</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75, “Conditions of Eligibility,”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249A.3(2)“a”(1)(b).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Sections 1916A and 1902(a)(10)(A)(ii)(XIII) of the federal Social Security Act.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the required annual premium update for applicants and recipients under the Medicaid for Employed Persons with Disabilities (MEPD) program with an income over 150 percent of the federal poverty level (FPL).</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The anticipated effect of the premium change on State revenue for fiscal year 2027 is $31,839.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75.6(6)“b”(4)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44"/>
        <w:gridCol w:w="4224"/>
      </w:tblGrid>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IF THE INCOME OF THE APPLICANT IS ABOVE:</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THE MONTHLY PREMIUM IS:</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$43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165%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$59</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$60</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$70</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$72</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$82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$84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225%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$97</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$113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$115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$141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$144</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$171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$175</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$202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$233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$238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$291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$296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$351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$358</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$413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$421</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$488</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1000%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$586</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$597</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1150%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$685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$699</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1300%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$790</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$806</w:t>
            </w:r>
          </w:p>
        </w:tc>
      </w:tr>
      <w:tr>
        <w:trPr>
          <w:trHeight w:val="195" w:hRule="atLeast"/>
        </w:trPr>
        <w:tc>
          <w:tcPr>
            <w:tcW w:w="614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1480% of Federal Poverty Level</w:t>
            </w:r>
          </w:p>
        </w:tc>
        <w:tc>
          <w:tcPr>
            <w:tcW w:w="4224"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$913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$931</w:t>
            </w:r>
          </w:p>
        </w:tc>
      </w:tr>
    </w:tbl>
    <w:p>
      <w:pPr>
        <w:spacing w:before="0" w:after="0" w:line="480"/>
        <w:ind w:left="120"/>
        <w:jc w:val="center"/>
      </w:pPr>
      <w:r>
        <w:rPr>
          <w:rFonts w:ascii="Times New Roman" w:hAnsi="Times New Roman"/>
          <w:b w:val="false"/>
          <w:i w:val="false"/>
          <w:color w:val="000000"/>
          <w:sz w:val="24"/>
        </w:rPr>
        <w:t>[Filed 6/3/26, effective 8/1/26]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