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5D" w:id="1"/>
    <w:p>
      <w:pPr>
        <w:spacing w:before="0" w:after="0" w:line="480"/>
        <w:ind w:left="120"/>
        <w:jc w:val="right"/>
      </w:pPr>
      <w:r>
        <w:rPr>
          <w:rFonts w:ascii="Times New Roman" w:hAnsi="Times New Roman"/>
          <w:b/>
          <w:i w:val="false"/>
          <w:color w:val="000000"/>
          <w:sz w:val="28"/>
        </w:rPr>
        <w:t>ARC 0395D</w:t>
      </w:r>
    </w:p>
    <w:bookmarkEnd w:id="1"/>
    <w:p>
      <w:pPr>
        <w:pBdr>
          <w:top w:space="5"/>
        </w:pBdr>
        <w:spacing w:before="0" w:after="0" w:line="480"/>
        <w:ind w:left="120"/>
        <w:jc w:val="center"/>
      </w:pPr>
      <w:r>
        <w:rPr>
          <w:rFonts w:ascii="Times New Roman" w:hAnsi="Times New Roman"/>
          <w:b/>
          <w:i w:val="false"/>
          <w:color w:val="000000"/>
          <w:sz w:val="28"/>
        </w:rPr>
        <w:t>HOMELAND SECURITY AND EMERGENCY MANAGEMENT DEPARTMENT[605]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school safety</w:t>
      </w:r>
    </w:p>
    <w:p>
      <w:pPr>
        <w:pBdr>
          <w:top w:space="5"/>
        </w:pBdr>
        <w:spacing w:before="0" w:after="0" w:line="480"/>
        <w:ind w:left="120"/>
        <w:jc w:val="both"/>
      </w:pPr>
      <w:r>
        <w:rPr>
          <w:rFonts w:ascii="Times New Roman" w:hAnsi="Times New Roman"/>
          <w:b w:val="false"/>
          <w:i w:val="false"/>
          <w:color w:val="000000"/>
          <w:sz w:val="24"/>
        </w:rPr>
        <w:t>    The Department of Homeland Security and Emergency Management hereby amends Chapter 13, “School Safety,”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2024 Iowa Acts, House File 2652.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2024 Iowa Acts, House File 2652.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current chapter does not provide for any transitional or safe harbor protections for school districts that purchased products related to unholstered weapons detection soon after the enactment of 2024 Iowa Acts, House File 2652. Because the rulemaking and development of the list of eligible organizations took some time, the Department wishes to provide safe harbor for the school districts that did procure technologies related to unholstered weapons detection prior to the publication of the list, provided the organizations complied with the requirements at the time and were eventually approved to be on the list by the Department.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0222D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20,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13.1(4)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13.1(4)</w:t>
      </w:r>
      <w:r>
        <w:rPr>
          <w:rFonts w:ascii="Times New Roman" w:hAnsi="Times New Roman"/>
          <w:b w:val="false"/>
          <w:i w:val="false"/>
          <w:color w:val="000000"/>
          <w:sz w:val="24"/>
        </w:rPr>
        <w:t> </w:t>
      </w:r>
      <w:r>
        <w:rPr>
          <w:rFonts w:ascii="Times New Roman" w:hAnsi="Times New Roman"/>
          <w:b w:val="false"/>
          <w:i w:val="false"/>
          <w:color w:val="000000"/>
          <w:sz w:val="24"/>
        </w:rPr>
        <w:t xml:space="preserve"> Transitional compliance and retroactive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school district or accredited nonpublic school that purchased an unholstered weapons detection system after May 17, 2024, but prior to the department’s first publication of the approved organization list, shall be deemed in compliance with Iowa Code section </w:t>
      </w:r>
      <w:hyperlink r:id="rId5">
        <w:r>
          <w:rPr>
            <w:rStyle w:val="Hyperlink"/>
            <w:rFonts w:ascii="Times New Roman" w:hAnsi="Times New Roman"/>
            <w:b w:val="false"/>
            <w:i w:val="false"/>
            <w:color w:val="000000"/>
            <w:sz w:val="24"/>
          </w:rPr>
          <w:t>279.86</w:t>
        </w:r>
      </w:hyperlink>
      <w:r>
        <w:rPr>
          <w:rFonts w:ascii="Times New Roman" w:hAnsi="Times New Roman"/>
          <w:b w:val="false"/>
          <w:i w:val="false"/>
          <w:color w:val="000000"/>
          <w:sz w:val="24"/>
        </w:rPr>
        <w:t xml:space="preserve"> and this chapter, provided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The organization and product are subsequently added to the approved list;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 The school provides documentation to the department demonstrating that the organization and product met the eligibility criteria in rule </w:t>
      </w:r>
      <w:hyperlink r:id="rId6">
        <w:r>
          <w:rPr>
            <w:rStyle w:val="Hyperlink"/>
            <w:rFonts w:ascii="Times New Roman" w:hAnsi="Times New Roman"/>
            <w:b w:val="false"/>
            <w:i w:val="false"/>
            <w:color w:val="000000"/>
            <w:sz w:val="24"/>
          </w:rPr>
          <w:t>605—13.2</w:t>
        </w:r>
      </w:hyperlink>
      <w:r>
        <w:rPr>
          <w:rFonts w:ascii="Times New Roman" w:hAnsi="Times New Roman"/>
          <w:b w:val="false"/>
          <w:i w:val="false"/>
          <w:color w:val="000000"/>
          <w:sz w:val="24"/>
        </w:rPr>
        <w:t xml:space="preserve">(90GA,HF2652) at the time of purchase.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Systems approved under this subrule may continue to be used and maintained for the duration of the existing contract or the operational life of the equipment, whichever is shorter, without requiring a new procurement from the approved list.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13.2(3)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13.2(3)</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the transitional exception in subrule </w:t>
      </w:r>
      <w:hyperlink r:id="rId7">
        <w:r>
          <w:rPr>
            <w:rStyle w:val="Hyperlink"/>
            <w:rFonts w:ascii="Times New Roman" w:hAnsi="Times New Roman"/>
            <w:b w:val="false"/>
            <w:i w:val="false"/>
            <w:color w:val="000000"/>
            <w:sz w:val="24"/>
          </w:rPr>
          <w:t>13.1(4)</w:t>
        </w:r>
      </w:hyperlink>
      <w:r>
        <w:rPr>
          <w:rFonts w:ascii="Times New Roman" w:hAnsi="Times New Roman"/>
          <w:b w:val="false"/>
          <w:i w:val="false"/>
          <w:color w:val="000000"/>
          <w:sz w:val="24"/>
        </w:rPr>
        <w:t>, the department may evaluate an organization’s qualification based on the technical specifications and security standards in place at the time of the school’s initial procurement.</w:t>
      </w:r>
    </w:p>
    <w:p>
      <w:pPr>
        <w:spacing w:before="0" w:after="0" w:line="480"/>
        <w:ind w:left="120"/>
        <w:jc w:val="center"/>
      </w:pPr>
      <w:r>
        <w:rPr>
          <w:rFonts w:ascii="Times New Roman" w:hAnsi="Times New Roman"/>
          <w:b w:val="false"/>
          <w:i w:val="false"/>
          <w:color w:val="000000"/>
          <w:sz w:val="24"/>
        </w:rPr>
        <w:t>[Filed 6/3/26,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79.86.pdf" Type="http://schemas.openxmlformats.org/officeDocument/2006/relationships/hyperlink" Id="rId5"/>
    <Relationship TargetMode="External" Target="https://www.legis.iowa.gov/docs/iac/rule/605.13.2.pdf" Type="http://schemas.openxmlformats.org/officeDocument/2006/relationships/hyperlink" Id="rId6"/>
    <Relationship TargetMode="External" Target="https://www.legis.iowa.gov/docs/iac/rule/605.13.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