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92D" w:id="1"/>
    <w:p>
      <w:pPr>
        <w:spacing w:before="0" w:after="0" w:line="480"/>
        <w:ind w:left="120"/>
        <w:jc w:val="right"/>
      </w:pPr>
      <w:r>
        <w:rPr>
          <w:rFonts w:ascii="Times New Roman" w:hAnsi="Times New Roman"/>
          <w:b/>
          <w:i w:val="false"/>
          <w:color w:val="000000"/>
          <w:sz w:val="28"/>
        </w:rPr>
        <w:t>ARC 0392D</w:t>
      </w:r>
    </w:p>
    <w:bookmarkEnd w:id="1"/>
    <w:p>
      <w:pPr>
        <w:pBdr>
          <w:top w:space="5"/>
        </w:pBdr>
        <w:spacing w:before="0" w:after="0" w:line="480"/>
        <w:ind w:left="120"/>
        <w:jc w:val="center"/>
      </w:pPr>
      <w:r>
        <w:rPr>
          <w:rFonts w:ascii="Times New Roman" w:hAnsi="Times New Roman"/>
          <w:b/>
          <w:i w:val="false"/>
          <w:color w:val="000000"/>
          <w:sz w:val="28"/>
        </w:rPr>
        <w:t>CITY FINANCE COMMITTEE[545]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employee benefits</w:t>
      </w:r>
    </w:p>
    <w:p>
      <w:pPr>
        <w:pBdr>
          <w:top w:space="5"/>
        </w:pBdr>
        <w:spacing w:before="0" w:after="0" w:line="480"/>
        <w:ind w:left="120"/>
        <w:jc w:val="both"/>
      </w:pPr>
      <w:r>
        <w:rPr>
          <w:rFonts w:ascii="Times New Roman" w:hAnsi="Times New Roman"/>
          <w:b w:val="false"/>
          <w:i w:val="false"/>
          <w:color w:val="000000"/>
          <w:sz w:val="24"/>
        </w:rPr>
        <w:t>    The City Finance Committee hereby rescinds Chapter 4, “Employee Benefits,” Iowa Administrative Code, and adopts a new Chapter 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384.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384.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establishes basic obligations concerning allowable employee benefits and establishes the requirement that benefits be in the city budget.</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November 12, 2025, as </w:t>
      </w:r>
      <w:r>
        <w:rPr>
          <w:rFonts w:ascii="Times New Roman" w:hAnsi="Times New Roman"/>
          <w:b/>
          <w:i w:val="false"/>
          <w:color w:val="000000"/>
          <w:sz w:val="24"/>
        </w:rPr>
        <w:t>ARC 9686C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5, 2025</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Committee on December 17,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of Management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545—Chapter 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w:t>
      </w:r>
    </w:p>
    <w:p>
      <w:pPr>
        <w:spacing w:before="0" w:after="0" w:line="480"/>
        <w:ind w:left="120"/>
        <w:jc w:val="center"/>
      </w:pPr>
      <w:r>
        <w:rPr>
          <w:rFonts w:ascii="Times New Roman" w:hAnsi="Times New Roman"/>
          <w:b w:val="false"/>
          <w:i w:val="false"/>
          <w:color w:val="000000"/>
          <w:sz w:val="21"/>
        </w:rPr>
        <w:t>EMPLOYEE BENEFITS</w:t>
      </w:r>
    </w:p>
    <w:p>
      <w:pPr>
        <w:spacing w:before="0" w:after="0" w:line="480"/>
        <w:ind w:left="120"/>
        <w:jc w:val="both"/>
      </w:pPr>
      <w:r>
        <w:rPr>
          <w:rFonts w:ascii="Times New Roman" w:hAnsi="Times New Roman"/>
          <w:b/>
          <w:i w:val="false"/>
          <w:color w:val="000000"/>
          <w:sz w:val="24"/>
        </w:rPr>
        <w:t>545—4.1</w:t>
      </w:r>
      <w:r>
        <w:rPr>
          <w:rFonts w:ascii="Times New Roman" w:hAnsi="Times New Roman"/>
          <w:b/>
          <w:i w:val="false"/>
          <w:color w:val="000000"/>
          <w:sz w:val="24"/>
        </w:rPr>
        <w:t xml:space="preserve">(384) </w:t>
      </w:r>
      <w:r>
        <w:rPr>
          <w:rFonts w:ascii="Times New Roman" w:hAnsi="Times New Roman"/>
          <w:b/>
          <w:i w:val="false"/>
          <w:color w:val="000000"/>
          <w:sz w:val="24"/>
        </w:rPr>
        <w:t xml:space="preserve">Definition. </w:t>
      </w:r>
      <w:r>
        <w:rPr>
          <w:rFonts w:ascii="Times New Roman" w:hAnsi="Times New Roman"/>
          <w:b w:val="false"/>
          <w:i w:val="false"/>
          <w:color w:val="000000"/>
          <w:sz w:val="24"/>
        </w:rPr>
        <w:t>Employee benefits are defined as and limited to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Employer’s share of Federal Insurance Contribution Act (FICA).</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Employer’s share of Iowa Public Employees’ Retirement System (IPERS).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Employer’s share of police and fire retirement systems.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Employer’s share of medical payments under Iowa Code chapters </w:t>
      </w:r>
      <w:hyperlink r:id="rId5">
        <w:r>
          <w:rPr>
            <w:rStyle w:val="Hyperlink"/>
            <w:rFonts w:ascii="Times New Roman" w:hAnsi="Times New Roman"/>
            <w:b w:val="false"/>
            <w:i w:val="false"/>
            <w:color w:val="000000"/>
            <w:sz w:val="24"/>
          </w:rPr>
          <w:t>410</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Retiree hospital/medical/prescription benefits pursuant to Iowa Code section </w:t>
      </w:r>
      <w:hyperlink r:id="rId7">
        <w:r>
          <w:rPr>
            <w:rStyle w:val="Hyperlink"/>
            <w:rFonts w:ascii="Times New Roman" w:hAnsi="Times New Roman"/>
            <w:b w:val="false"/>
            <w:i w:val="false"/>
            <w:color w:val="000000"/>
            <w:sz w:val="24"/>
          </w:rPr>
          <w:t>364.25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Workers’ compensation costs or insurance premiums.</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Unemployment benefits.</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Employer’s share of employee benefit plan costs for employees and their dependents, which would include only: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Hospital/medical/prescription benefits;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Dental benefits;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Disability insurance benefits;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Life insurance benefits;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Long-term insurance benefits;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Vision benefits.</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Deferred compensation programs for city managers, fire chiefs, and police chiefs who do not participate in either IPERS or the Municipal Fire and Police Retirement System of Iowa (MFPRSI).</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Employee wellness programs that are a part of, or are included with, a hospital/medical/prescription benefit program or a health and fitness program for employees that is adopted by city council motion, resolution, ordinance or included in a document approved by the city council.</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Employee assistance program providing free counseling for employees and their dependents.</w:t>
      </w:r>
    </w:p>
    <w:p>
      <w:pPr>
        <w:spacing w:before="0" w:after="0" w:line="480"/>
        <w:ind w:left="120"/>
        <w:jc w:val="both"/>
      </w:pPr>
      <w:r>
        <w:rPr>
          <w:rFonts w:ascii="Times New Roman" w:hAnsi="Times New Roman"/>
          <w:b w:val="false"/>
          <w:i w:val="false"/>
          <w:color w:val="000000"/>
          <w:sz w:val="24"/>
        </w:rPr>
        <w:t>    12.   </w:t>
      </w:r>
      <w:r>
        <w:rPr>
          <w:rFonts w:ascii="Times New Roman" w:hAnsi="Times New Roman"/>
          <w:b w:val="false"/>
          <w:i w:val="false"/>
          <w:color w:val="000000"/>
          <w:sz w:val="24"/>
        </w:rPr>
        <w:t>Occupational Safety and Health Administration (OSHA)-required tests (e.g., pulmonary and heart tests).</w:t>
      </w:r>
    </w:p>
    <w:p>
      <w:pPr>
        <w:spacing w:before="0" w:after="0" w:line="480"/>
        <w:ind w:left="120"/>
        <w:jc w:val="both"/>
      </w:pPr>
      <w:r>
        <w:rPr>
          <w:rFonts w:ascii="Times New Roman" w:hAnsi="Times New Roman"/>
          <w:b w:val="false"/>
          <w:i w:val="false"/>
          <w:color w:val="000000"/>
          <w:sz w:val="24"/>
        </w:rPr>
        <w:t>    13.   </w:t>
      </w:r>
      <w:r>
        <w:rPr>
          <w:rFonts w:ascii="Times New Roman" w:hAnsi="Times New Roman"/>
          <w:b w:val="false"/>
          <w:i w:val="false"/>
          <w:color w:val="000000"/>
          <w:sz w:val="24"/>
        </w:rPr>
        <w:t>Regularly scheduled, city-required, postemployment physicals for employees, police reserves and volunteer firefighters.</w:t>
      </w:r>
    </w:p>
    <w:p>
      <w:pPr>
        <w:spacing w:before="0" w:after="0" w:line="480"/>
        <w:ind w:left="120"/>
        <w:jc w:val="both"/>
      </w:pPr>
      <w:r>
        <w:rPr>
          <w:rFonts w:ascii="Times New Roman" w:hAnsi="Times New Roman"/>
          <w:b/>
          <w:i w:val="false"/>
          <w:color w:val="000000"/>
          <w:sz w:val="24"/>
        </w:rPr>
        <w:t>545—4.2</w:t>
      </w:r>
      <w:r>
        <w:rPr>
          <w:rFonts w:ascii="Times New Roman" w:hAnsi="Times New Roman"/>
          <w:b/>
          <w:i w:val="false"/>
          <w:color w:val="000000"/>
          <w:sz w:val="24"/>
        </w:rPr>
        <w:t xml:space="preserve">(384) </w:t>
      </w:r>
      <w:r>
        <w:rPr>
          <w:rFonts w:ascii="Times New Roman" w:hAnsi="Times New Roman"/>
          <w:b/>
          <w:i w:val="false"/>
          <w:color w:val="000000"/>
          <w:sz w:val="24"/>
        </w:rPr>
        <w:t xml:space="preserve">Mandatory procedures. </w:t>
      </w:r>
      <w:r>
        <w:rPr>
          <w:rFonts w:ascii="Times New Roman" w:hAnsi="Times New Roman"/>
          <w:b w:val="false"/>
          <w:i w:val="false"/>
          <w:color w:val="000000"/>
          <w:sz w:val="24"/>
        </w:rPr>
        <w:t>These employee benefits will be budgeted in the city general fund up to the tax rate limit of that fund with the excess being budgeted in the trust and agency fund for those employees being paid from the city general fund: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Employer’s share of FICA under Iowa Code section </w:t>
      </w:r>
      <w:hyperlink r:id="rId8">
        <w:r>
          <w:rPr>
            <w:rStyle w:val="Hyperlink"/>
            <w:rFonts w:ascii="Times New Roman" w:hAnsi="Times New Roman"/>
            <w:b w:val="false"/>
            <w:i w:val="false"/>
            <w:color w:val="000000"/>
            <w:sz w:val="24"/>
          </w:rPr>
          <w:t>97C.10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Employer’s share of IPERS under Iowa Code section </w:t>
      </w:r>
      <w:hyperlink r:id="rId9">
        <w:r>
          <w:rPr>
            <w:rStyle w:val="Hyperlink"/>
            <w:rFonts w:ascii="Times New Roman" w:hAnsi="Times New Roman"/>
            <w:b w:val="false"/>
            <w:i w:val="false"/>
            <w:color w:val="000000"/>
            <w:sz w:val="24"/>
          </w:rPr>
          <w:t>97B.9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545—4.3</w:t>
      </w:r>
      <w:r>
        <w:rPr>
          <w:rFonts w:ascii="Times New Roman" w:hAnsi="Times New Roman"/>
          <w:b/>
          <w:i w:val="false"/>
          <w:color w:val="000000"/>
          <w:sz w:val="24"/>
        </w:rPr>
        <w:t xml:space="preserve">(384) </w:t>
      </w:r>
      <w:r>
        <w:rPr>
          <w:rFonts w:ascii="Times New Roman" w:hAnsi="Times New Roman"/>
          <w:b/>
          <w:i w:val="false"/>
          <w:color w:val="000000"/>
          <w:sz w:val="24"/>
        </w:rPr>
        <w:t xml:space="preserve">Optional procedures. </w:t>
      </w:r>
      <w:r>
        <w:rPr>
          <w:rFonts w:ascii="Times New Roman" w:hAnsi="Times New Roman"/>
          <w:b w:val="false"/>
          <w:i w:val="false"/>
          <w:color w:val="000000"/>
          <w:sz w:val="24"/>
        </w:rPr>
        <w:t>These employee benefits may be budgeted in either the city general or city trust and agency fund for those employees being paid from the city general fund.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Employer’s share of police and fire pension and retirement systems under Iowa Code chapters </w:t>
      </w:r>
      <w:hyperlink r:id="rId10">
        <w:r>
          <w:rPr>
            <w:rStyle w:val="Hyperlink"/>
            <w:rFonts w:ascii="Times New Roman" w:hAnsi="Times New Roman"/>
            <w:b w:val="false"/>
            <w:i w:val="false"/>
            <w:color w:val="000000"/>
            <w:sz w:val="24"/>
          </w:rPr>
          <w:t>410</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Employer’s share of medical payments under Iowa Code sections </w:t>
      </w:r>
      <w:hyperlink r:id="rId12">
        <w:r>
          <w:rPr>
            <w:rStyle w:val="Hyperlink"/>
            <w:rFonts w:ascii="Times New Roman" w:hAnsi="Times New Roman"/>
            <w:b w:val="false"/>
            <w:i w:val="false"/>
            <w:color w:val="000000"/>
            <w:sz w:val="24"/>
          </w:rPr>
          <w:t>410.18</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411.15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Retiree hospital/medical/prescription benefits pursuant to Iowa Code section </w:t>
      </w:r>
      <w:hyperlink r:id="rId14">
        <w:r>
          <w:rPr>
            <w:rStyle w:val="Hyperlink"/>
            <w:rFonts w:ascii="Times New Roman" w:hAnsi="Times New Roman"/>
            <w:b w:val="false"/>
            <w:i w:val="false"/>
            <w:color w:val="000000"/>
            <w:sz w:val="24"/>
          </w:rPr>
          <w:t>364.25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Workers’ compensation costs or insurance premiums.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Unemployment benefits.</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Employer’s share of employee benefit plan costs for employees and their dependents, which would include only: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Hospital/medical/prescription benefits;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Dental benefits;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Disability insurance benefits;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Life insurance benefits;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Long-term care insurance benefits;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Vision benefits.</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Deferred compensation programs for city managers, fire chiefs, and police chiefs who do not participate in either IPERS or MFPRSI.</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Employee wellness programs that are a part of, or are included with, a hospital/medical/prescription benefit program or a health and fitness program for employees that is adopted by city council motion, resolution, ordinance or included in a document approved by the city council.</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Employee assistance program providing free counseling for employees and their dependents.</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OSHA-required tests (e.g., pulmonary and heart tests).</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Regularly scheduled, city-required postemployment physicals for employees, police reserves and volunteer firefighters.</w:t>
      </w:r>
    </w:p>
    <w:p>
      <w:pPr>
        <w:spacing w:before="210" w:after="0" w:line="480"/>
        <w:ind w:left="120"/>
        <w:jc w:val="both"/>
      </w:pPr>
      <w:r>
        <w:rPr>
          <w:rFonts w:ascii="Times New Roman" w:hAnsi="Times New Roman"/>
          <w:b/>
          <w:i w:val="false"/>
          <w:color w:val="000000"/>
          <w:sz w:val="24"/>
        </w:rPr>
        <w:t>545—4.4</w:t>
      </w:r>
      <w:r>
        <w:rPr>
          <w:rFonts w:ascii="Times New Roman" w:hAnsi="Times New Roman"/>
          <w:b/>
          <w:i w:val="false"/>
          <w:color w:val="000000"/>
          <w:sz w:val="24"/>
        </w:rPr>
        <w:t xml:space="preserve">(384) </w:t>
      </w:r>
      <w:r>
        <w:rPr>
          <w:rFonts w:ascii="Times New Roman" w:hAnsi="Times New Roman"/>
          <w:b/>
          <w:i w:val="false"/>
          <w:color w:val="000000"/>
          <w:sz w:val="24"/>
        </w:rPr>
        <w:t xml:space="preserve">Budgeting—other than general fund and road use tax fund. </w:t>
      </w:r>
      <w:r>
        <w:rPr>
          <w:rFonts w:ascii="Times New Roman" w:hAnsi="Times New Roman"/>
          <w:b w:val="false"/>
          <w:i w:val="false"/>
          <w:color w:val="000000"/>
          <w:sz w:val="24"/>
        </w:rPr>
        <w:t>The revenues and appropriations for employee benefits for those employees being paid from any fund other than the city general fund and the road use tax fund are to be budgeted in and paid from the fund from which the employee is being paid.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5">
        <w:r>
          <w:rPr>
            <w:rStyle w:val="Hyperlink"/>
            <w:rFonts w:ascii="Times New Roman" w:hAnsi="Times New Roman"/>
            <w:b w:val="false"/>
            <w:i w:val="false"/>
            <w:color w:val="000000"/>
            <w:sz w:val="24"/>
          </w:rPr>
          <w:t>384.15</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5/22/26,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10.pdf" Type="http://schemas.openxmlformats.org/officeDocument/2006/relationships/hyperlink" Id="rId5"/>
    <Relationship TargetMode="External" Target="https://www.legis.iowa.gov/docs/ico/chapter/411.pdf" Type="http://schemas.openxmlformats.org/officeDocument/2006/relationships/hyperlink" Id="rId6"/>
    <Relationship TargetMode="External" Target="https://www.legis.iowa.gov/docs/ico/chapter/364.25.pdf" Type="http://schemas.openxmlformats.org/officeDocument/2006/relationships/hyperlink" Id="rId7"/>
    <Relationship TargetMode="External" Target="https://www.legis.iowa.gov/docs/ico/chapter/97C.10.pdf" Type="http://schemas.openxmlformats.org/officeDocument/2006/relationships/hyperlink" Id="rId8"/>
    <Relationship TargetMode="External" Target="https://www.legis.iowa.gov/docs/ico/chapter/97B.9.pdf" Type="http://schemas.openxmlformats.org/officeDocument/2006/relationships/hyperlink" Id="rId9"/>
    <Relationship TargetMode="External" Target="https://www.legis.iowa.gov/docs/ico/chapter/410.pdf" Type="http://schemas.openxmlformats.org/officeDocument/2006/relationships/hyperlink" Id="rId10"/>
    <Relationship TargetMode="External" Target="https://www.legis.iowa.gov/docs/ico/chapter/411.pdf" Type="http://schemas.openxmlformats.org/officeDocument/2006/relationships/hyperlink" Id="rId11"/>
    <Relationship TargetMode="External" Target="https://www.legis.iowa.gov/docs/ico/chapter/410.18.pdf" Type="http://schemas.openxmlformats.org/officeDocument/2006/relationships/hyperlink" Id="rId12"/>
    <Relationship TargetMode="External" Target="https://www.legis.iowa.gov/docs/ico/chapter/411.15.pdf" Type="http://schemas.openxmlformats.org/officeDocument/2006/relationships/hyperlink" Id="rId13"/>
    <Relationship TargetMode="External" Target="https://www.legis.iowa.gov/docs/ico/chapter/364.25.pdf" Type="http://schemas.openxmlformats.org/officeDocument/2006/relationships/hyperlink" Id="rId14"/>
    <Relationship TargetMode="External" Target="https://www.legis.iowa.gov/docs/ico/chapter/384.15.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