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85D" w:id="1"/>
    <w:p>
      <w:pPr>
        <w:spacing w:before="0" w:after="0" w:line="480"/>
        <w:ind w:left="120"/>
        <w:jc w:val="right"/>
      </w:pPr>
      <w:r>
        <w:rPr>
          <w:rFonts w:ascii="Times New Roman" w:hAnsi="Times New Roman"/>
          <w:b/>
          <w:i w:val="false"/>
          <w:color w:val="000000"/>
          <w:sz w:val="28"/>
        </w:rPr>
        <w:t>ARC 0385D</w:t>
      </w:r>
    </w:p>
    <w:bookmarkEnd w:id="1"/>
    <w:p>
      <w:pPr>
        <w:pBdr>
          <w:top w:space="5"/>
        </w:pBdr>
        <w:spacing w:before="0" w:after="0" w:line="480"/>
        <w:ind w:left="120"/>
        <w:jc w:val="center"/>
      </w:pPr>
      <w:r>
        <w:rPr>
          <w:rFonts w:ascii="Times New Roman" w:hAnsi="Times New Roman"/>
          <w:b/>
          <w:i w:val="false"/>
          <w:color w:val="000000"/>
          <w:sz w:val="28"/>
        </w:rPr>
        <w:t>INSURANCE DIVISION[191]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contested cases</w:t>
      </w:r>
    </w:p>
    <w:p>
      <w:pPr>
        <w:pBdr>
          <w:top w:space="5"/>
        </w:pBdr>
        <w:spacing w:before="0" w:after="0" w:line="480"/>
        <w:ind w:left="120"/>
        <w:jc w:val="both"/>
      </w:pPr>
      <w:r>
        <w:rPr>
          <w:rFonts w:ascii="Times New Roman" w:hAnsi="Times New Roman"/>
          <w:b w:val="false"/>
          <w:i w:val="false"/>
          <w:color w:val="000000"/>
          <w:sz w:val="24"/>
        </w:rPr>
        <w:t>    The Insurance Division hereby adopts new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17A and 2026 Iowa Acts, Senate File 2463, section 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 and 2026 Iowa Acts, Senate File 2463, section 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rulemaking modifies the Uniform Rules on Agency Procedure related to contested cases (7—Chapter 2506) to ensure that matters coming before the Division are governed by these administrative procedures and not the contested case provisions of 7—Chapter 2506.  </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Division finds that notice and public participation are unnecessary or impractical because statute so provides.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Division also finds that the normal effective date of this rulemaking, 35 days after publication, should be waived and the rulemaking made effective on June 30, 2026, because 2026 Iowa Acts, Senate File 2463, section 5, authorizes emergency rulemaking to provide for additions, exceptions, or amendments to the Uniform Rules on Agency Procedure. The new Uniform Rules on Agency Procedure are effective as of January 13, 2026, which means there is an inconsistency between the contested case provisions of the Uniform Rules on Agency Procedure and the procedures that the Division requires to process the Division’s significant regulatory caseload. An earlier effective date will allow the Division to ensure any respondent coming before the Division has clear direction as to the appropriate procedural requirements.</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Douglas Ommen, Iowa Insurance Commissioner, on June 3,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0386D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Division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191—Chapter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191—2506.5</w:t>
      </w:r>
      <w:r>
        <w:rPr>
          <w:rFonts w:ascii="Times New Roman" w:hAnsi="Times New Roman"/>
          <w:b/>
          <w:i w:val="false"/>
          <w:color w:val="000000"/>
          <w:sz w:val="24"/>
        </w:rPr>
        <w:t xml:space="preserve">(17A) </w:t>
      </w:r>
      <w:r>
        <w:rPr>
          <w:rFonts w:ascii="Times New Roman" w:hAnsi="Times New Roman"/>
          <w:b/>
          <w:i w:val="false"/>
          <w:color w:val="000000"/>
          <w:sz w:val="24"/>
        </w:rPr>
        <w:t xml:space="preserve">Notice of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2506.5(3)</w:t>
      </w:r>
      <w:r>
        <w:rPr>
          <w:rFonts w:ascii="Times New Roman" w:hAnsi="Times New Roman"/>
          <w:b w:val="false"/>
          <w:i w:val="false"/>
          <w:color w:val="000000"/>
          <w:sz w:val="24"/>
        </w:rPr>
        <w:t> </w:t>
      </w:r>
      <w:r>
        <w:rPr>
          <w:rFonts w:ascii="Times New Roman" w:hAnsi="Times New Roman"/>
          <w:b w:val="false"/>
          <w:i/>
          <w:color w:val="000000"/>
          <w:sz w:val="24"/>
        </w:rPr>
        <w:t xml:space="preserve">Timing of hearing. </w:t>
      </w:r>
      <w:r>
        <w:rPr>
          <w:rFonts w:ascii="Times New Roman" w:hAnsi="Times New Roman"/>
          <w:b w:val="false"/>
          <w:i w:val="false"/>
          <w:color w:val="000000"/>
          <w:sz w:val="24"/>
        </w:rPr>
        <w:t>The hearing in a contested case shall be held within 90 days after the commencement of the contested case unless a continuance is granted by the presiding officer, or as otherwise permitted by law.</w:t>
      </w:r>
    </w:p>
    <w:p>
      <w:pPr>
        <w:spacing w:before="0" w:after="0" w:line="480"/>
        <w:ind w:left="120"/>
        <w:jc w:val="both"/>
      </w:pPr>
      <w:r>
        <w:rPr>
          <w:rFonts w:ascii="Times New Roman" w:hAnsi="Times New Roman"/>
          <w:b/>
          <w:i w:val="false"/>
          <w:color w:val="000000"/>
          <w:sz w:val="24"/>
        </w:rPr>
        <w:t>191—2506.13</w:t>
      </w:r>
      <w:r>
        <w:rPr>
          <w:rFonts w:ascii="Times New Roman" w:hAnsi="Times New Roman"/>
          <w:b/>
          <w:i w:val="false"/>
          <w:color w:val="000000"/>
          <w:sz w:val="24"/>
        </w:rPr>
        <w:t xml:space="preserve">(17A) </w:t>
      </w:r>
      <w:r>
        <w:rPr>
          <w:rFonts w:ascii="Times New Roman" w:hAnsi="Times New Roman"/>
          <w:b/>
          <w:i w:val="false"/>
          <w:color w:val="000000"/>
          <w:sz w:val="24"/>
        </w:rPr>
        <w:t xml:space="preserve">Discovery.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2506.13(1)</w:t>
      </w:r>
      <w:r>
        <w:rPr>
          <w:rFonts w:ascii="Times New Roman" w:hAnsi="Times New Roman"/>
          <w:b w:val="false"/>
          <w:i w:val="false"/>
          <w:color w:val="000000"/>
          <w:sz w:val="24"/>
        </w:rPr>
        <w:t> </w:t>
      </w:r>
      <w:r>
        <w:rPr>
          <w:rFonts w:ascii="Times New Roman" w:hAnsi="Times New Roman"/>
          <w:b w:val="false"/>
          <w:i/>
          <w:color w:val="000000"/>
          <w:sz w:val="24"/>
        </w:rPr>
        <w:t xml:space="preserve">Discovery procedures. </w:t>
      </w:r>
      <w:r>
        <w:rPr>
          <w:rFonts w:ascii="Times New Roman" w:hAnsi="Times New Roman"/>
          <w:b w:val="false"/>
          <w:i w:val="false"/>
          <w:color w:val="000000"/>
          <w:sz w:val="24"/>
        </w:rPr>
        <w:t>Discovery procedures applicable in civil actions are applicable in contested cases. Unless lengthened or shortened by these rules or by order of the presiding officer, time periods for compliance with discovery are as set forth in the Iowa Rules of Civil Procedure. No new discovery under Iowa Rules of Civil Procedure 1.509, 1.510, and 1.512 may be served within 40 days of the scheduled hearing. All discovery must be completed no later than 15 days before the prehearing conference.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2506.13(5)</w:t>
      </w:r>
      <w:r>
        <w:rPr>
          <w:rFonts w:ascii="Times New Roman" w:hAnsi="Times New Roman"/>
          <w:b w:val="false"/>
          <w:i w:val="false"/>
          <w:color w:val="000000"/>
          <w:sz w:val="24"/>
        </w:rPr>
        <w:t> </w:t>
      </w:r>
      <w:r>
        <w:rPr>
          <w:rFonts w:ascii="Times New Roman" w:hAnsi="Times New Roman"/>
          <w:b w:val="false"/>
          <w:i/>
          <w:color w:val="000000"/>
          <w:sz w:val="24"/>
        </w:rPr>
        <w:t xml:space="preserve">Notice of discovery. </w:t>
      </w:r>
      <w:r>
        <w:rPr>
          <w:rFonts w:ascii="Times New Roman" w:hAnsi="Times New Roman"/>
          <w:b w:val="false"/>
          <w:i w:val="false"/>
          <w:color w:val="000000"/>
          <w:sz w:val="24"/>
        </w:rPr>
        <w:t xml:space="preserve">Discovery is only permitted after a party has filed, pursuant to rule </w:t>
      </w:r>
      <w:hyperlink r:id="rId8">
        <w:r>
          <w:rPr>
            <w:rStyle w:val="Hyperlink"/>
            <w:rFonts w:ascii="Times New Roman" w:hAnsi="Times New Roman"/>
            <w:b w:val="false"/>
            <w:i w:val="false"/>
            <w:color w:val="000000"/>
            <w:sz w:val="24"/>
          </w:rPr>
          <w:t>7—2506.12</w:t>
        </w:r>
      </w:hyperlink>
      <w:r>
        <w:rPr>
          <w:rFonts w:ascii="Times New Roman" w:hAnsi="Times New Roman"/>
          <w:b w:val="false"/>
          <w:i w:val="false"/>
          <w:color w:val="000000"/>
          <w:sz w:val="24"/>
        </w:rPr>
        <w:t>(17A), a notice of discovery no later than 15 days after the filing of an answer unless extended by the presiding officer for good cause shown or by agreement of the parties. The notice of discovery shall be a general notice that the party is serving discovery. The notice should include a statement regarding the type of discovery being conducted and the due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2506.13(6)</w:t>
      </w:r>
      <w:r>
        <w:rPr>
          <w:rFonts w:ascii="Times New Roman" w:hAnsi="Times New Roman"/>
          <w:b w:val="false"/>
          <w:i w:val="false"/>
          <w:color w:val="000000"/>
          <w:sz w:val="24"/>
        </w:rPr>
        <w:t> </w:t>
      </w:r>
      <w:r>
        <w:rPr>
          <w:rFonts w:ascii="Times New Roman" w:hAnsi="Times New Roman"/>
          <w:b w:val="false"/>
          <w:i/>
          <w:color w:val="000000"/>
          <w:sz w:val="24"/>
        </w:rPr>
        <w:t xml:space="preserve">Discovery responses. </w:t>
      </w:r>
      <w:r>
        <w:rPr>
          <w:rFonts w:ascii="Times New Roman" w:hAnsi="Times New Roman"/>
          <w:b w:val="false"/>
          <w:i w:val="false"/>
          <w:color w:val="000000"/>
          <w:sz w:val="24"/>
        </w:rPr>
        <w:t>Parties must respond to discovery within 15 days of receipt unless the parties mutually agree there is good cause to lengthen the response period or by order of the presiding officer. Time periods for compliance with discovery may be lengthened or shortened by order of the presiding officer.</w:t>
      </w:r>
    </w:p>
    <w:p>
      <w:pPr>
        <w:spacing w:before="0" w:after="0" w:line="480"/>
        <w:ind w:left="120"/>
        <w:jc w:val="both"/>
      </w:pPr>
      <w:r>
        <w:rPr>
          <w:rFonts w:ascii="Times New Roman" w:hAnsi="Times New Roman"/>
          <w:b/>
          <w:i w:val="false"/>
          <w:color w:val="000000"/>
          <w:sz w:val="24"/>
        </w:rPr>
        <w:t>191—2506.17</w:t>
      </w:r>
      <w:r>
        <w:rPr>
          <w:rFonts w:ascii="Times New Roman" w:hAnsi="Times New Roman"/>
          <w:b/>
          <w:i w:val="false"/>
          <w:color w:val="000000"/>
          <w:sz w:val="24"/>
        </w:rPr>
        <w:t xml:space="preserve">(17A) </w:t>
      </w:r>
      <w:r>
        <w:rPr>
          <w:rFonts w:ascii="Times New Roman" w:hAnsi="Times New Roman"/>
          <w:b/>
          <w:i w:val="false"/>
          <w:color w:val="000000"/>
          <w:sz w:val="24"/>
        </w:rPr>
        <w:t xml:space="preserve">Continuances.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2506.17(1)</w:t>
      </w: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made at the earliest possible time and no less than 14 days before the hearing, except in case of unanticipated emergencies or consent of all parties;</w:t>
      </w:r>
    </w:p>
    <w:p>
      <w:pPr>
        <w:spacing w:before="0" w:after="0" w:line="480"/>
        <w:ind w:left="120"/>
        <w:jc w:val="both"/>
      </w:pPr>
      <w:r>
        <w:rPr>
          <w:rFonts w:ascii="Times New Roman" w:hAnsi="Times New Roman"/>
          <w:b/>
          <w:i w:val="false"/>
          <w:color w:val="000000"/>
          <w:sz w:val="24"/>
        </w:rPr>
        <w:t>191—2506.26</w:t>
      </w:r>
      <w:r>
        <w:rPr>
          <w:rFonts w:ascii="Times New Roman" w:hAnsi="Times New Roman"/>
          <w:b/>
          <w:i w:val="false"/>
          <w:color w:val="000000"/>
          <w:sz w:val="24"/>
        </w:rPr>
        <w:t xml:space="preserve">(17A) </w:t>
      </w:r>
      <w:r>
        <w:rPr>
          <w:rFonts w:ascii="Times New Roman" w:hAnsi="Times New Roman"/>
          <w:b/>
          <w:i w:val="false"/>
          <w:color w:val="000000"/>
          <w:sz w:val="24"/>
        </w:rPr>
        <w:t xml:space="preserve">Final decision.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2506.26(1)</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 commissioner presides over the reception of evidence at the hearing, the commissioner’s decision is the final decision. When the commissioner does not preside over the reception of evidence, the presiding officer shall make a proposed decision. The proposed decision becomes the final decision of the agency when adopted by the commissioner or without further proceedings after the time provided in rule </w:t>
      </w:r>
      <w:hyperlink r:id="rId9">
        <w:r>
          <w:rPr>
            <w:rStyle w:val="Hyperlink"/>
            <w:rFonts w:ascii="Times New Roman" w:hAnsi="Times New Roman"/>
            <w:b w:val="false"/>
            <w:i w:val="false"/>
            <w:color w:val="000000"/>
            <w:sz w:val="24"/>
          </w:rPr>
          <w:t>7—2506.27</w:t>
        </w:r>
      </w:hyperlink>
      <w:r>
        <w:rPr>
          <w:rFonts w:ascii="Times New Roman" w:hAnsi="Times New Roman"/>
          <w:b w:val="false"/>
          <w:i w:val="false"/>
          <w:color w:val="000000"/>
          <w:sz w:val="24"/>
        </w:rPr>
        <w:t>(17A).</w:t>
      </w:r>
    </w:p>
    <w:p>
      <w:pPr>
        <w:spacing w:before="210" w:after="0" w:line="480"/>
        <w:ind w:left="120"/>
        <w:jc w:val="both"/>
      </w:pPr>
      <w:r>
        <w:rPr>
          <w:rFonts w:ascii="Times New Roman" w:hAnsi="Times New Roman"/>
          <w:b/>
          <w:i w:val="false"/>
          <w:color w:val="000000"/>
          <w:sz w:val="24"/>
        </w:rPr>
        <w:t>191—2506.32</w:t>
      </w:r>
      <w:r>
        <w:rPr>
          <w:rFonts w:ascii="Times New Roman" w:hAnsi="Times New Roman"/>
          <w:b/>
          <w:i w:val="false"/>
          <w:color w:val="000000"/>
          <w:sz w:val="24"/>
        </w:rPr>
        <w:t xml:space="preserve">(17A) </w:t>
      </w:r>
      <w:r>
        <w:rPr>
          <w:rFonts w:ascii="Times New Roman" w:hAnsi="Times New Roman"/>
          <w:b/>
          <w:i w:val="false"/>
          <w:color w:val="000000"/>
          <w:sz w:val="24"/>
        </w:rPr>
        <w:t xml:space="preserve">Summary cease and desist orders. </w:t>
      </w:r>
      <w:r>
        <w:rPr>
          <w:rFonts w:ascii="Times New Roman" w:hAnsi="Times New Roman"/>
          <w:b w:val="false"/>
          <w:i w:val="false"/>
          <w:color w:val="000000"/>
          <w:sz w:val="24"/>
        </w:rPr>
        <w:t>When a statute authorizes action to be taken without a prior hearing, the commissioner’s order shall be sent to the last-known address of the party by return receipt requested unless the party is a licensee in which case the order shall be sent by restricted certified mail. The order shall include a brief statement of findings of fact, conclusions of law, and policy reasons for the decision; direct the person or insurer to cease and desist from engaging in the act or practice or to take other affirmative action as necessary, in the judgment of the commissioner, to comply with the statute; and state that the party will be afforded a contested case proceeding and a hearing if a request is filed with the commissioner within 30 days from the date that the order is issued unless a different time is specified by statute. The commissioner shall issue a notice of hearing no later than 30 days from the date of receipt of a timely request for a contested case proceeding and hearing. If a statute requires a hearing to be held following issuance of a summary order, the date and time of that hearing shall be set forth in the order. Summary orders shall remain effective during the pendency of proceedings.</w:t>
      </w:r>
    </w:p>
    <w:p>
      <w:pPr>
        <w:spacing w:before="210" w:after="0" w:line="480"/>
        <w:ind w:left="120"/>
        <w:jc w:val="both"/>
      </w:pPr>
      <w:r>
        <w:rPr>
          <w:rFonts w:ascii="Times New Roman" w:hAnsi="Times New Roman"/>
          <w:b/>
          <w:i w:val="false"/>
          <w:color w:val="000000"/>
          <w:sz w:val="24"/>
        </w:rPr>
        <w:t>191—2506.33</w:t>
      </w:r>
      <w:r>
        <w:rPr>
          <w:rFonts w:ascii="Times New Roman" w:hAnsi="Times New Roman"/>
          <w:b/>
          <w:i w:val="false"/>
          <w:color w:val="000000"/>
          <w:sz w:val="24"/>
        </w:rPr>
        <w:t xml:space="preserve">(17A) </w:t>
      </w:r>
      <w:r>
        <w:rPr>
          <w:rFonts w:ascii="Times New Roman" w:hAnsi="Times New Roman"/>
          <w:b/>
          <w:i w:val="false"/>
          <w:color w:val="000000"/>
          <w:sz w:val="24"/>
        </w:rPr>
        <w:t xml:space="preserve">Report by administrative law judge. </w:t>
      </w:r>
      <w:r>
        <w:rPr>
          <w:rFonts w:ascii="Times New Roman" w:hAnsi="Times New Roman"/>
          <w:b w:val="false"/>
          <w:i w:val="false"/>
          <w:color w:val="000000"/>
          <w:sz w:val="24"/>
        </w:rPr>
        <w:t>Any administrative law judge serving as a presiding officer in a contested case shall report to the commissioner on a monthly basis all matters taken under advisement for longer than 60 days, together with an explanation of the reasons for the delay and an expected date of a proposed decision. A matter shall be reported when all hearings have been completed and the matter awaits the issuance of a proposed decision without further appearance of the parties or their attorneys, even though briefs or transcripts have been ordered but have not yet been filed. The report shall be due on the tenth day of each calendar month for the period ending with the last day of the preceding calendar month. The report shall be signed by the administrative law judge. All reports received will be filed with the division as records available for public inspection.</w:t>
      </w:r>
    </w:p>
    <w:p>
      <w:pPr>
        <w:spacing w:before="0" w:after="0" w:line="480"/>
        <w:ind w:left="120"/>
        <w:jc w:val="both"/>
      </w:pPr>
      <w:r>
        <w:rPr>
          <w:rFonts w:ascii="Times New Roman" w:hAnsi="Times New Roman"/>
          <w:b/>
          <w:i w:val="false"/>
          <w:color w:val="000000"/>
          <w:sz w:val="24"/>
        </w:rPr>
        <w:t>191—2506.34</w:t>
      </w:r>
      <w:r>
        <w:rPr>
          <w:rFonts w:ascii="Times New Roman" w:hAnsi="Times New Roman"/>
          <w:b/>
          <w:i w:val="false"/>
          <w:color w:val="000000"/>
          <w:sz w:val="24"/>
        </w:rPr>
        <w:t xml:space="preserve">(17A) </w:t>
      </w:r>
      <w:r>
        <w:rPr>
          <w:rFonts w:ascii="Times New Roman" w:hAnsi="Times New Roman"/>
          <w:b/>
          <w:i w:val="false"/>
          <w:color w:val="000000"/>
          <w:sz w:val="24"/>
        </w:rPr>
        <w:t xml:space="preserve">Settlement.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2506.34(1)</w:t>
      </w:r>
      <w:r>
        <w:rPr>
          <w:rFonts w:ascii="Times New Roman" w:hAnsi="Times New Roman"/>
          <w:b w:val="false"/>
          <w:i w:val="false"/>
          <w:color w:val="000000"/>
          <w:sz w:val="24"/>
        </w:rPr>
        <w:t> </w:t>
      </w:r>
      <w:r>
        <w:rPr>
          <w:rFonts w:ascii="Times New Roman" w:hAnsi="Times New Roman"/>
          <w:b w:val="false"/>
          <w:i w:val="false"/>
          <w:color w:val="000000"/>
          <w:sz w:val="24"/>
        </w:rPr>
        <w:t>A party to a controversy that may culminate or has culminated in contested case proceedings may attempt settlement by complying with the procedures set forth in this subrule. No party shall be required to settle the controversy or contested case by submitting to settlement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2506.34(2)</w:t>
      </w:r>
      <w:r>
        <w:rPr>
          <w:rFonts w:ascii="Times New Roman" w:hAnsi="Times New Roman"/>
          <w:b w:val="false"/>
          <w:i w:val="false"/>
          <w:color w:val="000000"/>
          <w:sz w:val="24"/>
        </w:rPr>
        <w:t> </w:t>
      </w:r>
      <w:r>
        <w:rPr>
          <w:rFonts w:ascii="Times New Roman" w:hAnsi="Times New Roman"/>
          <w:b w:val="false"/>
          <w:i w:val="false"/>
          <w:color w:val="000000"/>
          <w:sz w:val="24"/>
        </w:rPr>
        <w:t>Parties desiring settlement shall set forth in writing the various points of a proposed settlement, including findings of facts.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2506.34(3)</w:t>
      </w:r>
      <w:r>
        <w:rPr>
          <w:rFonts w:ascii="Times New Roman" w:hAnsi="Times New Roman"/>
          <w:b w:val="false"/>
          <w:i w:val="false"/>
          <w:color w:val="000000"/>
          <w:sz w:val="24"/>
        </w:rPr>
        <w:t> </w:t>
      </w:r>
      <w:r>
        <w:rPr>
          <w:rFonts w:ascii="Times New Roman" w:hAnsi="Times New Roman"/>
          <w:b w:val="false"/>
          <w:i w:val="false"/>
          <w:color w:val="000000"/>
          <w:sz w:val="24"/>
        </w:rPr>
        <w:t>When signed by the parties and approved by the commissioner, a settlement shall represent final disposition of the matter.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2506.34(4)</w:t>
      </w:r>
      <w:r>
        <w:rPr>
          <w:rFonts w:ascii="Times New Roman" w:hAnsi="Times New Roman"/>
          <w:b w:val="false"/>
          <w:i w:val="false"/>
          <w:color w:val="000000"/>
          <w:sz w:val="24"/>
        </w:rPr>
        <w:t> </w:t>
      </w:r>
      <w:r>
        <w:rPr>
          <w:rFonts w:ascii="Times New Roman" w:hAnsi="Times New Roman"/>
          <w:b w:val="false"/>
          <w:i w:val="false"/>
          <w:color w:val="000000"/>
          <w:sz w:val="24"/>
        </w:rPr>
        <w:t>When there is more than one party adverse to the division, a separate settlement between one party and the division is permissible.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2506.34(5)</w:t>
      </w:r>
      <w:r>
        <w:rPr>
          <w:rFonts w:ascii="Times New Roman" w:hAnsi="Times New Roman"/>
          <w:b w:val="false"/>
          <w:i w:val="false"/>
          <w:color w:val="000000"/>
          <w:sz w:val="24"/>
        </w:rPr>
        <w:t> </w:t>
      </w:r>
      <w:r>
        <w:rPr>
          <w:rFonts w:ascii="Times New Roman" w:hAnsi="Times New Roman"/>
          <w:b w:val="false"/>
          <w:i w:val="false"/>
          <w:color w:val="000000"/>
          <w:sz w:val="24"/>
        </w:rPr>
        <w:t>A proposed settlement that is not accepted or signed by the parties and the commissioner shall not be admitted as evidence in the record of a contested case proceeding. Evidence of conduct or statements made in settlement negotiations likewise are not admissible. This rule does not require exclusion when the evidence is offered for another purpose, such as proving bias or prejudice of a witness, negating a contention of undue delay, or proving an effort to obstruct a criminal investigation or prosecution.</w:t>
      </w:r>
    </w:p>
    <w:p>
      <w:pPr>
        <w:spacing w:before="0" w:after="0" w:line="480"/>
        <w:ind w:left="120"/>
        <w:jc w:val="both"/>
      </w:pPr>
    </w:p>
    <w:p>
      <w:pPr>
        <w:spacing w:before="0" w:after="0" w:line="480"/>
        <w:ind w:left="120"/>
        <w:jc w:val="center"/>
      </w:pPr>
      <w:r>
        <w:rPr>
          <w:rFonts w:ascii="Times New Roman" w:hAnsi="Times New Roman"/>
          <w:b w:val="false"/>
          <w:i w:val="false"/>
          <w:color w:val="000000"/>
          <w:sz w:val="24"/>
        </w:rPr>
        <w:t>[Filed Emergency 6/3/26, effective 6/30/26]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7.2506.12.pdf" Type="http://schemas.openxmlformats.org/officeDocument/2006/relationships/hyperlink" Id="rId8"/>
    <Relationship TargetMode="External" Target="https://www.legis.iowa.gov/docs/iac/rule/7.2506.27.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