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82D" w:id="1"/>
    <w:p>
      <w:pPr>
        <w:spacing w:before="0" w:after="0" w:line="480"/>
        <w:ind w:left="120"/>
        <w:jc w:val="right"/>
      </w:pPr>
      <w:r>
        <w:rPr>
          <w:rFonts w:ascii="Times New Roman" w:hAnsi="Times New Roman"/>
          <w:b/>
          <w:i w:val="false"/>
          <w:color w:val="000000"/>
          <w:sz w:val="28"/>
        </w:rPr>
        <w:t>ARC 0382D</w:t>
      </w:r>
    </w:p>
    <w:bookmarkEnd w:id="1"/>
    <w:p>
      <w:pPr>
        <w:pBdr>
          <w:top w:space="5"/>
        </w:pBdr>
        <w:spacing w:before="0" w:after="0" w:line="480"/>
        <w:ind w:left="120"/>
        <w:jc w:val="center"/>
      </w:pPr>
      <w:r>
        <w:rPr>
          <w:rFonts w:ascii="Times New Roman" w:hAnsi="Times New Roman"/>
          <w:b/>
          <w:i w:val="false"/>
          <w:color w:val="000000"/>
          <w:sz w:val="28"/>
        </w:rPr>
        <w:t>HUMAN RIGHTS DEPARTMENT[421]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rescission of chapters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 “Organization and Operations,” Chapter 20, “Functions of Division,” Chapter 21, “Community Services Block Grant (CSBG),” Chapter 22, “Low-Income Home Energy Assistance Program (LIHEAP),” Chapter 23, “Weatherization,” and Chapter 25, “Individual Development Account (IDA),”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216A and 541A.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2023 Iowa Acts, Senate File 514,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chapters in legacy agency [421] are due for Red Tape Review in 2026. As part of that review and under the government realignment authorized by 2023 Iowa Acts, Senate File 514, these chapters are proposed to be rescinded. Some of the chapters are concurrently proposed to be repromulgated under agency [441] (</w:t>
      </w:r>
      <w:r>
        <w:rPr>
          <w:rFonts w:ascii="Times New Roman" w:hAnsi="Times New Roman"/>
          <w:b/>
          <w:i w:val="false"/>
          <w:color w:val="000000"/>
          <w:sz w:val="24"/>
        </w:rPr>
        <w:t>ARCs 0379D</w:t>
      </w:r>
      <w:r>
        <w:rPr>
          <w:rFonts w:ascii="Times New Roman" w:hAnsi="Times New Roman"/>
          <w:b w:val="false"/>
          <w:i w:val="false"/>
          <w:color w:val="000000"/>
          <w:sz w:val="24"/>
        </w:rPr>
        <w:t xml:space="preserve">, </w:t>
      </w:r>
      <w:r>
        <w:rPr>
          <w:rFonts w:ascii="Times New Roman" w:hAnsi="Times New Roman"/>
          <w:b/>
          <w:i w:val="false"/>
          <w:color w:val="000000"/>
          <w:sz w:val="24"/>
        </w:rPr>
        <w:t>0381D</w:t>
      </w:r>
      <w:r>
        <w:rPr>
          <w:rFonts w:ascii="Times New Roman" w:hAnsi="Times New Roman"/>
          <w:b w:val="false"/>
          <w:i w:val="false"/>
          <w:color w:val="000000"/>
          <w:sz w:val="24"/>
        </w:rPr>
        <w:t xml:space="preserve">, </w:t>
      </w:r>
      <w:r>
        <w:rPr>
          <w:rFonts w:ascii="Times New Roman" w:hAnsi="Times New Roman"/>
          <w:b/>
          <w:i w:val="false"/>
          <w:color w:val="000000"/>
          <w:sz w:val="24"/>
        </w:rPr>
        <w:t>0383D</w:t>
      </w:r>
      <w:r>
        <w:rPr>
          <w:rFonts w:ascii="Times New Roman" w:hAnsi="Times New Roman"/>
          <w:b w:val="false"/>
          <w:i w:val="false"/>
          <w:color w:val="000000"/>
          <w:sz w:val="24"/>
        </w:rPr>
        <w:t xml:space="preserve">, and </w:t>
      </w:r>
      <w:r>
        <w:rPr>
          <w:rFonts w:ascii="Times New Roman" w:hAnsi="Times New Roman"/>
          <w:b/>
          <w:i w:val="false"/>
          <w:color w:val="000000"/>
          <w:sz w:val="24"/>
        </w:rPr>
        <w:t>0384D</w:t>
      </w:r>
      <w:r>
        <w:rPr>
          <w:rFonts w:ascii="Times New Roman" w:hAnsi="Times New Roman"/>
          <w:b w:val="false"/>
          <w:i w:val="false"/>
          <w:color w:val="000000"/>
          <w:sz w:val="24"/>
        </w:rPr>
        <w:t>, IAB 6/24/26).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13,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July 14,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Victoria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275 593 971 020 806</w:t>
            </w:r>
            <w:r>
              <w:br/>
            </w:r>
            <w:r>
              <w:rPr>
                <w:rFonts w:ascii="Times New Roman" w:hAnsi="Times New Roman"/>
                <w:b w:val="false"/>
                <w:i w:val="false"/>
                <w:color w:val="000000"/>
                <w:sz w:val="14"/>
              </w:rPr>
              <w:t xml:space="preserve"> Passcode: Dp6oW2fe </w:t>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218 304 666 603 048</w:t>
            </w:r>
            <w:r>
              <w:br/>
            </w:r>
            <w:r>
              <w:rPr>
                <w:rFonts w:ascii="Times New Roman" w:hAnsi="Times New Roman"/>
                <w:b w:val="false"/>
                <w:i w:val="false"/>
                <w:color w:val="000000"/>
                <w:sz w:val="14"/>
              </w:rPr>
              <w:t xml:space="preserve"> Passcode: oX7Ex26e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25</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