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78D" w:id="1"/>
    <w:p>
      <w:pPr>
        <w:spacing w:before="0" w:after="0" w:line="480"/>
        <w:ind w:left="120"/>
        <w:jc w:val="right"/>
      </w:pPr>
      <w:r>
        <w:rPr>
          <w:rFonts w:ascii="Times New Roman" w:hAnsi="Times New Roman"/>
          <w:b/>
          <w:i w:val="false"/>
          <w:color w:val="000000"/>
          <w:sz w:val="28"/>
        </w:rPr>
        <w:t>ARC 0378D</w:t>
      </w:r>
    </w:p>
    <w:bookmarkEnd w:id="1"/>
    <w:p>
      <w:pPr>
        <w:pBdr>
          <w:top w:space="5"/>
        </w:pBdr>
        <w:spacing w:before="0" w:after="0" w:line="480"/>
        <w:ind w:left="120"/>
        <w:jc w:val="center"/>
      </w:pPr>
      <w:r>
        <w:rPr>
          <w:rFonts w:ascii="Times New Roman" w:hAnsi="Times New Roman"/>
          <w:b/>
          <w:i w:val="false"/>
          <w:color w:val="000000"/>
          <w:sz w:val="28"/>
        </w:rPr>
        <w:t>CIVIL RIGHTS, OFFICE OF[161]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contested cases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Office of Civil Rights hereby proposes to adopt new Chapter 2506, “Contested Cases,”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216.5(14).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2026 Iowa Acts, Senate File 2463.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modifies the Uniform Rules on Agency Procedure related to contested cases (7—Chapter 2506) to ensure that claims governed by Iowa Code chapter 216 (Iowa Civil Rights Act) specify the correct administrative appellate body.</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Office for a waiver of the discretionary provisions, if any, pursuant to 161—Chapter 15.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Office no later than 4:30 p.m. on July 14,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Katie Fiala </w:t>
            </w:r>
            <w:r>
              <w:br/>
            </w:r>
            <w:r>
              <w:rPr>
                <w:rFonts w:ascii="Times New Roman" w:hAnsi="Times New Roman"/>
                <w:b w:val="false"/>
                <w:i w:val="false"/>
                <w:color w:val="000000"/>
                <w:sz w:val="14"/>
              </w:rPr>
              <w:t>Iowa Office of Civil Rights</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Phone: 515.281.8086</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katie.fiala@iowa.gov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Emergency Rulemaking Adopted by Reference</w:t>
      </w:r>
    </w:p>
    <w:p>
      <w:pPr>
        <w:pBdr>
          <w:top w:space="5"/>
        </w:pBdr>
        <w:spacing w:before="0" w:after="0" w:line="480"/>
        <w:ind w:left="120"/>
        <w:jc w:val="both"/>
      </w:pPr>
      <w:r>
        <w:rPr>
          <w:rFonts w:ascii="Times New Roman" w:hAnsi="Times New Roman"/>
          <w:b w:val="false"/>
          <w:i w:val="false"/>
          <w:color w:val="000000"/>
          <w:sz w:val="24"/>
        </w:rPr>
        <w:t xml:space="preserve">    This proposed rulemaking is also published herein as an Adopted and Filed Emergency rulemaking (see </w:t>
      </w:r>
      <w:r>
        <w:rPr>
          <w:rFonts w:ascii="Times New Roman" w:hAnsi="Times New Roman"/>
          <w:b/>
          <w:i w:val="false"/>
          <w:color w:val="000000"/>
          <w:sz w:val="24"/>
        </w:rPr>
        <w:t>ARC 0377D</w:t>
      </w:r>
      <w:r>
        <w:rPr>
          <w:rFonts w:ascii="Times New Roman" w:hAnsi="Times New Roman"/>
          <w:b w:val="false"/>
          <w:i w:val="false"/>
          <w:color w:val="000000"/>
          <w:sz w:val="24"/>
        </w:rPr>
        <w:t>, IAB 6/24/26). The purpose of this Notice of Intended Action is to solicit public comment on that emergency rulemaking, whose subject matter is hereby adopted by reference.</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katie.fiala@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