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7D" w:id="1"/>
    <w:p>
      <w:pPr>
        <w:spacing w:before="0" w:after="0" w:line="480"/>
        <w:ind w:left="120"/>
        <w:jc w:val="right"/>
      </w:pPr>
      <w:r>
        <w:rPr>
          <w:rFonts w:ascii="Times New Roman" w:hAnsi="Times New Roman"/>
          <w:b/>
          <w:i w:val="false"/>
          <w:color w:val="000000"/>
          <w:sz w:val="28"/>
        </w:rPr>
        <w:t>ARC 0377D</w:t>
      </w:r>
    </w:p>
    <w:bookmarkEnd w:id="1"/>
    <w:p>
      <w:pPr>
        <w:pBdr>
          <w:top w:space="5"/>
        </w:pBdr>
        <w:spacing w:before="0" w:after="0" w:line="480"/>
        <w:ind w:left="120"/>
        <w:jc w:val="center"/>
      </w:pPr>
      <w:r>
        <w:rPr>
          <w:rFonts w:ascii="Times New Roman" w:hAnsi="Times New Roman"/>
          <w:b/>
          <w:i w:val="false"/>
          <w:color w:val="000000"/>
          <w:sz w:val="28"/>
        </w:rPr>
        <w:t>CIVIL RIGHTS, OFFICE OF[161]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contested cases</w:t>
      </w:r>
    </w:p>
    <w:p>
      <w:pPr>
        <w:pBdr>
          <w:top w:space="5"/>
        </w:pBdr>
        <w:spacing w:before="0" w:after="0" w:line="480"/>
        <w:ind w:left="120"/>
        <w:jc w:val="both"/>
      </w:pPr>
      <w:r>
        <w:rPr>
          <w:rFonts w:ascii="Times New Roman" w:hAnsi="Times New Roman"/>
          <w:b w:val="false"/>
          <w:i w:val="false"/>
          <w:color w:val="000000"/>
          <w:sz w:val="24"/>
        </w:rPr>
        <w:t>    The Iowa Office of Civil Rights hereby adopts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216.5(14).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contested cases (7—Chapter 2506) to ensure that claims governed by Iowa Code chapter 216 (Iowa Civil Rights Act) specify the correct administrative appellate body.</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Agency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Office also finds that the normal effective date of rulemaking, 35 days after publication, should be waived and the rulemaking made effective on June 30, 2026, because 2026 Iowa Acts, Senate File 2463, section 5, authorizes emergency rulemaking to provide for additions, exceptions, or amendments to the Uniform Rules on Agency Procedure. After June 30, 2026, the Office’s current rules will be rescinded consistent with the new Uniform Rules on Agency Procedure, and there are small inconsistencies between the contested case provisions of the Uniform Rules on Agency Procedure and the procedure laid out under the Iowa Civil Rights Act.</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Office on March 16,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0378D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Office for a waiver of the discretionary provisions, if any, pursuant to 161—Chapter 15.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161—Chapter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161—2506.26</w:t>
      </w:r>
      <w:r>
        <w:rPr>
          <w:rFonts w:ascii="Times New Roman" w:hAnsi="Times New Roman"/>
          <w:b/>
          <w:i w:val="false"/>
          <w:color w:val="000000"/>
          <w:sz w:val="24"/>
        </w:rPr>
        <w:t xml:space="preserve">(17A) </w:t>
      </w:r>
      <w:r>
        <w:rPr>
          <w:rFonts w:ascii="Times New Roman" w:hAnsi="Times New Roman"/>
          <w:b/>
          <w:i w:val="false"/>
          <w:color w:val="000000"/>
          <w:sz w:val="24"/>
        </w:rPr>
        <w:t xml:space="preserve">Final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commission does not preside over receiving evidence, the presiding officer will issue a proposed decision. The proposed decision becomes the final decision of the commission without further proceedings unless there is an appeal of the proposed decision to the commission, or review of the proposed decision on the commission’s own motion, in accordance with rule </w:t>
      </w:r>
      <w:hyperlink r:id="rId8">
        <w:r>
          <w:rPr>
            <w:rStyle w:val="Hyperlink"/>
            <w:rFonts w:ascii="Times New Roman" w:hAnsi="Times New Roman"/>
            <w:b w:val="false"/>
            <w:i w:val="false"/>
            <w:color w:val="000000"/>
            <w:sz w:val="24"/>
          </w:rPr>
          <w:t>161—2506.27</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i w:val="false"/>
          <w:color w:val="000000"/>
          <w:sz w:val="24"/>
        </w:rPr>
        <w:t>161—2506.27</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2506.27(1)</w:t>
      </w:r>
      <w:r>
        <w:rPr>
          <w:rFonts w:ascii="Times New Roman" w:hAnsi="Times New Roman"/>
          <w:b w:val="false"/>
          <w:i w:val="false"/>
          <w:color w:val="000000"/>
          <w:sz w:val="24"/>
        </w:rPr>
        <w:t> </w:t>
      </w:r>
      <w:r>
        <w:rPr>
          <w:rFonts w:ascii="Times New Roman" w:hAnsi="Times New Roman"/>
          <w:b w:val="false"/>
          <w:i/>
          <w:color w:val="000000"/>
          <w:sz w:val="24"/>
        </w:rPr>
        <w:t xml:space="preserve">Appeal by party. </w:t>
      </w:r>
      <w:r>
        <w:rPr>
          <w:rFonts w:ascii="Times New Roman" w:hAnsi="Times New Roman"/>
          <w:b w:val="false"/>
          <w:i w:val="false"/>
          <w:color w:val="000000"/>
          <w:sz w:val="24"/>
        </w:rPr>
        <w:t>Any adversely affected party may appeal a proposed decision to the commission within 30 days after the decision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2506.27(2)</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The commission may initiate review of a proposed decision on its own motion at any time within 30 days following the issuance of such a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2506.27(3)</w:t>
      </w:r>
      <w:r>
        <w:rPr>
          <w:rFonts w:ascii="Times New Roman" w:hAnsi="Times New Roman"/>
          <w:b w:val="false"/>
          <w:i w:val="false"/>
          <w:color w:val="000000"/>
          <w:sz w:val="24"/>
        </w:rPr>
        <w:t> </w:t>
      </w:r>
      <w:r>
        <w:rPr>
          <w:rFonts w:ascii="Times New Roman" w:hAnsi="Times New Roman"/>
          <w:b w:val="false"/>
          <w:i/>
          <w:color w:val="000000"/>
          <w:sz w:val="24"/>
        </w:rPr>
        <w:t xml:space="preserve">Notice of appeal. </w:t>
      </w:r>
      <w:r>
        <w:rPr>
          <w:rFonts w:ascii="Times New Roman" w:hAnsi="Times New Roman"/>
          <w:b w:val="false"/>
          <w:i w:val="false"/>
          <w:color w:val="000000"/>
          <w:sz w:val="24"/>
        </w:rPr>
        <w:t>An appeal of a proposed decision is initiated by filing a timely notice of appeal with the commission. The notice of appeal is to be signed by the appealing party or a representative of that party and contain a certificate of service. The notice will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parties initiating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proposed decision or order appealed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specific findings or conclusions to which exception is taken and any other exceptions to the decision or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relief sought;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grounds for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2506.27(4)</w:t>
      </w:r>
      <w:r>
        <w:rPr>
          <w:rFonts w:ascii="Times New Roman" w:hAnsi="Times New Roman"/>
          <w:b w:val="false"/>
          <w:i w:val="false"/>
          <w:color w:val="000000"/>
          <w:sz w:val="24"/>
        </w:rPr>
        <w:t> </w:t>
      </w:r>
      <w:r>
        <w:rPr>
          <w:rFonts w:ascii="Times New Roman" w:hAnsi="Times New Roman"/>
          <w:b w:val="false"/>
          <w:i/>
          <w:color w:val="000000"/>
          <w:sz w:val="24"/>
        </w:rPr>
        <w:t xml:space="preserve">Requests to present additional evidence. </w:t>
      </w:r>
      <w:r>
        <w:rPr>
          <w:rFonts w:ascii="Times New Roman" w:hAnsi="Times New Roman"/>
          <w:b w:val="false"/>
          <w:i w:val="false"/>
          <w:color w:val="000000"/>
          <w:sz w:val="24"/>
        </w:rPr>
        <w:t>A party may request to submit additional evidence. The request must be filed with the notice of appeal, if by an appealing party, or within 14 days of service of the notice of appeal, if by a non-appealing party. The commission will take additional evidence only if the party establishes that the evidence is material, that good cause existed for its not being presented at the hearing, and that the party has not waived the right to present the evidence. The commission may remand a case to the presiding officer to take additional evidence or may itself preside at the taking of additional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2506.27(5)</w:t>
      </w:r>
      <w:r>
        <w:rPr>
          <w:rFonts w:ascii="Times New Roman" w:hAnsi="Times New Roman"/>
          <w:b w:val="false"/>
          <w:i w:val="false"/>
          <w:color w:val="000000"/>
          <w:sz w:val="24"/>
        </w:rPr>
        <w:t> </w:t>
      </w:r>
      <w:r>
        <w:rPr>
          <w:rFonts w:ascii="Times New Roman" w:hAnsi="Times New Roman"/>
          <w:b w:val="false"/>
          <w:i/>
          <w:color w:val="000000"/>
          <w:sz w:val="24"/>
        </w:rPr>
        <w:t xml:space="preserve">Scheduling. </w:t>
      </w:r>
      <w:r>
        <w:rPr>
          <w:rFonts w:ascii="Times New Roman" w:hAnsi="Times New Roman"/>
          <w:b w:val="false"/>
          <w:i w:val="false"/>
          <w:color w:val="000000"/>
          <w:sz w:val="24"/>
        </w:rPr>
        <w:t>The commission will issue a schedule for consideration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2506.27(6)</w:t>
      </w:r>
      <w:r>
        <w:rPr>
          <w:rFonts w:ascii="Times New Roman" w:hAnsi="Times New Roman"/>
          <w:b w:val="false"/>
          <w:i w:val="false"/>
          <w:color w:val="000000"/>
          <w:sz w:val="24"/>
        </w:rPr>
        <w:t> </w:t>
      </w:r>
      <w:r>
        <w:rPr>
          <w:rFonts w:ascii="Times New Roman" w:hAnsi="Times New Roman"/>
          <w:b w:val="false"/>
          <w:i/>
          <w:color w:val="000000"/>
          <w:sz w:val="24"/>
        </w:rPr>
        <w:t xml:space="preserve">Briefs and arguments. </w:t>
      </w:r>
      <w:r>
        <w:rPr>
          <w:rFonts w:ascii="Times New Roman" w:hAnsi="Times New Roman"/>
          <w:b w:val="false"/>
          <w:i w:val="false"/>
          <w:color w:val="000000"/>
          <w:sz w:val="24"/>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commission may resolve the appeal on the briefs or provide an opportunity for oral argument. The commission may shorten or extend the briefing period as appropriate.</w:t>
      </w:r>
    </w:p>
    <w:p>
      <w:pPr>
        <w:spacing w:before="0" w:after="0" w:line="480"/>
        <w:ind w:left="120"/>
        <w:jc w:val="both"/>
      </w:pPr>
      <w:r>
        <w:rPr>
          <w:rFonts w:ascii="Times New Roman" w:hAnsi="Times New Roman"/>
          <w:b/>
          <w:i w:val="false"/>
          <w:color w:val="000000"/>
          <w:sz w:val="24"/>
        </w:rPr>
        <w:t>161—2506.29</w:t>
      </w:r>
      <w:r>
        <w:rPr>
          <w:rFonts w:ascii="Times New Roman" w:hAnsi="Times New Roman"/>
          <w:b/>
          <w:i w:val="false"/>
          <w:color w:val="000000"/>
          <w:sz w:val="24"/>
        </w:rPr>
        <w:t xml:space="preserve">(17A) </w:t>
      </w:r>
      <w:r>
        <w:rPr>
          <w:rFonts w:ascii="Times New Roman" w:hAnsi="Times New Roman"/>
          <w:b/>
          <w:i w:val="false"/>
          <w:color w:val="000000"/>
          <w:sz w:val="24"/>
        </w:rPr>
        <w:t xml:space="preserve">Stays of commission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2506.29(1)</w:t>
      </w:r>
      <w:r>
        <w:rPr>
          <w:rFonts w:ascii="Times New Roman" w:hAnsi="Times New Roman"/>
          <w:b w:val="false"/>
          <w:i w:val="false"/>
          <w:color w:val="000000"/>
          <w:sz w:val="24"/>
        </w:rPr>
        <w:t> </w:t>
      </w:r>
      <w:r>
        <w:rPr>
          <w:rFonts w:ascii="Times New Roman" w:hAnsi="Times New Roman"/>
          <w:b w:val="false"/>
          <w:i/>
          <w:color w:val="000000"/>
          <w:sz w:val="24"/>
        </w:rPr>
        <w:t xml:space="preserve">When available.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party may petition the commission to stay the effect of an order, or for other temporary remedies, pending review of the order by the commission. The petition must be filed with the notice of appeal and must state the reasons justifying a stay or other temporary remedy. The commission may rule on the stay or authorize the presiding officer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party may petition the commission for a stay, or other temporary remedies, pending judicial review of all or part of that proceeding. The petition must state the reasons justifying a stay or other temporary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2506.29(2)</w:t>
      </w:r>
      <w:r>
        <w:rPr>
          <w:rFonts w:ascii="Times New Roman" w:hAnsi="Times New Roman"/>
          <w:b w:val="false"/>
          <w:i w:val="false"/>
          <w:color w:val="000000"/>
          <w:sz w:val="24"/>
        </w:rPr>
        <w:t> </w:t>
      </w:r>
      <w:r>
        <w:rPr>
          <w:rFonts w:ascii="Times New Roman" w:hAnsi="Times New Roman"/>
          <w:b w:val="false"/>
          <w:i/>
          <w:color w:val="000000"/>
          <w:sz w:val="24"/>
        </w:rPr>
        <w:t xml:space="preserve">When granted. </w:t>
      </w:r>
      <w:r>
        <w:rPr>
          <w:rFonts w:ascii="Times New Roman" w:hAnsi="Times New Roman"/>
          <w:b w:val="false"/>
          <w:i w:val="false"/>
          <w:color w:val="000000"/>
          <w:sz w:val="24"/>
        </w:rPr>
        <w:t xml:space="preserve">The presiding officer or commission will consider the factors listed in Iowa Code section </w:t>
      </w:r>
      <w:hyperlink r:id="rId9">
        <w:r>
          <w:rPr>
            <w:rStyle w:val="Hyperlink"/>
            <w:rFonts w:ascii="Times New Roman" w:hAnsi="Times New Roman"/>
            <w:b w:val="false"/>
            <w:i w:val="false"/>
            <w:color w:val="000000"/>
            <w:sz w:val="24"/>
          </w:rPr>
          <w:t>17A.19(5)</w:t>
        </w:r>
      </w:hyperlink>
      <w:r>
        <w:rPr>
          <w:rFonts w:ascii="Times New Roman" w:hAnsi="Times New Roman"/>
          <w:b w:val="false"/>
          <w:i/>
          <w:color w:val="000000"/>
          <w:sz w:val="24"/>
        </w:rPr>
        <w:t>“c”</w:t>
      </w:r>
      <w:r>
        <w:rPr>
          <w:rFonts w:ascii="Times New Roman" w:hAnsi="Times New Roman"/>
          <w:b w:val="false"/>
          <w:i w:val="false"/>
          <w:color w:val="000000"/>
          <w:sz w:val="24"/>
        </w:rPr>
        <w:t xml:space="preserve"> when deciding whether to grant the stay or other temporary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2506.29(3)</w:t>
      </w:r>
      <w:r>
        <w:rPr>
          <w:rFonts w:ascii="Times New Roman" w:hAnsi="Times New Roman"/>
          <w:b w:val="false"/>
          <w:i w:val="false"/>
          <w:color w:val="000000"/>
          <w:sz w:val="24"/>
        </w:rPr>
        <w:t> </w:t>
      </w:r>
      <w:r>
        <w:rPr>
          <w:rFonts w:ascii="Times New Roman" w:hAnsi="Times New Roman"/>
          <w:b w:val="false"/>
          <w:i/>
          <w:color w:val="000000"/>
          <w:sz w:val="24"/>
        </w:rPr>
        <w:t xml:space="preserve">Vacation. </w:t>
      </w:r>
      <w:r>
        <w:rPr>
          <w:rFonts w:ascii="Times New Roman" w:hAnsi="Times New Roman"/>
          <w:b w:val="false"/>
          <w:i w:val="false"/>
          <w:color w:val="000000"/>
          <w:sz w:val="24"/>
        </w:rPr>
        <w:t>The presiding officer or commission may vacate a stay or other temporary remedy on the motion of the commission or any other party.</w:t>
      </w:r>
    </w:p>
    <w:p>
      <w:pPr>
        <w:spacing w:before="0" w:after="0" w:line="480"/>
        <w:ind w:left="120"/>
        <w:jc w:val="both"/>
      </w:pPr>
    </w:p>
    <w:p>
      <w:pPr>
        <w:spacing w:before="0" w:after="0" w:line="480"/>
        <w:ind w:left="120"/>
        <w:jc w:val="center"/>
      </w:pPr>
      <w:r>
        <w:rPr>
          <w:rFonts w:ascii="Times New Roman" w:hAnsi="Times New Roman"/>
          <w:b w:val="false"/>
          <w:i w:val="false"/>
          <w:color w:val="000000"/>
          <w:sz w:val="24"/>
        </w:rPr>
        <w:t>[Filed Emergency 6/1/26, effective 6/30/26]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161.2506.27.pdf" Type="http://schemas.openxmlformats.org/officeDocument/2006/relationships/hyperlink" Id="rId8"/>
    <Relationship TargetMode="External" Target="https://www.legis.iowa.gov/docs/ico/chapter/17A.1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