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5D" w:id="1"/>
    <w:p>
      <w:pPr>
        <w:spacing w:before="0" w:after="0" w:line="480"/>
        <w:ind w:left="120"/>
        <w:jc w:val="right"/>
      </w:pPr>
      <w:r>
        <w:rPr>
          <w:rFonts w:ascii="Times New Roman" w:hAnsi="Times New Roman"/>
          <w:b/>
          <w:i w:val="false"/>
          <w:color w:val="000000"/>
          <w:sz w:val="28"/>
        </w:rPr>
        <w:t>ARC 0375D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uniform rules on agency procedure</w:t>
      </w:r>
    </w:p>
    <w:p>
      <w:pPr>
        <w:pBdr>
          <w:top w:space="5"/>
        </w:pBdr>
        <w:spacing w:before="0" w:after="0" w:line="480"/>
        <w:ind w:left="120"/>
        <w:jc w:val="both"/>
      </w:pPr>
      <w:r>
        <w:rPr>
          <w:rFonts w:ascii="Times New Roman" w:hAnsi="Times New Roman"/>
          <w:b w:val="false"/>
          <w:i w:val="false"/>
          <w:color w:val="000000"/>
          <w:sz w:val="24"/>
        </w:rPr>
        <w:t xml:space="preserve">    The Utilities Commission hereby amends Chapter 1, “Organization and Operation”; rescinds Chapter 7, “Practice and Procedure”; and adopts new Chapter 2505, “Fair Information Practices,” and Chapter 2506, “Contested Cases,”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 and sections 474.5 and 476.2.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Effective January 13, 2026, the Administrative Rules Coordinator adopted the new Uniform Rules on Agency Procedure, including procedures for contested cases (7—Chapter 2506), which are effective for any agency that does not have existing rules covering the subject matter of that uniform rule. The current Commission rules that govern contested cases, as shown in Chapter 7, have been specifically curated over many years and continuous engagement between the Commission and stakeholders. Prior to Executive Order 10, the Commission had a standard five-year rolling chapter review schedule, which included stakeholder engagement. The stakeholder engagement remained as the Commission’s contested case rules were reviewed again during the Executive Order 10 process. The area of utility regulates the type of cases (dockets) that come before the Commission that require specialty rules, as utility regulation is complex and specific in nature. The Uniform Rules on Agency Procedure were drafted for agencies with presiding officers who conduct hearings and handle other prehearing matters, which is not how the Commission is statutorily configured pursuant to Iowa Code section 474.1. (The Commission is a quasijudicial agency with three Commissioners who make policy and adjudicate the matters that come before the Commission). These complex matters and procedures include detailed filings and the need for expert witnesses, which utilize prefiled testimony and exhibits and extensive discovery that can last up until the time of hearing. By retaining the Commission’s contested case rules, stakeholders who come before the Commission are able to continue using the rules stakeholders have spent time in helping develop. This will allow stability within the utility sector because the stakeholders know what is expected when the parties/stakeholders file with the Commission, the time frame for motions/answers, the time frame for intervention, and the expectation for discovery will all remain the same; as will the myriad of other concerns expressed by stakeholders during discussions of the Uniform Rules on Agency Procedure. The Commission is appreciative of the Administrative Rules Coordinator’s agreement to the opt-out request for the contested case rules.</w:t>
      </w:r>
    </w:p>
    <w:p>
      <w:pPr>
        <w:spacing w:before="0" w:after="0" w:line="480"/>
        <w:ind w:left="120"/>
        <w:jc w:val="both"/>
      </w:pPr>
      <w:r>
        <w:rPr>
          <w:rFonts w:ascii="Times New Roman" w:hAnsi="Times New Roman"/>
          <w:b w:val="false"/>
          <w:i w:val="false"/>
          <w:color w:val="000000"/>
          <w:sz w:val="24"/>
        </w:rPr>
        <w:t>    Similarly, rule 199—1.7(22) covers how the Commission handles requests for confidential treatment/open records. While not granted opt-out privileges for fair information practices, the Commission was allowed by the Administrative Rules Coordinator to include two additional provisions to Chapter 2505. These are subrule 2505.5(4) for compliance and rule 199—2505.9(17A,22) for a laundry list of items that automatically receive confidential treatment. The Commission receives numerous requests for confidential treatment due to the utility regulatory environment. The Commission’s rule is the result of collaboration with industry and offers an efficient and predictable way to handle the requests. By adding these additional rules, the Commission is able to adopt the Uniform Rules on Agency Procedure while maintaining its current practices. This allows the utility stakeholders to continue with the known standard leading to a more predictable process for the handling of confidential treatment requests.</w:t>
      </w:r>
    </w:p>
    <w:p>
      <w:pPr>
        <w:spacing w:before="0" w:after="0" w:line="480"/>
        <w:ind w:left="120"/>
        <w:jc w:val="both"/>
      </w:pPr>
      <w:r>
        <w:rPr>
          <w:rFonts w:ascii="Times New Roman" w:hAnsi="Times New Roman"/>
          <w:b w:val="false"/>
          <w:i w:val="false"/>
          <w:color w:val="000000"/>
          <w:sz w:val="24"/>
        </w:rPr>
        <w:t>    Due to the continuous stakeholder engagement, streamlined processes, and niche regulatory environment, the Commission was granted opt-out permission from the Administrative Rules Coordinator for the uniform rule regarding contested cases. To be consistent with other executive agencies, the Commission’s contested cases chapter will be renumbered to 199—Chapter 2506. To be consistent with the Uniform Rules on Agency Procedure, this subrule and rule will be numbered 199—subrule 2505.5(4) and rule 199—2505.9(17A,22).</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Commission finds that notice and public participation are unnecessary or impractical because statute so provides. The Commission was granted an exception for amendments to the Uniform Rules on Agency Procedure that are generally applicable to agencies pursuant to 2026 Iowa Acts, Senate File 2463. Emergency filing is needed to ensure the Commission’s rules are consistent with other agencies’ uniform rules.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Commission also finds that the normal effective date of this rulemaking, 35 days after publication, should be waived and the rulemaking made effective on June 1, 2026, because statute so provides in 2026 Iowa Acts, Senate File 2463.</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May 22,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0376D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No waiver provision is included in the proposed amendments because the Commission has a general waiver provision in rule 199—1.3(17A,474,476) that provides procedures for requesting a waiver of the rules in these chapters.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subrule </w:t>
      </w:r>
      <w:r>
        <w:rPr>
          <w:rFonts w:ascii="Times New Roman" w:hAnsi="Times New Roman"/>
          <w:b/>
          <w:i w:val="false"/>
          <w:color w:val="000000"/>
          <w:sz w:val="24"/>
        </w:rPr>
        <w:t>1.7(2)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1.7(9)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199—Chapter 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199—Chapter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chapters are below.</w:t>
      </w:r>
    </w:p>
    <w:p>
      <w:pPr>
        <w:spacing w:before="0" w:after="0" w:line="480"/>
        <w:ind w:left="120"/>
        <w:jc w:val="both"/>
      </w:pPr>
      <w:r>
        <w:rPr>
          <w:rFonts w:ascii="Times New Roman" w:hAnsi="Times New Roman"/>
          <w:b/>
          <w:i w:val="false"/>
          <w:color w:val="000000"/>
          <w:sz w:val="24"/>
        </w:rPr>
        <w:t>199—2505.5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Requests for treatment of a record as a confidential record and its withholding from examination.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 xml:space="preserve">If a request complies with </w:t>
      </w:r>
      <w:hyperlink r:id="rId8">
        <w:r>
          <w:rPr>
            <w:rStyle w:val="Hyperlink"/>
            <w:rFonts w:ascii="Times New Roman" w:hAnsi="Times New Roman"/>
            <w:b w:val="false"/>
            <w:i w:val="false"/>
            <w:color w:val="000000"/>
            <w:sz w:val="24"/>
          </w:rPr>
          <w:t>7—subrule 2505.5(2)</w:t>
        </w:r>
      </w:hyperlink>
      <w:r>
        <w:rPr>
          <w:rFonts w:ascii="Times New Roman" w:hAnsi="Times New Roman"/>
          <w:b w:val="false"/>
          <w:i w:val="false"/>
          <w:color w:val="000000"/>
          <w:sz w:val="24"/>
        </w:rPr>
        <w:t xml:space="preserve">, a record will be temporarily withheld from public inspection. The commission will examine the record to determine whether the information in the record should be afforded confidentiality. If the request is granted, the ruling will be placed in a publicly accessible file in lieu of the record withheld from public inspection. If no objection to the request for confidential treatment is filed within 20 days, the commission may defer consideration of the request until a public records request is made for the record or information, and the record or information shall be withheld from public inspection subject to the provisions of rule </w:t>
      </w:r>
      <w:hyperlink r:id="rId9">
        <w:r>
          <w:rPr>
            <w:rStyle w:val="Hyperlink"/>
            <w:rFonts w:ascii="Times New Roman" w:hAnsi="Times New Roman"/>
            <w:b w:val="false"/>
            <w:i w:val="false"/>
            <w:color w:val="000000"/>
            <w:sz w:val="24"/>
          </w:rPr>
          <w:t>7—2505.4(17A,22)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Records not routinely available for public inspection.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color w:val="000000"/>
          <w:sz w:val="24"/>
        </w:rPr>
        <w:t xml:space="preserve">Tax records. </w:t>
      </w:r>
      <w:r>
        <w:rPr>
          <w:rFonts w:ascii="Times New Roman" w:hAnsi="Times New Roman"/>
          <w:b w:val="false"/>
          <w:i w:val="false"/>
          <w:color w:val="000000"/>
          <w:sz w:val="24"/>
        </w:rPr>
        <w:t xml:space="preserve">The commission is required to withhold tax records from public inspection pursuant to Iowa Code section </w:t>
      </w:r>
      <w:hyperlink r:id="rId10">
        <w:r>
          <w:rPr>
            <w:rStyle w:val="Hyperlink"/>
            <w:rFonts w:ascii="Times New Roman" w:hAnsi="Times New Roman"/>
            <w:b w:val="false"/>
            <w:i w:val="false"/>
            <w:color w:val="000000"/>
            <w:sz w:val="24"/>
          </w:rPr>
          <w:t>422.20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color w:val="000000"/>
          <w:sz w:val="24"/>
        </w:rPr>
        <w:t xml:space="preserve">Records exempted pursuant to requests deemed granted by the commission. </w:t>
      </w:r>
      <w:r>
        <w:rPr>
          <w:rFonts w:ascii="Times New Roman" w:hAnsi="Times New Roman"/>
          <w:b w:val="false"/>
          <w:i w:val="false"/>
          <w:color w:val="000000"/>
          <w:sz w:val="24"/>
        </w:rPr>
        <w:t xml:space="preserve">Requests to withhold from public inspection the records and information listed in the paragraphs below are deemed granted by the commission pursuant to Iowa Code section </w:t>
      </w:r>
      <w:hyperlink r:id="rId11">
        <w:r>
          <w:rPr>
            <w:rStyle w:val="Hyperlink"/>
            <w:rFonts w:ascii="Times New Roman" w:hAnsi="Times New Roman"/>
            <w:b w:val="false"/>
            <w:i w:val="false"/>
            <w:color w:val="000000"/>
            <w:sz w:val="24"/>
          </w:rPr>
          <w:t>22.7(3)</w:t>
        </w:r>
      </w:hyperlink>
      <w:r>
        <w:rPr>
          <w:rFonts w:ascii="Times New Roman" w:hAnsi="Times New Roman"/>
          <w:b w:val="false"/>
          <w:i w:val="false"/>
          <w:color w:val="000000"/>
          <w:sz w:val="24"/>
        </w:rPr>
        <w:t xml:space="preserve"> or </w:t>
      </w:r>
      <w:hyperlink r:id="rId12">
        <w:r>
          <w:rPr>
            <w:rStyle w:val="Hyperlink"/>
            <w:rFonts w:ascii="Times New Roman" w:hAnsi="Times New Roman"/>
            <w:b w:val="false"/>
            <w:i w:val="false"/>
            <w:color w:val="000000"/>
            <w:sz w:val="24"/>
          </w:rPr>
          <w:t>22.7(6)</w:t>
        </w:r>
      </w:hyperlink>
      <w:r>
        <w:rPr>
          <w:rFonts w:ascii="Times New Roman" w:hAnsi="Times New Roman"/>
          <w:b w:val="false"/>
          <w:i w:val="false"/>
          <w:color w:val="000000"/>
          <w:sz w:val="24"/>
        </w:rPr>
        <w:t xml:space="preserve"> or both, provided that the confidential portions of the filings are identified as confidential and filed as provided in </w:t>
      </w:r>
      <w:hyperlink r:id="rId13">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and an attorney for the company or corporate officer avers that the material or information satisfies the requirements in Iowa Code section </w:t>
      </w:r>
      <w:hyperlink r:id="rId14">
        <w:r>
          <w:rPr>
            <w:rStyle w:val="Hyperlink"/>
            <w:rFonts w:ascii="Times New Roman" w:hAnsi="Times New Roman"/>
            <w:b w:val="false"/>
            <w:i w:val="false"/>
            <w:color w:val="000000"/>
            <w:sz w:val="24"/>
          </w:rPr>
          <w:t>22.7(3)</w:t>
        </w:r>
      </w:hyperlink>
      <w:r>
        <w:rPr>
          <w:rFonts w:ascii="Times New Roman" w:hAnsi="Times New Roman"/>
          <w:b w:val="false"/>
          <w:i w:val="false"/>
          <w:color w:val="000000"/>
          <w:sz w:val="24"/>
        </w:rPr>
        <w:t xml:space="preserve"> or </w:t>
      </w:r>
      <w:hyperlink r:id="rId15">
        <w:r>
          <w:rPr>
            <w:rStyle w:val="Hyperlink"/>
            <w:rFonts w:ascii="Times New Roman" w:hAnsi="Times New Roman"/>
            <w:b w:val="false"/>
            <w:i w:val="false"/>
            <w:color w:val="000000"/>
            <w:sz w:val="24"/>
          </w:rPr>
          <w:t>22.7(6)</w:t>
        </w:r>
      </w:hyperlink>
      <w:r>
        <w:rPr>
          <w:rFonts w:ascii="Times New Roman" w:hAnsi="Times New Roman"/>
          <w:b w:val="false"/>
          <w:i w:val="false"/>
          <w:color w:val="000000"/>
          <w:sz w:val="24"/>
        </w:rPr>
        <w:t xml:space="preserve"> or both. The records or information filed pursuant to this subrule will be deemed confidential upon the filer’s receipt of a notice of electronic filing without further review or acknowledgement by the commission, and the record or information will be withheld from public inspection subject to the provisions of subrule </w:t>
      </w:r>
      <w:hyperlink r:id="rId16">
        <w:r>
          <w:rPr>
            <w:rStyle w:val="Hyperlink"/>
            <w:rFonts w:ascii="Times New Roman" w:hAnsi="Times New Roman"/>
            <w:b w:val="false"/>
            <w:i w:val="false"/>
            <w:color w:val="000000"/>
            <w:sz w:val="24"/>
          </w:rPr>
          <w:t>2505.5(4)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Negotiated transportation rates and prices for natural gas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Reservation charges for portfolio gas supply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Terms and prices for all hedging activity, including financial hedges and weather-related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Sales data by individual natural gas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Natural gas purchase volumes by individual receipt point, by pipeline.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Specific gas costs included in interstate pipeline contracts and contracted volume quantities, invoices, commodity contracts, and individual commodity purchases and invoices.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Design day forecasting model reserve margin calculations for natural gas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Negotiated purchase prices for electric power, fuel, and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Electric customer-specific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Power supply bills in support of energy adjustment clause filings.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Network improvement and maintenance plans and related extensions and progress reports filed with the commission pursuant to </w:t>
      </w:r>
      <w:hyperlink r:id="rId17">
        <w:r>
          <w:rPr>
            <w:rStyle w:val="Hyperlink"/>
            <w:rFonts w:ascii="Times New Roman" w:hAnsi="Times New Roman"/>
            <w:b w:val="false"/>
            <w:i w:val="false"/>
            <w:color w:val="000000"/>
            <w:sz w:val="24"/>
          </w:rPr>
          <w:t>199—Chapter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Wireless coverage area maps depicting signal strength filed with the commission pursuant to </w:t>
      </w:r>
      <w:hyperlink r:id="rId18">
        <w:r>
          <w:rPr>
            <w:rStyle w:val="Hyperlink"/>
            <w:rFonts w:ascii="Times New Roman" w:hAnsi="Times New Roman"/>
            <w:b w:val="false"/>
            <w:i w:val="false"/>
            <w:color w:val="000000"/>
            <w:sz w:val="24"/>
          </w:rPr>
          <w:t>199—Chapter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Revenue recovery amounts and loop or line count data filed with the commission pursuant to </w:t>
      </w:r>
      <w:hyperlink r:id="rId19">
        <w:r>
          <w:rPr>
            <w:rStyle w:val="Hyperlink"/>
            <w:rFonts w:ascii="Times New Roman" w:hAnsi="Times New Roman"/>
            <w:b w:val="false"/>
            <w:i w:val="false"/>
            <w:color w:val="000000"/>
            <w:sz w:val="24"/>
          </w:rPr>
          <w:t>199—Chapter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reports and loop or line count data included in rate floor data filed with the commission pursuant to </w:t>
      </w:r>
      <w:hyperlink r:id="rId20">
        <w:r>
          <w:rPr>
            <w:rStyle w:val="Hyperlink"/>
            <w:rFonts w:ascii="Times New Roman" w:hAnsi="Times New Roman"/>
            <w:b w:val="false"/>
            <w:i w:val="false"/>
            <w:color w:val="000000"/>
            <w:sz w:val="24"/>
          </w:rPr>
          <w:t>199—Chapter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Loop or line count data included in rate floor data updates filed with the commission pursuant to </w:t>
      </w:r>
      <w:hyperlink r:id="rId21">
        <w:r>
          <w:rPr>
            <w:rStyle w:val="Hyperlink"/>
            <w:rFonts w:ascii="Times New Roman" w:hAnsi="Times New Roman"/>
            <w:b w:val="false"/>
            <w:i w:val="false"/>
            <w:color w:val="000000"/>
            <w:sz w:val="24"/>
          </w:rPr>
          <w:t>199—Chapter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The financial records filed by applicants for certificates of convenience and necessity to provide competitive local exchange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The financial records, number of customers, and volumes filed by competitive natural gas providers in each company’s annual report. The aggregate total sales volume is not granted confidential treatment by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The financial information regarding affiliate transactions required for rate-regulated utilities. This information is subject to staff and legal review to ensure the information protected is similar to other information included in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Information filed in a particular docket that is of the same type, nature, and scope as information for which the commission previously granted confidentiality in that same docket.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199—Chapter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22">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23">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24">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xml:space="preserve">. The commission adopts this chapter as an exception in full to </w:t>
      </w:r>
      <w:hyperlink r:id="rId25">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199—2506.1</w:t>
      </w:r>
      <w:r>
        <w:rPr>
          <w:rFonts w:ascii="Times New Roman" w:hAnsi="Times New Roman"/>
          <w:b/>
          <w:i w:val="false"/>
          <w:color w:val="000000"/>
          <w:sz w:val="24"/>
        </w:rPr>
        <w:t xml:space="preserve">(17A,474,476) </w:t>
      </w:r>
      <w:r>
        <w:rPr>
          <w:rFonts w:ascii="Times New Roman" w:hAnsi="Times New Roman"/>
          <w:b/>
          <w:i w:val="false"/>
          <w:color w:val="000000"/>
          <w:sz w:val="24"/>
        </w:rPr>
        <w:t xml:space="preserve">Scope and 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applies to contested case proceedings, investigations, and other proceedings conducted by the commission or a presiding officer unless the proceedings have specific procedures established in commission rules. If there are no other applicable procedural rules, this chapter applies to other types of agency action unless the commission or presiding officer orders otherwise. The rules in this chapter regarding the content and format of pleadings, testimony, workpapers, and other supporting documents apply to both paper filings and electronic filings made pursuant to </w:t>
      </w:r>
      <w:hyperlink r:id="rId26">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The rules in this chapter regarding filing, service, and the necessary number of copies apply to paper filings. The filing and service of electronically filed documents are governed by </w:t>
      </w:r>
      <w:hyperlink r:id="rId27">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The commission has established additional procedural requirements in other chapters as described in subrules </w:t>
      </w:r>
      <w:hyperlink r:id="rId28">
        <w:r>
          <w:rPr>
            <w:rStyle w:val="Hyperlink"/>
            <w:rFonts w:ascii="Times New Roman" w:hAnsi="Times New Roman"/>
            <w:b w:val="false"/>
            <w:i w:val="false"/>
            <w:color w:val="000000"/>
            <w:sz w:val="24"/>
          </w:rPr>
          <w:t>2506.1(2)</w:t>
        </w:r>
      </w:hyperlink>
      <w:r>
        <w:rPr>
          <w:rFonts w:ascii="Times New Roman" w:hAnsi="Times New Roman"/>
          <w:b w:val="false"/>
          <w:i w:val="false"/>
          <w:color w:val="000000"/>
          <w:sz w:val="24"/>
        </w:rPr>
        <w:t xml:space="preserve"> through </w:t>
      </w:r>
      <w:hyperlink r:id="rId29">
        <w:r>
          <w:rPr>
            <w:rStyle w:val="Hyperlink"/>
            <w:rFonts w:ascii="Times New Roman" w:hAnsi="Times New Roman"/>
            <w:b w:val="false"/>
            <w:i w:val="false"/>
            <w:color w:val="000000"/>
            <w:sz w:val="24"/>
          </w:rPr>
          <w:t>2506.1(5)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rules applicable only to rate cases, tariff filings, and rate regulation election by rural electric cooperatives are contained in </w:t>
      </w:r>
      <w:hyperlink r:id="rId30">
        <w:r>
          <w:rPr>
            <w:rStyle w:val="Hyperlink"/>
            <w:rFonts w:ascii="Times New Roman" w:hAnsi="Times New Roman"/>
            <w:b w:val="false"/>
            <w:i w:val="false"/>
            <w:color w:val="000000"/>
            <w:sz w:val="24"/>
          </w:rPr>
          <w:t>199—Chapter 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w:t>
      </w:r>
      <w:r>
        <w:rPr>
          <w:rFonts w:ascii="Times New Roman" w:hAnsi="Times New Roman"/>
          <w:b w:val="false"/>
          <w:i w:val="false"/>
          <w:color w:val="000000"/>
          <w:sz w:val="24"/>
        </w:rPr>
        <w:t> </w:t>
      </w:r>
      <w:r>
        <w:rPr>
          <w:rFonts w:ascii="Times New Roman" w:hAnsi="Times New Roman"/>
          <w:b w:val="false"/>
          <w:i w:val="false"/>
          <w:color w:val="000000"/>
          <w:sz w:val="24"/>
        </w:rPr>
        <w:t>Notice of inquiry dockets and investigations. The commission may issue a notice of inquiry or open an investigation and establish a docket through which the inquiry or investigation can be processed. The procedural rules in this chapter apply to these dockets unless otherwise ordered by the commission or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2506.1(4)</w:t>
      </w:r>
      <w:r>
        <w:rPr>
          <w:rFonts w:ascii="Times New Roman" w:hAnsi="Times New Roman"/>
          <w:b w:val="false"/>
          <w:i w:val="false"/>
          <w:color w:val="000000"/>
          <w:sz w:val="24"/>
        </w:rPr>
        <w:t> </w:t>
      </w:r>
      <w:r>
        <w:rPr>
          <w:rFonts w:ascii="Times New Roman" w:hAnsi="Times New Roman"/>
          <w:b w:val="false"/>
          <w:i w:val="false"/>
          <w:color w:val="000000"/>
          <w:sz w:val="24"/>
        </w:rPr>
        <w:t xml:space="preserve">Reorganizations. Procedural rules applicable to reorganizations are included in rule </w:t>
      </w:r>
      <w:hyperlink r:id="rId31">
        <w:r>
          <w:rPr>
            <w:rStyle w:val="Hyperlink"/>
            <w:rFonts w:ascii="Times New Roman" w:hAnsi="Times New Roman"/>
            <w:b w:val="false"/>
            <w:i w:val="false"/>
            <w:color w:val="000000"/>
            <w:sz w:val="24"/>
          </w:rPr>
          <w:t>199—32.5</w:t>
        </w:r>
      </w:hyperlink>
      <w:r>
        <w:rPr>
          <w:rFonts w:ascii="Times New Roman" w:hAnsi="Times New Roman"/>
          <w:b w:val="false"/>
          <w:i w:val="false"/>
          <w:color w:val="000000"/>
          <w:sz w:val="24"/>
        </w:rPr>
        <w:t xml:space="preserve">(476). In the event the requirements in rule </w:t>
      </w:r>
      <w:hyperlink r:id="rId32">
        <w:r>
          <w:rPr>
            <w:rStyle w:val="Hyperlink"/>
            <w:rFonts w:ascii="Times New Roman" w:hAnsi="Times New Roman"/>
            <w:b w:val="false"/>
            <w:i w:val="false"/>
            <w:color w:val="000000"/>
            <w:sz w:val="24"/>
          </w:rPr>
          <w:t>199—32.5</w:t>
        </w:r>
      </w:hyperlink>
      <w:r>
        <w:rPr>
          <w:rFonts w:ascii="Times New Roman" w:hAnsi="Times New Roman"/>
          <w:b w:val="false"/>
          <w:i w:val="false"/>
          <w:color w:val="000000"/>
          <w:sz w:val="24"/>
        </w:rPr>
        <w:t xml:space="preserve">(476) conflict with the requirements in this chapter, the requirements in rule </w:t>
      </w:r>
      <w:hyperlink r:id="rId33">
        <w:r>
          <w:rPr>
            <w:rStyle w:val="Hyperlink"/>
            <w:rFonts w:ascii="Times New Roman" w:hAnsi="Times New Roman"/>
            <w:b w:val="false"/>
            <w:i w:val="false"/>
            <w:color w:val="000000"/>
            <w:sz w:val="24"/>
          </w:rPr>
          <w:t>199—32.5</w:t>
        </w:r>
      </w:hyperlink>
      <w:r>
        <w:rPr>
          <w:rFonts w:ascii="Times New Roman" w:hAnsi="Times New Roman"/>
          <w:b w:val="false"/>
          <w:i w:val="false"/>
          <w:color w:val="000000"/>
          <w:sz w:val="24"/>
        </w:rPr>
        <w:t>(476) are controlling.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2506.1(5)</w:t>
      </w:r>
      <w:r>
        <w:rPr>
          <w:rFonts w:ascii="Times New Roman" w:hAnsi="Times New Roman"/>
          <w:b w:val="false"/>
          <w:i w:val="false"/>
          <w:color w:val="000000"/>
          <w:sz w:val="24"/>
        </w:rPr>
        <w:t> </w:t>
      </w:r>
      <w:r>
        <w:rPr>
          <w:rFonts w:ascii="Times New Roman" w:hAnsi="Times New Roman"/>
          <w:b w:val="false"/>
          <w:i w:val="false"/>
          <w:color w:val="000000"/>
          <w:sz w:val="24"/>
        </w:rPr>
        <w:t xml:space="preserve">Discontinuance of service incident to utility property transfer. This subrule does not apply to telecommunications service providers registered with the commission pursuant to Iowa Code section </w:t>
      </w:r>
      <w:hyperlink r:id="rId34">
        <w:r>
          <w:rPr>
            <w:rStyle w:val="Hyperlink"/>
            <w:rFonts w:ascii="Times New Roman" w:hAnsi="Times New Roman"/>
            <w:b w:val="false"/>
            <w:i w:val="false"/>
            <w:color w:val="000000"/>
            <w:sz w:val="24"/>
          </w:rPr>
          <w:t>476.95A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 xml:space="preserve">This rule applies to discontinuance of utility service pursuant to Iowa Code section </w:t>
      </w:r>
      <w:hyperlink r:id="rId35">
        <w:r>
          <w:rPr>
            <w:rStyle w:val="Hyperlink"/>
            <w:rFonts w:ascii="Times New Roman" w:hAnsi="Times New Roman"/>
            <w:b w:val="false"/>
            <w:i w:val="false"/>
            <w:color w:val="000000"/>
            <w:sz w:val="24"/>
          </w:rPr>
          <w:t>476.20(1)</w:t>
        </w:r>
      </w:hyperlink>
      <w:r>
        <w:rPr>
          <w:rFonts w:ascii="Times New Roman" w:hAnsi="Times New Roman"/>
          <w:b w:val="false"/>
          <w:i w:val="false"/>
          <w:color w:val="000000"/>
          <w:sz w:val="24"/>
        </w:rPr>
        <w:t>, which includes the termination or transfer of the right and duty to provide utility service to a community or part of a community incident to the transfer, by sale or otherwise, except a stock transfer incident to corporate reorganization.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for permission to discontinue service should include a summary of the relevant facts and the grounds upon which the application should be granted. When the discontinuance of service is incident to the transfer of utility property, a joint application will be filed by the transferor utility and the transferee.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Within 30 days after an application is filed, the commission will approve the application or docket the application for further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Contested cases. </w:t>
      </w:r>
      <w:r>
        <w:rPr>
          <w:rFonts w:ascii="Times New Roman" w:hAnsi="Times New Roman"/>
          <w:b w:val="false"/>
          <w:i w:val="false"/>
          <w:color w:val="000000"/>
          <w:sz w:val="24"/>
        </w:rPr>
        <w:t xml:space="preserve">Contested cases under paragraph </w:t>
      </w:r>
      <w:hyperlink r:id="rId36">
        <w:r>
          <w:rPr>
            <w:rStyle w:val="Hyperlink"/>
            <w:rFonts w:ascii="Times New Roman" w:hAnsi="Times New Roman"/>
            <w:b w:val="false"/>
            <w:i w:val="false"/>
            <w:color w:val="000000"/>
            <w:sz w:val="24"/>
          </w:rPr>
          <w:t>2506.1(5)</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completed within four months after the date of docketing.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Criteria. </w:t>
      </w:r>
      <w:r>
        <w:rPr>
          <w:rFonts w:ascii="Times New Roman" w:hAnsi="Times New Roman"/>
          <w:b w:val="false"/>
          <w:i w:val="false"/>
          <w:color w:val="000000"/>
          <w:sz w:val="24"/>
        </w:rPr>
        <w:t>The application will be granted if the commission finds the utility service is no longer necessary or if the commission finds the transferee is ready, willing, and able to provide comparable utility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2506.1(6)</w:t>
      </w:r>
      <w:r>
        <w:rPr>
          <w:rFonts w:ascii="Times New Roman" w:hAnsi="Times New Roman"/>
          <w:b w:val="false"/>
          <w:i w:val="false"/>
          <w:color w:val="000000"/>
          <w:sz w:val="24"/>
        </w:rPr>
        <w:t> </w:t>
      </w:r>
      <w:r>
        <w:rPr>
          <w:rFonts w:ascii="Times New Roman" w:hAnsi="Times New Roman"/>
          <w:b w:val="false"/>
          <w:i w:val="false"/>
          <w:color w:val="000000"/>
          <w:sz w:val="24"/>
        </w:rPr>
        <w:t xml:space="preserve">The purpose of these rules is to facilitate the transaction of business before the commission and to promote the just resolution of controversies. Consistent with this purpose, the application of any of these rules, unless otherwise prescribed by law, may be waived by the commission or presiding officer pursuant to </w:t>
      </w:r>
      <w:hyperlink r:id="rId37">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2506.1(7)</w:t>
      </w:r>
      <w:r>
        <w:rPr>
          <w:rFonts w:ascii="Times New Roman" w:hAnsi="Times New Roman"/>
          <w:b w:val="false"/>
          <w:i w:val="false"/>
          <w:color w:val="000000"/>
          <w:sz w:val="24"/>
        </w:rPr>
        <w:t> </w:t>
      </w:r>
      <w:r>
        <w:rPr>
          <w:rFonts w:ascii="Times New Roman" w:hAnsi="Times New Roman"/>
          <w:b w:val="false"/>
          <w:i w:val="false"/>
          <w:color w:val="000000"/>
          <w:sz w:val="24"/>
        </w:rPr>
        <w:t>Procedural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Authority to issue procedural orders in all proceedings, including contested case proceedings, investigations, and all other dockets and matters before the commission when a majority of the commission is not available due to emergency, or for the efficient and reasonable conduct of proceedings, is granted to a single commission member. If no member of the commission is available to issue a procedural order due to emergency, or for the efficient and reasonable conduct of proceedings, the procedural order may be issued by a presiding officer designated by the commission. If a presiding officer is not available to issue a procedural order due to an emergency, or for the efficient and reasonable conduct of proceedings, a procedural order may be issued by the general counsel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Procedural orders under this subrule will be issued only upon the showing of good cause and when the prejudice to a nonmoving party is not great. The procedural order under this subrule will state that it is issued pursuant to the delegation authority established in this subrule and that the procedural order so issued is subject to review by the commission upon its own motion or upon motion by any party or other interested person.</w:t>
      </w:r>
    </w:p>
    <w:p>
      <w:pPr>
        <w:spacing w:before="0" w:after="0" w:line="480"/>
        <w:ind w:left="120"/>
        <w:jc w:val="both"/>
      </w:pPr>
      <w:r>
        <w:rPr>
          <w:rFonts w:ascii="Times New Roman" w:hAnsi="Times New Roman"/>
          <w:b/>
          <w:i w:val="false"/>
          <w:color w:val="000000"/>
          <w:sz w:val="24"/>
        </w:rPr>
        <w:t>199—2506.2</w:t>
      </w:r>
      <w:r>
        <w:rPr>
          <w:rFonts w:ascii="Times New Roman" w:hAnsi="Times New Roman"/>
          <w:b/>
          <w:i w:val="false"/>
          <w:color w:val="000000"/>
          <w:sz w:val="24"/>
        </w:rPr>
        <w:t xml:space="preserve">(17A,476) </w:t>
      </w:r>
      <w:r>
        <w:rPr>
          <w:rFonts w:ascii="Times New Roman" w:hAnsi="Times New Roman"/>
          <w:b/>
          <w:i w:val="false"/>
          <w:color w:val="000000"/>
          <w:sz w:val="24"/>
        </w:rPr>
        <w:t xml:space="preserve">Definitions. </w:t>
      </w:r>
      <w:r>
        <w:rPr>
          <w:rFonts w:ascii="Times New Roman" w:hAnsi="Times New Roman"/>
          <w:b w:val="false"/>
          <w:i w:val="false"/>
          <w:color w:val="000000"/>
          <w:sz w:val="24"/>
        </w:rPr>
        <w:t>Except where otherwise specifically defined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val="false"/>
          <w:color w:val="000000"/>
          <w:sz w:val="24"/>
        </w:rPr>
        <w:t> </w:t>
      </w:r>
      <w:r>
        <w:rPr>
          <w:rFonts w:ascii="Times New Roman" w:hAnsi="Times New Roman"/>
          <w:b w:val="false"/>
          <w:i w:val="false"/>
          <w:color w:val="000000"/>
          <w:sz w:val="24"/>
        </w:rPr>
        <w:t>means the Iowa utilities commission or a majority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“Complainants”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persons who complain to the commission of any act or thing done or omitted to be done in violation, or claimed to be in violation, of any provision of Iowa Code chapters </w:t>
      </w:r>
      <w:hyperlink r:id="rId38">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 xml:space="preserve"> through </w:t>
      </w:r>
      <w:hyperlink r:id="rId39">
        <w:r>
          <w:rPr>
            <w:rStyle w:val="Hyperlink"/>
            <w:rFonts w:ascii="Times New Roman" w:hAnsi="Times New Roman"/>
            <w:b w:val="false"/>
            <w:i w:val="false"/>
            <w:color w:val="000000"/>
            <w:sz w:val="24"/>
          </w:rPr>
          <w:t>476C</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477</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477A</w:t>
        </w:r>
      </w:hyperlink>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477C</w:t>
        </w:r>
      </w:hyperlink>
      <w:r>
        <w:rPr>
          <w:rFonts w:ascii="Times New Roman" w:hAnsi="Times New Roman"/>
          <w:b w:val="false"/>
          <w:i w:val="false"/>
          <w:color w:val="000000"/>
          <w:sz w:val="24"/>
        </w:rPr>
        <w:t xml:space="preserve"> through </w:t>
      </w:r>
      <w:hyperlink r:id="rId43">
        <w:r>
          <w:rPr>
            <w:rStyle w:val="Hyperlink"/>
            <w:rFonts w:ascii="Times New Roman" w:hAnsi="Times New Roman"/>
            <w:b w:val="false"/>
            <w:i w:val="false"/>
            <w:color w:val="000000"/>
            <w:sz w:val="24"/>
          </w:rPr>
          <w:t>479B</w:t>
        </w:r>
      </w:hyperlink>
      <w:r>
        <w:rPr>
          <w:rFonts w:ascii="Times New Roman" w:hAnsi="Times New Roman"/>
          <w:b w:val="false"/>
          <w:i w:val="false"/>
          <w:color w:val="000000"/>
          <w:sz w:val="24"/>
        </w:rPr>
        <w:t xml:space="preserve"> or of any order or rule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“Consumer advocate”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 of consumer advocate, a division of the Iowa department of justice, referred to in Iowa Code chapter </w:t>
      </w:r>
      <w:hyperlink r:id="rId44">
        <w:r>
          <w:rPr>
            <w:rStyle w:val="Hyperlink"/>
            <w:rFonts w:ascii="Times New Roman" w:hAnsi="Times New Roman"/>
            <w:b w:val="false"/>
            <w:i w:val="false"/>
            <w:color w:val="000000"/>
            <w:sz w:val="24"/>
          </w:rPr>
          <w:t>475A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“Contested case”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proceeding defined by Iowa Code section </w:t>
      </w:r>
      <w:hyperlink r:id="rId45">
        <w:r>
          <w:rPr>
            <w:rStyle w:val="Hyperlink"/>
            <w:rFonts w:ascii="Times New Roman" w:hAnsi="Times New Roman"/>
            <w:b w:val="false"/>
            <w:i w:val="false"/>
            <w:color w:val="000000"/>
            <w:sz w:val="24"/>
          </w:rPr>
          <w:t>17A.2(5)</w:t>
        </w:r>
      </w:hyperlink>
      <w:r>
        <w:rPr>
          <w:rFonts w:ascii="Times New Roman" w:hAnsi="Times New Roman"/>
          <w:b w:val="false"/>
          <w:i w:val="false"/>
          <w:color w:val="000000"/>
          <w:sz w:val="24"/>
        </w:rPr>
        <w:t xml:space="preserve"> and includes any matter defined as a no factual dispute contested case under Iowa Code section </w:t>
      </w:r>
      <w:hyperlink r:id="rId46">
        <w:r>
          <w:rPr>
            <w:rStyle w:val="Hyperlink"/>
            <w:rFonts w:ascii="Times New Roman" w:hAnsi="Times New Roman"/>
            <w:b w:val="false"/>
            <w:i w:val="false"/>
            <w:color w:val="000000"/>
            <w:sz w:val="24"/>
          </w:rPr>
          <w:t>17A.10A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“Data request”</w:t>
      </w:r>
      <w:r>
        <w:rPr>
          <w:rFonts w:ascii="Times New Roman" w:hAnsi="Times New Roman"/>
          <w:b w:val="false"/>
          <w:i w:val="false"/>
          <w:color w:val="000000"/>
          <w:sz w:val="24"/>
        </w:rPr>
        <w:t> </w:t>
      </w:r>
      <w:r>
        <w:rPr>
          <w:rFonts w:ascii="Times New Roman" w:hAnsi="Times New Roman"/>
          <w:b w:val="false"/>
          <w:i w:val="false"/>
          <w:color w:val="000000"/>
          <w:sz w:val="24"/>
        </w:rPr>
        <w:t>means a discovery procedure in which the requesting party asks another person for specified information or requests the production of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“Expedited proceeding”</w:t>
      </w:r>
      <w:r>
        <w:rPr>
          <w:rFonts w:ascii="Times New Roman" w:hAnsi="Times New Roman"/>
          <w:b w:val="false"/>
          <w:i w:val="false"/>
          <w:color w:val="000000"/>
          <w:sz w:val="24"/>
        </w:rPr>
        <w:t> </w:t>
      </w:r>
      <w:r>
        <w:rPr>
          <w:rFonts w:ascii="Times New Roman" w:hAnsi="Times New Roman"/>
          <w:b w:val="false"/>
          <w:i w:val="false"/>
          <w:color w:val="000000"/>
          <w:sz w:val="24"/>
        </w:rPr>
        <w:t>means a proceeding before the commission in which a statutory or other provision of law directs the commission to render a decision in the proceeding in six months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“Filed”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“accepted for filing” by the commission as defined in rule </w:t>
      </w:r>
      <w:hyperlink r:id="rId47">
        <w:r>
          <w:rPr>
            <w:rStyle w:val="Hyperlink"/>
            <w:rFonts w:ascii="Times New Roman" w:hAnsi="Times New Roman"/>
            <w:b w:val="false"/>
            <w:i w:val="false"/>
            <w:color w:val="000000"/>
            <w:sz w:val="24"/>
          </w:rPr>
          <w:t>199—14.3</w:t>
        </w:r>
      </w:hyperlink>
      <w:r>
        <w:rPr>
          <w:rFonts w:ascii="Times New Roman" w:hAnsi="Times New Roman"/>
          <w:b w:val="false"/>
          <w:i w:val="false"/>
          <w:color w:val="000000"/>
          <w:sz w:val="24"/>
        </w:rPr>
        <w:t>(17A,476).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“Intervenor”</w:t>
      </w:r>
      <w:r>
        <w:rPr>
          <w:rFonts w:ascii="Times New Roman" w:hAnsi="Times New Roman"/>
          <w:b w:val="false"/>
          <w:i w:val="false"/>
          <w:color w:val="000000"/>
          <w:sz w:val="24"/>
        </w:rPr>
        <w:t> </w:t>
      </w:r>
      <w:r>
        <w:rPr>
          <w:rFonts w:ascii="Times New Roman" w:hAnsi="Times New Roman"/>
          <w:b w:val="false"/>
          <w:i w:val="false"/>
          <w:color w:val="000000"/>
          <w:sz w:val="24"/>
        </w:rPr>
        <w:t>means any person who, upon written petition, is permitted to intervene as a party in a specific proceeding before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“Issuance”</w:t>
      </w:r>
      <w:r>
        <w:rPr>
          <w:rFonts w:ascii="Times New Roman" w:hAnsi="Times New Roman"/>
          <w:b w:val="false"/>
          <w:i w:val="false"/>
          <w:color w:val="000000"/>
          <w:sz w:val="24"/>
        </w:rPr>
        <w:t> </w:t>
      </w:r>
      <w:r>
        <w:rPr>
          <w:rFonts w:ascii="Times New Roman" w:hAnsi="Times New Roman"/>
          <w:b w:val="false"/>
          <w:i w:val="false"/>
          <w:color w:val="000000"/>
          <w:sz w:val="24"/>
        </w:rPr>
        <w:t>means the date on which an order is uploaded into the commission’s electronic filing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“Party”</w:t>
      </w:r>
      <w:r>
        <w:rPr>
          <w:rFonts w:ascii="Times New Roman" w:hAnsi="Times New Roman"/>
          <w:b w:val="false"/>
          <w:i w:val="false"/>
          <w:color w:val="000000"/>
          <w:sz w:val="24"/>
        </w:rPr>
        <w:t> </w:t>
      </w:r>
      <w:r>
        <w:rPr>
          <w:rFonts w:ascii="Times New Roman" w:hAnsi="Times New Roman"/>
          <w:b w:val="false"/>
          <w:i w:val="false"/>
          <w:color w:val="000000"/>
          <w:sz w:val="24"/>
        </w:rPr>
        <w:t>means each person named or admitted as a party in a proceeding before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48">
        <w:r>
          <w:rPr>
            <w:rStyle w:val="Hyperlink"/>
            <w:rFonts w:ascii="Times New Roman" w:hAnsi="Times New Roman"/>
            <w:b w:val="false"/>
            <w:i w:val="false"/>
            <w:color w:val="000000"/>
            <w:sz w:val="24"/>
          </w:rPr>
          <w:t>4.1(20)</w:t>
        </w:r>
      </w:hyperlink>
      <w:r>
        <w:rPr>
          <w:rFonts w:ascii="Times New Roman" w:hAnsi="Times New Roman"/>
          <w:b w:val="false"/>
          <w:i w:val="false"/>
          <w:color w:val="000000"/>
          <w:sz w:val="24"/>
        </w:rPr>
        <w:t xml:space="preserve"> and includes individuals and all forms of legal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“Petitioner”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any party who, by written petition, application, or other filing, applies for or seeks relief from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“Presiding officer”</w:t>
      </w:r>
      <w:r>
        <w:rPr>
          <w:rFonts w:ascii="Times New Roman" w:hAnsi="Times New Roman"/>
          <w:b w:val="false"/>
          <w:i w:val="false"/>
          <w:color w:val="000000"/>
          <w:sz w:val="24"/>
        </w:rPr>
        <w:t> </w:t>
      </w:r>
      <w:r>
        <w:rPr>
          <w:rFonts w:ascii="Times New Roman" w:hAnsi="Times New Roman"/>
          <w:b w:val="false"/>
          <w:i w:val="false"/>
          <w:color w:val="000000"/>
          <w:sz w:val="24"/>
        </w:rPr>
        <w:t>means one commission member or another person designated by the commission with the authority to preside over a particular proceeding or matter before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“Proposed decision”</w:t>
      </w:r>
      <w:r>
        <w:rPr>
          <w:rFonts w:ascii="Times New Roman" w:hAnsi="Times New Roman"/>
          <w:b w:val="false"/>
          <w:i w:val="false"/>
          <w:color w:val="000000"/>
          <w:sz w:val="24"/>
        </w:rPr>
        <w:t> </w:t>
      </w:r>
      <w:r>
        <w:rPr>
          <w:rFonts w:ascii="Times New Roman" w:hAnsi="Times New Roman"/>
          <w:b w:val="false"/>
          <w:i w:val="false"/>
          <w:color w:val="000000"/>
          <w:sz w:val="24"/>
        </w:rPr>
        <w:t>means the presiding officer’s recommended findings of fact, conclusions of law, decision, and order in a proceeding that has been assigned by the commission to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service as prescribed in </w:t>
      </w:r>
      <w:hyperlink r:id="rId49">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199—2506.3</w:t>
      </w:r>
      <w:r>
        <w:rPr>
          <w:rFonts w:ascii="Times New Roman" w:hAnsi="Times New Roman"/>
          <w:b/>
          <w:i w:val="false"/>
          <w:color w:val="000000"/>
          <w:sz w:val="24"/>
        </w:rPr>
        <w:t xml:space="preserve">(17A,476) </w:t>
      </w:r>
      <w:r>
        <w:rPr>
          <w:rFonts w:ascii="Times New Roman" w:hAnsi="Times New Roman"/>
          <w:b/>
          <w:i w:val="false"/>
          <w:color w:val="000000"/>
          <w:sz w:val="24"/>
        </w:rPr>
        <w:t xml:space="preserve">Presiding officers. </w:t>
      </w:r>
      <w:r>
        <w:rPr>
          <w:rFonts w:ascii="Times New Roman" w:hAnsi="Times New Roman"/>
          <w:b w:val="false"/>
          <w:i w:val="false"/>
          <w:color w:val="000000"/>
          <w:sz w:val="24"/>
        </w:rPr>
        <w:t>Presiding officers may be designated by the commission to preside over contested cases or other proceedings and conduct hearings and have the following authority unless otherwise ordered by the commission: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To regulate the course of hearings;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To administer oaths and affirmations;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To rule upon the admissibility of evidence and offers of proof;</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To take or cause depositions to be taken;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To dispose of procedural matters, discovery disputes, motions to dismiss, and other motions that may involve final determination of proceedings, subject to review by the commission on its own motion or upon application by any party;</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To certify any question to the commission, in the discretion of the presiding officer or upon direction of the commission;</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To permit and schedule the filing of written briefs;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To hold appropriate conferences before, during, or after hearings;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To render a proposed decision and order in a contested case proceeding, or other proceeding, subject to review by the commission on its own motion or upon appeal by any party; and</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To take any other action necessary or appropriate to the discharge of duties vested in the presiding officer, consistent with law and with the rules and orders of the commission.</w:t>
      </w:r>
    </w:p>
    <w:p>
      <w:pPr>
        <w:spacing w:before="0" w:after="0" w:line="480"/>
        <w:ind w:left="120"/>
        <w:jc w:val="both"/>
      </w:pPr>
      <w:r>
        <w:rPr>
          <w:rFonts w:ascii="Times New Roman" w:hAnsi="Times New Roman"/>
          <w:b/>
          <w:i w:val="false"/>
          <w:color w:val="000000"/>
          <w:sz w:val="24"/>
        </w:rPr>
        <w:t>199—2506.4</w:t>
      </w:r>
      <w:r>
        <w:rPr>
          <w:rFonts w:ascii="Times New Roman" w:hAnsi="Times New Roman"/>
          <w:b/>
          <w:i w:val="false"/>
          <w:color w:val="000000"/>
          <w:sz w:val="24"/>
        </w:rPr>
        <w:t xml:space="preserve">(17A,474,476) </w:t>
      </w:r>
      <w:r>
        <w:rPr>
          <w:rFonts w:ascii="Times New Roman" w:hAnsi="Times New Roman"/>
          <w:b/>
          <w:i w:val="false"/>
          <w:color w:val="000000"/>
          <w:sz w:val="24"/>
        </w:rPr>
        <w:t xml:space="preserve">General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color w:val="000000"/>
          <w:sz w:val="24"/>
        </w:rPr>
        <w:t xml:space="preserve">Orders. </w:t>
      </w:r>
      <w:r>
        <w:rPr>
          <w:rFonts w:ascii="Times New Roman" w:hAnsi="Times New Roman"/>
          <w:b w:val="false"/>
          <w:i w:val="false"/>
          <w:color w:val="000000"/>
          <w:sz w:val="24"/>
        </w:rPr>
        <w:t>All orders will be issued and uploaded into the commission’s electronic filing system. Orders are effective upon acceptance into the electronic filing system unless otherwise provided in the order. Orders and other filings in dockets may be viewed in the specific docket accessed through the commission’s electronic filing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2506.4(2)</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Electronic communications. </w:t>
      </w:r>
      <w:r>
        <w:rPr>
          <w:rFonts w:ascii="Times New Roman" w:hAnsi="Times New Roman"/>
          <w:b w:val="false"/>
          <w:i w:val="false"/>
          <w:color w:val="000000"/>
          <w:sz w:val="24"/>
        </w:rPr>
        <w:t xml:space="preserve">Unless otherwise specifically provided, all electronic communications and documents are officially filed when they are accepted for filing as defined in rule </w:t>
      </w:r>
      <w:hyperlink r:id="rId50">
        <w:r>
          <w:rPr>
            <w:rStyle w:val="Hyperlink"/>
            <w:rFonts w:ascii="Times New Roman" w:hAnsi="Times New Roman"/>
            <w:b w:val="false"/>
            <w:i w:val="false"/>
            <w:color w:val="000000"/>
            <w:sz w:val="24"/>
          </w:rPr>
          <w:t>199―14.3(17A,476)</w:t>
        </w:r>
      </w:hyperlink>
      <w:r>
        <w:rPr>
          <w:rFonts w:ascii="Times New Roman" w:hAnsi="Times New Roman"/>
          <w:b w:val="false"/>
          <w:i w:val="false"/>
          <w:color w:val="000000"/>
          <w:sz w:val="24"/>
        </w:rPr>
        <w:t xml:space="preserve">. The electronic service provisions in the “electronic service” rule in </w:t>
      </w:r>
      <w:hyperlink r:id="rId51">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Paper filings. </w:t>
      </w:r>
      <w:r>
        <w:rPr>
          <w:rFonts w:ascii="Times New Roman" w:hAnsi="Times New Roman"/>
          <w:b w:val="false"/>
          <w:i w:val="false"/>
          <w:color w:val="000000"/>
          <w:sz w:val="24"/>
        </w:rPr>
        <w:t xml:space="preserve">Paper filings may only be made with commission approval, except for filings made pursuant to the exceptions in rule </w:t>
      </w:r>
      <w:hyperlink r:id="rId52">
        <w:r>
          <w:rPr>
            <w:rStyle w:val="Hyperlink"/>
            <w:rFonts w:ascii="Times New Roman" w:hAnsi="Times New Roman"/>
            <w:b w:val="false"/>
            <w:i w:val="false"/>
            <w:color w:val="000000"/>
            <w:sz w:val="24"/>
          </w:rPr>
          <w:t>199—14.4</w:t>
        </w:r>
      </w:hyperlink>
      <w:r>
        <w:rPr>
          <w:rFonts w:ascii="Times New Roman" w:hAnsi="Times New Roman"/>
          <w:b w:val="false"/>
          <w:i w:val="false"/>
          <w:color w:val="000000"/>
          <w:sz w:val="24"/>
        </w:rPr>
        <w:t>(17A,476).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w:t>
      </w:r>
      <w:r>
        <w:rPr>
          <w:rFonts w:ascii="Times New Roman" w:hAnsi="Times New Roman"/>
          <w:b w:val="false"/>
          <w:i w:val="false"/>
          <w:color w:val="000000"/>
          <w:sz w:val="24"/>
        </w:rPr>
        <w:t> </w:t>
      </w:r>
      <w:r>
        <w:rPr>
          <w:rFonts w:ascii="Times New Roman" w:hAnsi="Times New Roman"/>
          <w:b w:val="false"/>
          <w:i/>
          <w:color w:val="000000"/>
          <w:sz w:val="24"/>
        </w:rPr>
        <w:t xml:space="preserve">Reference to docket number. </w:t>
      </w:r>
      <w:r>
        <w:rPr>
          <w:rFonts w:ascii="Times New Roman" w:hAnsi="Times New Roman"/>
          <w:b w:val="false"/>
          <w:i w:val="false"/>
          <w:color w:val="000000"/>
          <w:sz w:val="24"/>
        </w:rPr>
        <w:t>The applicable docket number(s) should be included on the first page of all filings.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2506.4(4)</w:t>
      </w:r>
      <w:r>
        <w:rPr>
          <w:rFonts w:ascii="Times New Roman" w:hAnsi="Times New Roman"/>
          <w:b w:val="false"/>
          <w:i w:val="false"/>
          <w:color w:val="000000"/>
          <w:sz w:val="24"/>
        </w:rPr>
        <w:t> </w:t>
      </w:r>
      <w:r>
        <w:rPr>
          <w:rFonts w:ascii="Times New Roman" w:hAnsi="Times New Roman"/>
          <w:b w:val="false"/>
          <w:i/>
          <w:color w:val="000000"/>
          <w:sz w:val="24"/>
        </w:rPr>
        <w:t xml:space="preserve">Defective filings. </w:t>
      </w:r>
      <w:r>
        <w:rPr>
          <w:rFonts w:ascii="Times New Roman" w:hAnsi="Times New Roman"/>
          <w:b w:val="false"/>
          <w:i w:val="false"/>
          <w:color w:val="000000"/>
          <w:sz w:val="24"/>
        </w:rPr>
        <w:t>Only submissions that conform to the requirements of the applicable rule, statute, or order of the commission or presiding officer will be accepted for filing, and submissions that fail to substantially conform with the applicable requirements will be considered defective and may be rejected unless waiver of the relevant requirement has been granted by the commission or presiding officer prior to filing. The commission or presiding officer may reject a filing even though commission employees have file-stamped or otherwise acknowledged receipt of the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2506.4(5)</w:t>
      </w:r>
      <w:r>
        <w:rPr>
          <w:rFonts w:ascii="Times New Roman" w:hAnsi="Times New Roman"/>
          <w:b w:val="false"/>
          <w:i w:val="false"/>
          <w:color w:val="000000"/>
          <w:sz w:val="24"/>
        </w:rPr>
        <w:t> </w:t>
      </w:r>
      <w:r>
        <w:rPr>
          <w:rFonts w:ascii="Times New Roman" w:hAnsi="Times New Roman"/>
          <w:b w:val="false"/>
          <w:i/>
          <w:color w:val="000000"/>
          <w:sz w:val="24"/>
        </w:rPr>
        <w:t xml:space="preserve">Service of documents.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Method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Paper service. Paper service of filings is only necessary on those parties, or persons, whom the commission has approved to receive paper service. All filings served by paper are to be filed electronically pursuant to the “electronic service” rule in </w:t>
      </w:r>
      <w:hyperlink r:id="rId53">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in the appropriate docket in the electronic filing system, include a certificate of service, and be served on the consumer advocate.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Electronic service. The commission’s rule regarding electronic service is the “electronic service” rule in </w:t>
      </w:r>
      <w:hyperlink r:id="rId54">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of documents containing confidential information. Parties may condition the service of unredacted documents containing confidential information on the execution of a confidentiality agreement. If the parties are unable to agree on a confidentiality agreement, they may ask the commission or presiding officer to issue an appropriate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Date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Paper service. Unless otherwise ordered by the commission or presiding officer, the date of service is the day when the document served is deposited in the United States mail or overnight delivery, is delivered in person, or otherwise as the parties may agree. Although service is effective, the document is not deemed filed with the commission until it is received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commission’s rule regarding electronic service is the “electronic service” rule in </w:t>
      </w:r>
      <w:hyperlink r:id="rId55">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Service upon attorneys. </w:t>
      </w:r>
      <w:r>
        <w:rPr>
          <w:rFonts w:ascii="Times New Roman" w:hAnsi="Times New Roman"/>
          <w:b w:val="false"/>
          <w:i w:val="false"/>
          <w:color w:val="000000"/>
          <w:sz w:val="24"/>
        </w:rPr>
        <w:t>When a party has appeared by attorney, service upon the attorney is deemed proper service upon the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w:t>
      </w:r>
      <w:r>
        <w:rPr>
          <w:rFonts w:ascii="Times New Roman" w:hAnsi="Times New Roman"/>
          <w:b w:val="false"/>
          <w:i w:val="false"/>
          <w:color w:val="000000"/>
          <w:sz w:val="24"/>
        </w:rPr>
        <w:t> </w:t>
      </w:r>
      <w:r>
        <w:rPr>
          <w:rFonts w:ascii="Times New Roman" w:hAnsi="Times New Roman"/>
          <w:b w:val="false"/>
          <w:i/>
          <w:color w:val="000000"/>
          <w:sz w:val="24"/>
        </w:rPr>
        <w:t xml:space="preserve">Appearance. </w:t>
      </w:r>
      <w:r>
        <w:rPr>
          <w:rFonts w:ascii="Times New Roman" w:hAnsi="Times New Roman"/>
          <w:b w:val="false"/>
          <w:i w:val="false"/>
          <w:color w:val="000000"/>
          <w:sz w:val="24"/>
        </w:rPr>
        <w:t>Each party to a proceeding is to file a written appearance in the docket that identifies one person upon whom the commission may electronically serve all orders, correspondence, or other documents. If a party has previously designated a person to be served on the party’s behalf in all matters, filing the appearance will not change this designation unless the party directs that the designated person be changed in the appearance. If a person files an application, petition, or other initial pleading, or an answer or other responsive pleading on behalf of a party, containing the person’s contact information, the filing of a separate appearance is not necessary. The appearance may be filed with the party’s initial filing in the proceeding or may be filed after the proceeding has been docketed.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2506.4(7)</w:t>
      </w:r>
      <w:r>
        <w:rPr>
          <w:rFonts w:ascii="Times New Roman" w:hAnsi="Times New Roman"/>
          <w:b w:val="false"/>
          <w:i w:val="false"/>
          <w:color w:val="000000"/>
          <w:sz w:val="24"/>
        </w:rPr>
        <w:t> </w:t>
      </w:r>
      <w:r>
        <w:rPr>
          <w:rFonts w:ascii="Times New Roman" w:hAnsi="Times New Roman"/>
          <w:b w:val="false"/>
          <w:i/>
          <w:color w:val="000000"/>
          <w:sz w:val="24"/>
        </w:rPr>
        <w:t xml:space="preserve">Representation by attorney.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party to a proceeding before the commission or a presiding officer may appear and be heard through a licensed attorney. If the attorney is not licensed by the state of Iowa, the attorney is to apply for admission pro hac vice pursuant to and abide by the provisions of </w:t>
      </w:r>
      <w:r>
        <w:rPr>
          <w:rFonts w:ascii="Times New Roman" w:hAnsi="Times New Roman"/>
          <w:b w:val="false"/>
          <w:i w:val="false"/>
          <w:color w:val="000000"/>
          <w:sz w:val="24"/>
        </w:rPr>
        <w:t>Iowa Court Rule 31.14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corporation or association may appear and present evidence by an officer or employee. However, only licensed attorneys may represent a party before the commission or a presiding officer in any matter involving the exercise of legal skill or knowledge, except with the consent of the commission or presiding officer. All persons appearing in proceedings before the commission or a presiding officer shall conform to the standard of ethical conduct applicable to attorneys appearing before the courts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w:t>
      </w:r>
      <w:r>
        <w:rPr>
          <w:rFonts w:ascii="Times New Roman" w:hAnsi="Times New Roman"/>
          <w:b w:val="false"/>
          <w:i w:val="false"/>
          <w:color w:val="000000"/>
          <w:sz w:val="24"/>
        </w:rPr>
        <w:t> </w:t>
      </w:r>
      <w:r>
        <w:rPr>
          <w:rFonts w:ascii="Times New Roman" w:hAnsi="Times New Roman"/>
          <w:b w:val="false"/>
          <w:i/>
          <w:color w:val="000000"/>
          <w:sz w:val="24"/>
        </w:rPr>
        <w:t xml:space="preserve">Expedited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person claims that a provision of law imposes an obligation on the commission to render a decision in a contested case in six months or less, the person will include the phrase “expedited proceedings” in the caption of the first pleading filed by the person in the proceeding and set the basis for the claim in the body of the pleading. If the phrase is not so included in the caption, the commission or presiding officer may find and order that the proceeding did not commence for time calculation purposes until the date on which the first pleading containing the “expedited proceedings” phrase is filed or such other date that the commission or presiding officer finds is just and reasonable under the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Shortened time limits applicable to expedited proceedings are contained in rules </w:t>
      </w:r>
      <w:hyperlink r:id="rId56">
        <w:r>
          <w:rPr>
            <w:rStyle w:val="Hyperlink"/>
            <w:rFonts w:ascii="Times New Roman" w:hAnsi="Times New Roman"/>
            <w:b w:val="false"/>
            <w:i w:val="false"/>
            <w:color w:val="000000"/>
            <w:sz w:val="24"/>
          </w:rPr>
          <w:t>199—2506.9</w:t>
        </w:r>
      </w:hyperlink>
      <w:r>
        <w:rPr>
          <w:rFonts w:ascii="Times New Roman" w:hAnsi="Times New Roman"/>
          <w:b w:val="false"/>
          <w:i w:val="false"/>
          <w:color w:val="000000"/>
          <w:sz w:val="24"/>
        </w:rPr>
        <w:t xml:space="preserve">(17A,476) (pleadings and answers), </w:t>
      </w:r>
      <w:hyperlink r:id="rId57">
        <w:r>
          <w:rPr>
            <w:rStyle w:val="Hyperlink"/>
            <w:rFonts w:ascii="Times New Roman" w:hAnsi="Times New Roman"/>
            <w:b w:val="false"/>
            <w:i w:val="false"/>
            <w:color w:val="000000"/>
            <w:sz w:val="24"/>
          </w:rPr>
          <w:t>199—2506.12</w:t>
        </w:r>
      </w:hyperlink>
      <w:r>
        <w:rPr>
          <w:rFonts w:ascii="Times New Roman" w:hAnsi="Times New Roman"/>
          <w:b w:val="false"/>
          <w:i w:val="false"/>
          <w:color w:val="000000"/>
          <w:sz w:val="24"/>
        </w:rPr>
        <w:t xml:space="preserve">(17A,476) (motions), </w:t>
      </w:r>
      <w:hyperlink r:id="rId58">
        <w:r>
          <w:rPr>
            <w:rStyle w:val="Hyperlink"/>
            <w:rFonts w:ascii="Times New Roman" w:hAnsi="Times New Roman"/>
            <w:b w:val="false"/>
            <w:i w:val="false"/>
            <w:color w:val="000000"/>
            <w:sz w:val="24"/>
          </w:rPr>
          <w:t>199—2506.13</w:t>
        </w:r>
      </w:hyperlink>
      <w:r>
        <w:rPr>
          <w:rFonts w:ascii="Times New Roman" w:hAnsi="Times New Roman"/>
          <w:b w:val="false"/>
          <w:i w:val="false"/>
          <w:color w:val="000000"/>
          <w:sz w:val="24"/>
        </w:rPr>
        <w:t xml:space="preserve">(17A,476) (intervention), </w:t>
      </w:r>
      <w:hyperlink r:id="rId59">
        <w:r>
          <w:rPr>
            <w:rStyle w:val="Hyperlink"/>
            <w:rFonts w:ascii="Times New Roman" w:hAnsi="Times New Roman"/>
            <w:b w:val="false"/>
            <w:i w:val="false"/>
            <w:color w:val="000000"/>
            <w:sz w:val="24"/>
          </w:rPr>
          <w:t>199—2506.15</w:t>
        </w:r>
      </w:hyperlink>
      <w:r>
        <w:rPr>
          <w:rFonts w:ascii="Times New Roman" w:hAnsi="Times New Roman"/>
          <w:b w:val="false"/>
          <w:i w:val="false"/>
          <w:color w:val="000000"/>
          <w:sz w:val="24"/>
        </w:rPr>
        <w:t xml:space="preserve">(17A,476) (discovery), and </w:t>
      </w:r>
      <w:hyperlink r:id="rId60">
        <w:r>
          <w:rPr>
            <w:rStyle w:val="Hyperlink"/>
            <w:rFonts w:ascii="Times New Roman" w:hAnsi="Times New Roman"/>
            <w:b w:val="false"/>
            <w:i w:val="false"/>
            <w:color w:val="000000"/>
            <w:sz w:val="24"/>
          </w:rPr>
          <w:t>199—2506.26</w:t>
        </w:r>
      </w:hyperlink>
      <w:r>
        <w:rPr>
          <w:rFonts w:ascii="Times New Roman" w:hAnsi="Times New Roman"/>
          <w:b w:val="false"/>
          <w:i w:val="false"/>
          <w:color w:val="000000"/>
          <w:sz w:val="24"/>
        </w:rPr>
        <w:t xml:space="preserve">(17A,476) (appeals from proposed decisions). An additional service requirement applicable to expedited proceedings is contained in subrule </w:t>
      </w:r>
      <w:hyperlink r:id="rId61">
        <w:r>
          <w:rPr>
            <w:rStyle w:val="Hyperlink"/>
            <w:rFonts w:ascii="Times New Roman" w:hAnsi="Times New Roman"/>
            <w:b w:val="false"/>
            <w:i w:val="false"/>
            <w:color w:val="000000"/>
            <w:sz w:val="24"/>
          </w:rPr>
          <w:t>2506.4(5)</w:t>
        </w:r>
      </w:hyperlink>
      <w:r>
        <w:rPr>
          <w:rFonts w:ascii="Times New Roman" w:hAnsi="Times New Roman"/>
          <w:b w:val="false"/>
          <w:i w:val="false"/>
          <w:color w:val="000000"/>
          <w:sz w:val="24"/>
        </w:rPr>
        <w:t xml:space="preserve"> (service of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party may file a motion that proceedings be expedited even though such treatment is not mandated by statute or other provision of law. Such voluntary expedited treatment may be granted at the commission’s or presiding officer’s discretion in appropriate circumstances considering the needs of the parties and the interests of justice. In these voluntary expedited proceedings, the commission or presiding officer may shorten the filing dates or other procedures established in this chapter. The shortened time limits and additional service requirement applicable to expedited proceedings established in this chapter and listed in subrule </w:t>
      </w:r>
      <w:hyperlink r:id="rId62">
        <w:r>
          <w:rPr>
            <w:rStyle w:val="Hyperlink"/>
            <w:rFonts w:ascii="Times New Roman" w:hAnsi="Times New Roman"/>
            <w:b w:val="false"/>
            <w:i w:val="false"/>
            <w:color w:val="000000"/>
            <w:sz w:val="24"/>
          </w:rPr>
          <w:t>2506.4(8)</w:t>
        </w:r>
      </w:hyperlink>
      <w:r>
        <w:rPr>
          <w:rFonts w:ascii="Times New Roman" w:hAnsi="Times New Roman"/>
          <w:b w:val="false"/>
          <w:i w:val="false"/>
          <w:color w:val="000000"/>
          <w:sz w:val="24"/>
        </w:rPr>
        <w:t xml:space="preserve"> do not apply to voluntary expedited proceedings under this paragraph unless ordered by the commission or presiding officer. If a party requests an expedited proceeding pursuant to this paragraph, the party will include “Expedited Proceedings” in the title.</w:t>
      </w:r>
    </w:p>
    <w:p>
      <w:pPr>
        <w:spacing w:before="0" w:after="0" w:line="480"/>
        <w:ind w:left="120"/>
        <w:jc w:val="both"/>
      </w:pPr>
      <w:r>
        <w:rPr>
          <w:rFonts w:ascii="Times New Roman" w:hAnsi="Times New Roman"/>
          <w:b/>
          <w:i w:val="false"/>
          <w:color w:val="000000"/>
          <w:sz w:val="24"/>
        </w:rPr>
        <w:t>199—2506.5</w:t>
      </w:r>
      <w:r>
        <w:rPr>
          <w:rFonts w:ascii="Times New Roman" w:hAnsi="Times New Roman"/>
          <w:b/>
          <w:i w:val="false"/>
          <w:color w:val="000000"/>
          <w:sz w:val="24"/>
        </w:rPr>
        <w:t xml:space="preserve">(17A,476) </w:t>
      </w:r>
      <w:r>
        <w:rPr>
          <w:rFonts w:ascii="Times New Roman" w:hAnsi="Times New Roman"/>
          <w:b/>
          <w:i w:val="false"/>
          <w:color w:val="000000"/>
          <w:sz w:val="24"/>
        </w:rPr>
        <w:t xml:space="preserve">Time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2506.5(1)</w:t>
      </w:r>
      <w:r>
        <w:rPr>
          <w:rFonts w:ascii="Times New Roman" w:hAnsi="Times New Roman"/>
          <w:b w:val="false"/>
          <w:i w:val="false"/>
          <w:color w:val="000000"/>
          <w:sz w:val="24"/>
        </w:rPr>
        <w:t> </w:t>
      </w:r>
      <w:r>
        <w:rPr>
          <w:rFonts w:ascii="Times New Roman" w:hAnsi="Times New Roman"/>
          <w:b w:val="false"/>
          <w:i w:val="false"/>
          <w:color w:val="000000"/>
          <w:sz w:val="24"/>
        </w:rPr>
        <w:t xml:space="preserve">Time is computed as provided in Iowa Code section </w:t>
      </w:r>
      <w:hyperlink r:id="rId63">
        <w:r>
          <w:rPr>
            <w:rStyle w:val="Hyperlink"/>
            <w:rFonts w:ascii="Times New Roman" w:hAnsi="Times New Roman"/>
            <w:b w:val="false"/>
            <w:i w:val="false"/>
            <w:color w:val="000000"/>
            <w:sz w:val="24"/>
          </w:rPr>
          <w:t>4.1(34)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2506.5(2)</w:t>
      </w:r>
      <w:r>
        <w:rPr>
          <w:rFonts w:ascii="Times New Roman" w:hAnsi="Times New Roman"/>
          <w:b w:val="false"/>
          <w:i w:val="false"/>
          <w:color w:val="000000"/>
          <w:sz w:val="24"/>
        </w:rPr>
        <w:t> </w:t>
      </w:r>
      <w:r>
        <w:rPr>
          <w:rFonts w:ascii="Times New Roman" w:hAnsi="Times New Roman"/>
          <w:b w:val="false"/>
          <w:i w:val="false"/>
          <w:color w:val="000000"/>
          <w:sz w:val="24"/>
        </w:rPr>
        <w:t>In response to a request or on its own motion, for good cause, the commission or presiding officer may extend or shorten the time to take any action, except as precluded by statute.</w:t>
      </w:r>
    </w:p>
    <w:p>
      <w:pPr>
        <w:spacing w:before="210" w:after="0" w:line="480"/>
        <w:ind w:left="120"/>
        <w:jc w:val="both"/>
      </w:pPr>
      <w:r>
        <w:rPr>
          <w:rFonts w:ascii="Times New Roman" w:hAnsi="Times New Roman"/>
          <w:b/>
          <w:i w:val="false"/>
          <w:color w:val="000000"/>
          <w:sz w:val="24"/>
        </w:rPr>
        <w:t>199—2506.6</w:t>
      </w:r>
      <w:r>
        <w:rPr>
          <w:rFonts w:ascii="Times New Roman" w:hAnsi="Times New Roman"/>
          <w:b/>
          <w:i w:val="false"/>
          <w:color w:val="000000"/>
          <w:sz w:val="24"/>
        </w:rPr>
        <w:t xml:space="preserve">(17A,476) </w:t>
      </w:r>
      <w:r>
        <w:rPr>
          <w:rFonts w:ascii="Times New Roman" w:hAnsi="Times New Roman"/>
          <w:b/>
          <w:i w:val="false"/>
          <w:color w:val="000000"/>
          <w:sz w:val="24"/>
        </w:rPr>
        <w:t xml:space="preserve">Electronic proceedings. </w:t>
      </w:r>
      <w:r>
        <w:rPr>
          <w:rFonts w:ascii="Times New Roman" w:hAnsi="Times New Roman"/>
          <w:b w:val="false"/>
          <w:i w:val="false"/>
          <w:color w:val="000000"/>
          <w:sz w:val="24"/>
        </w:rPr>
        <w:t>The commission or presiding officer may hold proceedings by telephone conference call or other electronic means, such as a webinar service, in which all parties have an opportunity to participate. The commission or presiding officer will determine the location of the parties and witnesses for electronic proceedings. The convenience of the witnesses or parties, as well as the nature of the case, will be considered when locations are determined.</w:t>
      </w:r>
    </w:p>
    <w:p>
      <w:pPr>
        <w:spacing w:before="210" w:after="0" w:line="480"/>
        <w:ind w:left="120"/>
        <w:jc w:val="both"/>
      </w:pPr>
      <w:r>
        <w:rPr>
          <w:rFonts w:ascii="Times New Roman" w:hAnsi="Times New Roman"/>
          <w:b/>
          <w:i w:val="false"/>
          <w:color w:val="000000"/>
          <w:sz w:val="24"/>
        </w:rPr>
        <w:t>199—2506.7</w:t>
      </w:r>
      <w:r>
        <w:rPr>
          <w:rFonts w:ascii="Times New Roman" w:hAnsi="Times New Roman"/>
          <w:b/>
          <w:i w:val="false"/>
          <w:color w:val="000000"/>
          <w:sz w:val="24"/>
        </w:rPr>
        <w:t xml:space="preserve">(17A,476) </w:t>
      </w:r>
      <w:r>
        <w:rPr>
          <w:rFonts w:ascii="Times New Roman" w:hAnsi="Times New Roman"/>
          <w:b/>
          <w:i w:val="false"/>
          <w:color w:val="000000"/>
          <w:sz w:val="24"/>
        </w:rPr>
        <w:t xml:space="preserve">Electronic information. </w:t>
      </w:r>
      <w:r>
        <w:rPr>
          <w:rFonts w:ascii="Times New Roman" w:hAnsi="Times New Roman"/>
          <w:b w:val="false"/>
          <w:i w:val="false"/>
          <w:color w:val="000000"/>
          <w:sz w:val="24"/>
        </w:rPr>
        <w:t xml:space="preserve">Filing of electronic information shall comply with the commission’s rules on electronic filing in </w:t>
      </w:r>
      <w:hyperlink r:id="rId64">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and the commission’s published standards for electronic information, available on the commission’s website at iuc.iowa.gov or from the commission’s customer service center.</w:t>
      </w:r>
    </w:p>
    <w:p>
      <w:pPr>
        <w:spacing w:before="210" w:after="0" w:line="480"/>
        <w:ind w:left="120"/>
        <w:jc w:val="both"/>
      </w:pPr>
      <w:r>
        <w:rPr>
          <w:rFonts w:ascii="Times New Roman" w:hAnsi="Times New Roman"/>
          <w:b/>
          <w:i w:val="false"/>
          <w:color w:val="000000"/>
          <w:sz w:val="24"/>
        </w:rPr>
        <w:t>199—2506.8</w:t>
      </w:r>
      <w:r>
        <w:rPr>
          <w:rFonts w:ascii="Times New Roman" w:hAnsi="Times New Roman"/>
          <w:b/>
          <w:i w:val="false"/>
          <w:color w:val="000000"/>
          <w:sz w:val="24"/>
        </w:rPr>
        <w:t xml:space="preserve">(17A,476) </w:t>
      </w:r>
      <w:r>
        <w:rPr>
          <w:rFonts w:ascii="Times New Roman" w:hAnsi="Times New Roman"/>
          <w:b/>
          <w:i w:val="false"/>
          <w:color w:val="000000"/>
          <w:sz w:val="24"/>
        </w:rPr>
        <w:t xml:space="preserve">Delivery of notice of hearing. </w:t>
      </w:r>
      <w:r>
        <w:rPr>
          <w:rFonts w:ascii="Times New Roman" w:hAnsi="Times New Roman"/>
          <w:b w:val="false"/>
          <w:i w:val="false"/>
          <w:color w:val="000000"/>
          <w:sz w:val="24"/>
        </w:rPr>
        <w:t>When the commission or presiding officer issues an order containing a notice of hearing, delivery of the order will be by electronic notice through the electronic filing system, and to those persons who have been approved to receive paper documents unless otherwise ordered.</w:t>
      </w:r>
    </w:p>
    <w:p>
      <w:pPr>
        <w:spacing w:before="0" w:after="0" w:line="480"/>
        <w:ind w:left="120"/>
        <w:jc w:val="both"/>
      </w:pPr>
      <w:r>
        <w:rPr>
          <w:rFonts w:ascii="Times New Roman" w:hAnsi="Times New Roman"/>
          <w:b/>
          <w:i w:val="false"/>
          <w:color w:val="000000"/>
          <w:sz w:val="24"/>
        </w:rPr>
        <w:t>199—2506.9</w:t>
      </w:r>
      <w:r>
        <w:rPr>
          <w:rFonts w:ascii="Times New Roman" w:hAnsi="Times New Roman"/>
          <w:b/>
          <w:i w:val="false"/>
          <w:color w:val="000000"/>
          <w:sz w:val="24"/>
        </w:rPr>
        <w:t xml:space="preserve">(17A,476) </w:t>
      </w:r>
      <w:r>
        <w:rPr>
          <w:rFonts w:ascii="Times New Roman" w:hAnsi="Times New Roman"/>
          <w:b/>
          <w:i w:val="false"/>
          <w:color w:val="000000"/>
          <w:sz w:val="24"/>
        </w:rPr>
        <w:t xml:space="preserve">Pleadings and answers.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2506.9(1)</w:t>
      </w:r>
      <w:r>
        <w:rPr>
          <w:rFonts w:ascii="Times New Roman" w:hAnsi="Times New Roman"/>
          <w:b w:val="false"/>
          <w:i w:val="false"/>
          <w:color w:val="000000"/>
          <w:sz w:val="24"/>
        </w:rPr>
        <w:t> </w:t>
      </w:r>
      <w:r>
        <w:rPr>
          <w:rFonts w:ascii="Times New Roman" w:hAnsi="Times New Roman"/>
          <w:b w:val="false"/>
          <w:i/>
          <w:color w:val="000000"/>
          <w:sz w:val="24"/>
        </w:rPr>
        <w:t xml:space="preserve">Pleadings. </w:t>
      </w:r>
      <w:r>
        <w:rPr>
          <w:rFonts w:ascii="Times New Roman" w:hAnsi="Times New Roman"/>
          <w:b w:val="false"/>
          <w:i w:val="false"/>
          <w:color w:val="000000"/>
          <w:sz w:val="24"/>
        </w:rPr>
        <w:t>Pleadings may be filed pursuant to statute, rule, or order or filed to initiate a docket.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2506.9(2)</w:t>
      </w:r>
      <w:r>
        <w:rPr>
          <w:rFonts w:ascii="Times New Roman" w:hAnsi="Times New Roman"/>
          <w:b w:val="false"/>
          <w:i w:val="false"/>
          <w:color w:val="000000"/>
          <w:sz w:val="24"/>
        </w:rPr>
        <w:t> </w:t>
      </w:r>
      <w:r>
        <w:rPr>
          <w:rFonts w:ascii="Times New Roman" w:hAnsi="Times New Roman"/>
          <w:b w:val="false"/>
          <w:i/>
          <w:color w:val="000000"/>
          <w:sz w:val="24"/>
        </w:rPr>
        <w:t xml:space="preserve">Answers.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otherwise ordered by the commission or presiding officer, answers to complaints, petitions, applications, or other pleadings shall be filed with the commission within 20 days after the day on which the pleading being answered was filed in the commission’s electronic filing system and served upon the respondent or other party. However, when a provision of law requires that the commission issue a decision in the case in six months or less, the answer shall be filed with the commission within ten days of service of the pleading being answered unless otherwise ordered by the commission or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answer will specifically admit, deny, or otherwise answer all material allegations of the pleadings and also briefly set forth the affirmative grounds relied upon to support each answer.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party who deems the complaint, petition, application, or other pleading insufficient to show a breach of legal duty or grounds for relief may move to dismiss instead of, or in addition to, answering.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party may apply for a more definitive and detailed statement instead of, or in addition to, answering,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2506.9(3)</w:t>
      </w:r>
      <w:r>
        <w:rPr>
          <w:rFonts w:ascii="Times New Roman" w:hAnsi="Times New Roman"/>
          <w:b w:val="false"/>
          <w:i w:val="false"/>
          <w:color w:val="000000"/>
          <w:sz w:val="24"/>
        </w:rPr>
        <w:t> </w:t>
      </w:r>
      <w:r>
        <w:rPr>
          <w:rFonts w:ascii="Times New Roman" w:hAnsi="Times New Roman"/>
          <w:b w:val="false"/>
          <w:i/>
          <w:color w:val="000000"/>
          <w:sz w:val="24"/>
        </w:rPr>
        <w:t xml:space="preserve">Amendments to pleadings. </w:t>
      </w:r>
      <w:r>
        <w:rPr>
          <w:rFonts w:ascii="Times New Roman" w:hAnsi="Times New Roman"/>
          <w:b w:val="false"/>
          <w:i w:val="false"/>
          <w:color w:val="000000"/>
          <w:sz w:val="24"/>
        </w:rPr>
        <w:t>Amendments to pleadings may be allowed upon proper motion at any time during the pendency of the proceeding upon such terms as are just and reasonable.</w:t>
      </w:r>
    </w:p>
    <w:p>
      <w:pPr>
        <w:spacing w:before="0" w:after="0" w:line="480"/>
        <w:ind w:left="120"/>
        <w:jc w:val="both"/>
      </w:pPr>
      <w:r>
        <w:rPr>
          <w:rFonts w:ascii="Times New Roman" w:hAnsi="Times New Roman"/>
          <w:b/>
          <w:i w:val="false"/>
          <w:color w:val="000000"/>
          <w:sz w:val="24"/>
        </w:rPr>
        <w:t>199—2506.10</w:t>
      </w:r>
      <w:r>
        <w:rPr>
          <w:rFonts w:ascii="Times New Roman" w:hAnsi="Times New Roman"/>
          <w:b/>
          <w:i w:val="false"/>
          <w:color w:val="000000"/>
          <w:sz w:val="24"/>
        </w:rPr>
        <w:t xml:space="preserve">(17A,476) </w:t>
      </w:r>
      <w:r>
        <w:rPr>
          <w:rFonts w:ascii="Times New Roman" w:hAnsi="Times New Roman"/>
          <w:b/>
          <w:i w:val="false"/>
          <w:color w:val="000000"/>
          <w:sz w:val="24"/>
        </w:rPr>
        <w:t xml:space="preserve">Prefiled testimony and exhibits.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2506.10(1)</w:t>
      </w:r>
      <w:r>
        <w:rPr>
          <w:rFonts w:ascii="Times New Roman" w:hAnsi="Times New Roman"/>
          <w:b w:val="false"/>
          <w:i w:val="false"/>
          <w:color w:val="000000"/>
          <w:sz w:val="24"/>
        </w:rPr>
        <w:t> </w:t>
      </w:r>
      <w:r>
        <w:rPr>
          <w:rFonts w:ascii="Times New Roman" w:hAnsi="Times New Roman"/>
          <w:b w:val="false"/>
          <w:i w:val="false"/>
          <w:color w:val="000000"/>
          <w:sz w:val="24"/>
        </w:rPr>
        <w:t>The commission or presiding officer may order the parties to file prefiled testimony and exhibits prior to the hearing. The use of prefiled testimony is the standard method for providing testimony in contested cases and other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2506.10(2)</w:t>
      </w:r>
      <w:r>
        <w:rPr>
          <w:rFonts w:ascii="Times New Roman" w:hAnsi="Times New Roman"/>
          <w:b w:val="false"/>
          <w:i w:val="false"/>
          <w:color w:val="000000"/>
          <w:sz w:val="24"/>
        </w:rPr>
        <w:t> </w:t>
      </w:r>
      <w:r>
        <w:rPr>
          <w:rFonts w:ascii="Times New Roman" w:hAnsi="Times New Roman"/>
          <w:b w:val="false"/>
          <w:i w:val="false"/>
          <w:color w:val="000000"/>
          <w:sz w:val="24"/>
        </w:rPr>
        <w:t>Prefiled testimony contains all statements that a witness intends to give under oath at the hearing, set forth in question and answer form. If possible, each line should be separately numbered. When a witness who has submitted prefiled testimony takes the stand, the witness does not ordinarily repeat the written testimony or give new testimony. Instead, the witness is cross-examined by the other parties concerning the statements already made in writing. However, the witness may be permitted to correct or update prefiled testimony on the stand and, in appropriate circumstances and with the approval of the commission or presiding officer, may give a summary of the prefiled testimony. If the witness has more than three substantive corrections to make to the prefiled testimony or exhibits, then the corrected testimony or exhibits shall be filed in the appropriate docket in the commission’s electronic filing system at least three days prior to the hearing. The prefiled testimony and any exhibits are to be marked and identified in conformance with the commission’s approved naming convention provided on the commission’s electronic filing system website or as directed in a commission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2506.10(3)</w:t>
      </w:r>
      <w:r>
        <w:rPr>
          <w:rFonts w:ascii="Times New Roman" w:hAnsi="Times New Roman"/>
          <w:b w:val="false"/>
          <w:i w:val="false"/>
          <w:color w:val="000000"/>
          <w:sz w:val="24"/>
        </w:rPr>
        <w:t> </w:t>
      </w:r>
      <w:r>
        <w:rPr>
          <w:rFonts w:ascii="Times New Roman" w:hAnsi="Times New Roman"/>
          <w:b w:val="false"/>
          <w:i w:val="false"/>
          <w:color w:val="000000"/>
          <w:sz w:val="24"/>
        </w:rPr>
        <w:t>Prefiled testimony and exhibits are to be accompanied by an affidavit in substantially the following form: “I, [person’s name], being first duly sworn on oath, state that I am the same [person’s name] identified in the testimony being filed with this affidavit, that I have caused the testimony [and exhibits] to be prepared and am familiar with its contents, and that the testimony [and exhibits] is true and correct to the best of my knowledge and belief as of the date of this affidavit.”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2506.10(4)</w:t>
      </w:r>
      <w:r>
        <w:rPr>
          <w:rFonts w:ascii="Times New Roman" w:hAnsi="Times New Roman"/>
          <w:b w:val="false"/>
          <w:i w:val="false"/>
          <w:color w:val="000000"/>
          <w:sz w:val="24"/>
        </w:rPr>
        <w:t> </w:t>
      </w:r>
      <w:r>
        <w:rPr>
          <w:rFonts w:ascii="Times New Roman" w:hAnsi="Times New Roman"/>
          <w:b w:val="false"/>
          <w:i w:val="false"/>
          <w:color w:val="000000"/>
          <w:sz w:val="24"/>
        </w:rPr>
        <w:t>Prefiled testimony, exhibits, and supporting documents shall be filed in the commission’s electronic filing system in conformance with this rule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supporting workpapers.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commission’s standards for electronic information, which are available on the commission’s website or from the commission’s customer service center, govern the filing of electronic workpapers in native electronic formats.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Workpapers’ underlying analyses and data presented in exhibits should be explicitly referenced within the exhibit, including the name and other identifiers (e.g., cell coordinates) for electronic workpapers and volume, tab, and page numbers for other workpapers.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source of any number used in a workpaper that was not generated by that workpaper will be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derivation or source of all numbers used in either testimony or exhibits that were not generated by workpapers.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any specific studies or financial literature relied upon or complete citations for them if publicly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Electronic copies, in native electronic format, of all computer-generated exhibits that comply with the commission’s standards for electronic information, which are available on the commission’s website or from the commission’s customer service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2506.10(5)</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commission’s standards for electronic information, which are available on the commission’s website or from the commission’s customer service center, and the electronic filing rules in </w:t>
      </w:r>
      <w:hyperlink r:id="rId65">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govern the filing of prefiled testimony and exhibits.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2506.10(6)</w:t>
      </w:r>
      <w:r>
        <w:rPr>
          <w:rFonts w:ascii="Times New Roman" w:hAnsi="Times New Roman"/>
          <w:b w:val="false"/>
          <w:i w:val="false"/>
          <w:color w:val="000000"/>
          <w:sz w:val="24"/>
        </w:rPr>
        <w:t> </w:t>
      </w:r>
      <w:r>
        <w:rPr>
          <w:rFonts w:ascii="Times New Roman" w:hAnsi="Times New Roman"/>
          <w:b w:val="false"/>
          <w:i w:val="false"/>
          <w:color w:val="000000"/>
          <w:sz w:val="24"/>
        </w:rPr>
        <w:t>If a party has filed part or all of its prefiled testimony and exhibits as confidential and then later withdraws the claim of confidentiality for part or all of the testimony and exhibits, or if the commission denies the request to hold the testimony and exhibits confidential, the party shall refile the testimony and exhibits with the information made public.</w:t>
      </w:r>
    </w:p>
    <w:p>
      <w:pPr>
        <w:spacing w:before="210" w:after="0" w:line="480"/>
        <w:ind w:left="120"/>
        <w:jc w:val="both"/>
      </w:pPr>
      <w:r>
        <w:rPr>
          <w:rFonts w:ascii="Times New Roman" w:hAnsi="Times New Roman"/>
          <w:b/>
          <w:i w:val="false"/>
          <w:color w:val="000000"/>
          <w:sz w:val="24"/>
        </w:rPr>
        <w:t>199—2506.11</w:t>
      </w:r>
      <w:r>
        <w:rPr>
          <w:rFonts w:ascii="Times New Roman" w:hAnsi="Times New Roman"/>
          <w:b/>
          <w:i w:val="false"/>
          <w:color w:val="000000"/>
          <w:sz w:val="24"/>
        </w:rPr>
        <w:t xml:space="preserve">(17A,476) </w:t>
      </w:r>
      <w:r>
        <w:rPr>
          <w:rFonts w:ascii="Times New Roman" w:hAnsi="Times New Roman"/>
          <w:b/>
          <w:i w:val="false"/>
          <w:color w:val="000000"/>
          <w:sz w:val="24"/>
        </w:rPr>
        <w:t xml:space="preserve">Documentary evidence in books and materials. </w:t>
      </w:r>
      <w:r>
        <w:rPr>
          <w:rFonts w:ascii="Times New Roman" w:hAnsi="Times New Roman"/>
          <w:b w:val="false"/>
          <w:i w:val="false"/>
          <w:color w:val="000000"/>
          <w:sz w:val="24"/>
        </w:rPr>
        <w:t>When documentary evidence being offered is contained in a book, report, or other document, the offering party will file only the material, relevant portions in an exhibit.</w:t>
      </w:r>
    </w:p>
    <w:p>
      <w:pPr>
        <w:spacing w:before="210" w:after="0" w:line="480"/>
        <w:ind w:left="120"/>
        <w:jc w:val="both"/>
      </w:pPr>
      <w:r>
        <w:rPr>
          <w:rFonts w:ascii="Times New Roman" w:hAnsi="Times New Roman"/>
          <w:b/>
          <w:i w:val="false"/>
          <w:color w:val="000000"/>
          <w:sz w:val="24"/>
        </w:rPr>
        <w:t>199—2506.12</w:t>
      </w:r>
      <w:r>
        <w:rPr>
          <w:rFonts w:ascii="Times New Roman" w:hAnsi="Times New Roman"/>
          <w:b/>
          <w:i w:val="false"/>
          <w:color w:val="000000"/>
          <w:sz w:val="24"/>
        </w:rPr>
        <w:t xml:space="preserve">(17A,476) </w:t>
      </w:r>
      <w:r>
        <w:rPr>
          <w:rFonts w:ascii="Times New Roman" w:hAnsi="Times New Roman"/>
          <w:b/>
          <w:i w:val="false"/>
          <w:color w:val="000000"/>
          <w:sz w:val="24"/>
        </w:rPr>
        <w:t xml:space="preserve">Motions. </w:t>
      </w:r>
      <w:r>
        <w:rPr>
          <w:rFonts w:ascii="Times New Roman" w:hAnsi="Times New Roman"/>
          <w:b w:val="false"/>
          <w:i w:val="false"/>
          <w:color w:val="000000"/>
          <w:sz w:val="24"/>
        </w:rPr>
        <w:t xml:space="preserve">Motions, unless made during hearing, are to be in writing, state the grounds for relief, and state the relief or order sought. Motions based on matters that do not appear of record may be supported by affidavit or other evidence. The filing of motions is governed by </w:t>
      </w:r>
      <w:hyperlink r:id="rId66">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Any party may file a written response to a motion no later than 14 days from the date the motion is filed unless the time period is extended or shortened by the commission or presiding officer. When a provision of law directs the commission to issue a decision in the case in six months or less, a party filing a written response is to do so within seven days from the date the motion is filed unless otherwise ordered by the commission or presiding officer. Failure to file a timely response may be deemed a waiver of objection to the motion. Requirements regarding motions related to discovery are contained in rule </w:t>
      </w:r>
      <w:hyperlink r:id="rId67">
        <w:r>
          <w:rPr>
            <w:rStyle w:val="Hyperlink"/>
            <w:rFonts w:ascii="Times New Roman" w:hAnsi="Times New Roman"/>
            <w:b w:val="false"/>
            <w:i w:val="false"/>
            <w:color w:val="000000"/>
            <w:sz w:val="24"/>
          </w:rPr>
          <w:t>199—2506.15</w:t>
        </w:r>
      </w:hyperlink>
      <w:r>
        <w:rPr>
          <w:rFonts w:ascii="Times New Roman" w:hAnsi="Times New Roman"/>
          <w:b w:val="false"/>
          <w:i w:val="false"/>
          <w:color w:val="000000"/>
          <w:sz w:val="24"/>
        </w:rPr>
        <w:t>(17A,476).</w:t>
      </w:r>
    </w:p>
    <w:p>
      <w:pPr>
        <w:spacing w:before="0" w:after="0" w:line="480"/>
        <w:ind w:left="120"/>
        <w:jc w:val="both"/>
      </w:pPr>
      <w:r>
        <w:rPr>
          <w:rFonts w:ascii="Times New Roman" w:hAnsi="Times New Roman"/>
          <w:b/>
          <w:i w:val="false"/>
          <w:color w:val="000000"/>
          <w:sz w:val="24"/>
        </w:rPr>
        <w:t>199—2506.13</w:t>
      </w:r>
      <w:r>
        <w:rPr>
          <w:rFonts w:ascii="Times New Roman" w:hAnsi="Times New Roman"/>
          <w:b/>
          <w:i w:val="false"/>
          <w:color w:val="000000"/>
          <w:sz w:val="24"/>
        </w:rPr>
        <w:t xml:space="preserve">(17A,476) </w:t>
      </w:r>
      <w:r>
        <w:rPr>
          <w:rFonts w:ascii="Times New Roman" w:hAnsi="Times New Roman"/>
          <w:b/>
          <w:i w:val="false"/>
          <w:color w:val="000000"/>
          <w:sz w:val="24"/>
        </w:rPr>
        <w:t xml:space="preserve">Intervention.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2506.13(1)</w:t>
      </w:r>
      <w:r>
        <w:rPr>
          <w:rFonts w:ascii="Times New Roman" w:hAnsi="Times New Roman"/>
          <w:b w:val="false"/>
          <w:i w:val="false"/>
          <w:color w:val="000000"/>
          <w:sz w:val="24"/>
        </w:rPr>
        <w:t> </w:t>
      </w:r>
      <w:r>
        <w:rPr>
          <w:rFonts w:ascii="Times New Roman" w:hAnsi="Times New Roman"/>
          <w:b w:val="false"/>
          <w:i w:val="false"/>
          <w:color w:val="000000"/>
          <w:sz w:val="24"/>
        </w:rPr>
        <w:t>Petition. Unless otherwise ordered by the commission or presiding officer, a request to intervene in a proceeding shall be by petition to intervene filed no later than 20 days following the order setting a procedural schedule. However, when a provision of law directs the commission to issue a decision in the case in six months or less, the petition to intervene is to be filed no later than ten days following the order setting a procedural schedule unless otherwise ordered by the commission or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2506.13(2)</w:t>
      </w:r>
      <w:r>
        <w:rPr>
          <w:rFonts w:ascii="Times New Roman" w:hAnsi="Times New Roman"/>
          <w:b w:val="false"/>
          <w:i w:val="false"/>
          <w:color w:val="000000"/>
          <w:sz w:val="24"/>
        </w:rPr>
        <w:t> </w:t>
      </w:r>
      <w:r>
        <w:rPr>
          <w:rFonts w:ascii="Times New Roman" w:hAnsi="Times New Roman"/>
          <w:b w:val="false"/>
          <w:i w:val="false"/>
          <w:color w:val="000000"/>
          <w:sz w:val="24"/>
        </w:rPr>
        <w:t>Response. Any party may file a response within seven days of service of the petition to intervene unless the time period is extended or shortened by the commission or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2506.13(3)</w:t>
      </w:r>
      <w:r>
        <w:rPr>
          <w:rFonts w:ascii="Times New Roman" w:hAnsi="Times New Roman"/>
          <w:b w:val="false"/>
          <w:i w:val="false"/>
          <w:color w:val="000000"/>
          <w:sz w:val="24"/>
        </w:rPr>
        <w:t> </w:t>
      </w:r>
      <w:r>
        <w:rPr>
          <w:rFonts w:ascii="Times New Roman" w:hAnsi="Times New Roman"/>
          <w:b w:val="false"/>
          <w:i w:val="false"/>
          <w:color w:val="000000"/>
          <w:sz w:val="24"/>
        </w:rPr>
        <w:t>Grounds for intervention. Any person having an interest in the subject matter of a proceeding may be permitted to intervene at the discretion of the commission or presiding officer. In determining whether to grant intervention, the commission or presiding officer will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prospective intervenor’s interest in the subject matter of the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effect of a decision that may be rendered upon the prospective intervenor’s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prospective intervenor’s interest will be represented by other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availability of other means by which the prospective intervenor’s interest may be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prospective intervenor’s participation may reasonably be expected to assist in the development of a sound record through presentation of relevant evidence and argument;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2506.13(4)</w:t>
      </w:r>
      <w:r>
        <w:rPr>
          <w:rFonts w:ascii="Times New Roman" w:hAnsi="Times New Roman"/>
          <w:b w:val="false"/>
          <w:i w:val="false"/>
          <w:color w:val="000000"/>
          <w:sz w:val="24"/>
        </w:rPr>
        <w:t> </w:t>
      </w:r>
      <w:r>
        <w:rPr>
          <w:rFonts w:ascii="Times New Roman" w:hAnsi="Times New Roman"/>
          <w:b w:val="false"/>
          <w:i w:val="false"/>
          <w:color w:val="000000"/>
          <w:sz w:val="24"/>
        </w:rPr>
        <w:t>In determining the extent to which the prospective intervenor’s interest will be represented by other parties, the consumer advocate’s role of representing the public interest will not be interpreted as representing every potential interest in a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2506.13(5)</w:t>
      </w:r>
      <w:r>
        <w:rPr>
          <w:rFonts w:ascii="Times New Roman" w:hAnsi="Times New Roman"/>
          <w:b w:val="false"/>
          <w:i w:val="false"/>
          <w:color w:val="000000"/>
          <w:sz w:val="24"/>
        </w:rPr>
        <w:t> </w:t>
      </w:r>
      <w:r>
        <w:rPr>
          <w:rFonts w:ascii="Times New Roman" w:hAnsi="Times New Roman"/>
          <w:b w:val="false"/>
          <w:i w:val="false"/>
          <w:color w:val="000000"/>
          <w:sz w:val="24"/>
        </w:rPr>
        <w:t>The commission or presiding officer may limit a person’s intervention to particular issues or to a particular stage of the proceeding, or may otherwise condition the intervenor’s participation in the proceeding. Leave to intervene is generally granted by the commission or presiding officer to any person with a cognizable interest in the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2506.13(6)</w:t>
      </w:r>
      <w:r>
        <w:rPr>
          <w:rFonts w:ascii="Times New Roman" w:hAnsi="Times New Roman"/>
          <w:b w:val="false"/>
          <w:i w:val="false"/>
          <w:color w:val="000000"/>
          <w:sz w:val="24"/>
        </w:rPr>
        <w:t> </w:t>
      </w:r>
      <w:r>
        <w:rPr>
          <w:rFonts w:ascii="Times New Roman" w:hAnsi="Times New Roman"/>
          <w:b w:val="false"/>
          <w:i w:val="false"/>
          <w:color w:val="000000"/>
          <w:sz w:val="24"/>
        </w:rPr>
        <w:t>When two or more intervenors have substantially the same interest, the commission or presiding officer, in the commission’s or presiding officer’s discretion, may order consolidation of petitions and briefs and limit the number of attorneys allowed to participate actively in the proceedings to avoid a duplication of effort.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2506.13(7)</w:t>
      </w:r>
      <w:r>
        <w:rPr>
          <w:rFonts w:ascii="Times New Roman" w:hAnsi="Times New Roman"/>
          <w:b w:val="false"/>
          <w:i w:val="false"/>
          <w:color w:val="000000"/>
          <w:sz w:val="24"/>
        </w:rPr>
        <w:t> </w:t>
      </w:r>
      <w:r>
        <w:rPr>
          <w:rFonts w:ascii="Times New Roman" w:hAnsi="Times New Roman"/>
          <w:b w:val="false"/>
          <w:i w:val="false"/>
          <w:color w:val="000000"/>
          <w:sz w:val="24"/>
        </w:rPr>
        <w:t>A person granted leave to intervene is a party to the proceeding. However, unless the commission or presiding officer rules otherwise for good cause shown, an intervenor is bound by any agreement, arrangement, or order previously made or issued in the case.</w:t>
      </w:r>
    </w:p>
    <w:p>
      <w:pPr>
        <w:spacing w:before="0" w:after="0" w:line="480"/>
        <w:ind w:left="120"/>
        <w:jc w:val="both"/>
      </w:pPr>
      <w:r>
        <w:rPr>
          <w:rFonts w:ascii="Times New Roman" w:hAnsi="Times New Roman"/>
          <w:b/>
          <w:i w:val="false"/>
          <w:color w:val="000000"/>
          <w:sz w:val="24"/>
        </w:rPr>
        <w:t>199—2506.14</w:t>
      </w:r>
      <w:r>
        <w:rPr>
          <w:rFonts w:ascii="Times New Roman" w:hAnsi="Times New Roman"/>
          <w:b/>
          <w:i w:val="false"/>
          <w:color w:val="000000"/>
          <w:sz w:val="24"/>
        </w:rPr>
        <w:t xml:space="preserve">(17A,476) </w:t>
      </w:r>
      <w:r>
        <w:rPr>
          <w:rFonts w:ascii="Times New Roman" w:hAnsi="Times New Roman"/>
          <w:b/>
          <w:i w:val="false"/>
          <w:color w:val="000000"/>
          <w:sz w:val="24"/>
        </w:rPr>
        <w:t xml:space="preserve">Consolidation and severance.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2506.14(1)</w:t>
      </w:r>
      <w:r>
        <w:rPr>
          <w:rFonts w:ascii="Times New Roman" w:hAnsi="Times New Roman"/>
          <w:b w:val="false"/>
          <w:i w:val="false"/>
          <w:color w:val="000000"/>
          <w:sz w:val="24"/>
        </w:rPr>
        <w:t> </w:t>
      </w:r>
      <w:r>
        <w:rPr>
          <w:rFonts w:ascii="Times New Roman" w:hAnsi="Times New Roman"/>
          <w:b w:val="false"/>
          <w:i/>
          <w:color w:val="000000"/>
          <w:sz w:val="24"/>
        </w:rPr>
        <w:t xml:space="preserve">Consolidation. </w:t>
      </w:r>
      <w:r>
        <w:rPr>
          <w:rFonts w:ascii="Times New Roman" w:hAnsi="Times New Roman"/>
          <w:b w:val="false"/>
          <w:i w:val="false"/>
          <w:color w:val="000000"/>
          <w:sz w:val="24"/>
        </w:rPr>
        <w:t>The commission or presiding officer may consolidate in one docket any or all matters at issue in two or more dockets. When deciding whether to consolidate, the commission or presiding officer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matters at issue involve common parties or common questions of fact or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consolidation is likely to expedite or simplify consideration of the issues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consolidation would adversely affect the substantial rights of any of the parties to the proceedings;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2506.14(2)</w:t>
      </w:r>
      <w:r>
        <w:rPr>
          <w:rFonts w:ascii="Times New Roman" w:hAnsi="Times New Roman"/>
          <w:b w:val="false"/>
          <w:i w:val="false"/>
          <w:color w:val="000000"/>
          <w:sz w:val="24"/>
        </w:rPr>
        <w:t> </w:t>
      </w:r>
      <w:r>
        <w:rPr>
          <w:rFonts w:ascii="Times New Roman" w:hAnsi="Times New Roman"/>
          <w:b w:val="false"/>
          <w:i/>
          <w:color w:val="000000"/>
          <w:sz w:val="24"/>
        </w:rPr>
        <w:t xml:space="preserve">Severance. </w:t>
      </w:r>
      <w:r>
        <w:rPr>
          <w:rFonts w:ascii="Times New Roman" w:hAnsi="Times New Roman"/>
          <w:b w:val="false"/>
          <w:i w:val="false"/>
          <w:color w:val="000000"/>
          <w:sz w:val="24"/>
        </w:rPr>
        <w:t>The commission or presiding officer may order any contested case or portions thereof severed for good cause.</w:t>
      </w:r>
    </w:p>
    <w:p>
      <w:pPr>
        <w:spacing w:before="0" w:after="0" w:line="480"/>
        <w:ind w:left="120"/>
        <w:jc w:val="both"/>
      </w:pPr>
      <w:r>
        <w:rPr>
          <w:rFonts w:ascii="Times New Roman" w:hAnsi="Times New Roman"/>
          <w:b/>
          <w:i w:val="false"/>
          <w:color w:val="000000"/>
          <w:sz w:val="24"/>
        </w:rPr>
        <w:t>199—2506.15</w:t>
      </w:r>
      <w:r>
        <w:rPr>
          <w:rFonts w:ascii="Times New Roman" w:hAnsi="Times New Roman"/>
          <w:b/>
          <w:i w:val="false"/>
          <w:color w:val="000000"/>
          <w:sz w:val="24"/>
        </w:rPr>
        <w:t xml:space="preserve">(17A,476) </w:t>
      </w:r>
      <w:r>
        <w:rPr>
          <w:rFonts w:ascii="Times New Roman" w:hAnsi="Times New Roman"/>
          <w:b/>
          <w:i w:val="false"/>
          <w:color w:val="000000"/>
          <w:sz w:val="24"/>
        </w:rPr>
        <w:t xml:space="preserve">Discovery.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2506.15(1)</w:t>
      </w:r>
      <w:r>
        <w:rPr>
          <w:rFonts w:ascii="Times New Roman" w:hAnsi="Times New Roman"/>
          <w:b w:val="false"/>
          <w:i w:val="false"/>
          <w:color w:val="000000"/>
          <w:sz w:val="24"/>
        </w:rPr>
        <w:t> </w:t>
      </w:r>
      <w:r>
        <w:rPr>
          <w:rFonts w:ascii="Times New Roman" w:hAnsi="Times New Roman"/>
          <w:b w:val="false"/>
          <w:i w:val="false"/>
          <w:color w:val="000000"/>
          <w:sz w:val="24"/>
        </w:rPr>
        <w:t>Discovery procedures applicable in civil actions are available to parties in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2506.15(2)</w:t>
      </w:r>
      <w:r>
        <w:rPr>
          <w:rFonts w:ascii="Times New Roman" w:hAnsi="Times New Roman"/>
          <w:b w:val="false"/>
          <w:i w:val="false"/>
          <w:color w:val="000000"/>
          <w:sz w:val="24"/>
        </w:rPr>
        <w:t> </w:t>
      </w:r>
      <w:r>
        <w:rPr>
          <w:rFonts w:ascii="Times New Roman" w:hAnsi="Times New Roman"/>
          <w:b w:val="false"/>
          <w:i w:val="false"/>
          <w:color w:val="000000"/>
          <w:sz w:val="24"/>
        </w:rPr>
        <w:t>Unless otherwise ordered by the commission or presiding officer or agreed to by the parties, data requests or interrogatories served by any party shall either be responded to or objected to, with concisely stated grounds for relief, within seven business days of receipt. When a provision of law directs the commission to issue a decision in the case in six months or less, this time is reduced to five days. Data requests or interrogatories served on a day the commission is closed or after 4:30 p.m. central time on a day the commission is open are considered served on the next business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2506.15(3)</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ordered by the commission or presiding officer, time periods for compliance with all forms of discovery other than those stated in subrule </w:t>
      </w:r>
      <w:hyperlink r:id="rId68">
        <w:r>
          <w:rPr>
            <w:rStyle w:val="Hyperlink"/>
            <w:rFonts w:ascii="Times New Roman" w:hAnsi="Times New Roman"/>
            <w:b w:val="false"/>
            <w:i w:val="false"/>
            <w:color w:val="000000"/>
            <w:sz w:val="24"/>
          </w:rPr>
          <w:t>2506.15(2)</w:t>
        </w:r>
      </w:hyperlink>
      <w:r>
        <w:rPr>
          <w:rFonts w:ascii="Times New Roman" w:hAnsi="Times New Roman"/>
          <w:b w:val="false"/>
          <w:i w:val="false"/>
          <w:color w:val="000000"/>
          <w:sz w:val="24"/>
        </w:rPr>
        <w:t xml:space="preserve"> are the same as those provided in the Iowa Rules of Civil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2506.15(4)</w:t>
      </w:r>
      <w:r>
        <w:rPr>
          <w:rFonts w:ascii="Times New Roman" w:hAnsi="Times New Roman"/>
          <w:b w:val="false"/>
          <w:i w:val="false"/>
          <w:color w:val="000000"/>
          <w:sz w:val="24"/>
        </w:rPr>
        <w:t> </w:t>
      </w:r>
      <w:r>
        <w:rPr>
          <w:rFonts w:ascii="Times New Roman" w:hAnsi="Times New Roman"/>
          <w:b w:val="false"/>
          <w:i w:val="false"/>
          <w:color w:val="000000"/>
          <w:sz w:val="24"/>
        </w:rPr>
        <w:t>A party shall make a good faith effort to resolve a discovery dispute by personally speaking with or attempting to speak with the opposing party before filing a discovery motion with the commission. A motion relating to discovery must set forth the date and time the moving party spoke with or attempted to speak with the opposing party in a good faith attempt to resolve the dispute.</w:t>
      </w:r>
    </w:p>
    <w:p>
      <w:pPr>
        <w:spacing w:before="0" w:after="0" w:line="480"/>
        <w:ind w:left="120"/>
        <w:jc w:val="both"/>
      </w:pPr>
      <w:r>
        <w:rPr>
          <w:rFonts w:ascii="Times New Roman" w:hAnsi="Times New Roman"/>
          <w:b/>
          <w:i w:val="false"/>
          <w:color w:val="000000"/>
          <w:sz w:val="24"/>
        </w:rPr>
        <w:t>199—2506.16</w:t>
      </w:r>
      <w:r>
        <w:rPr>
          <w:rFonts w:ascii="Times New Roman" w:hAnsi="Times New Roman"/>
          <w:b/>
          <w:i w:val="false"/>
          <w:color w:val="000000"/>
          <w:sz w:val="24"/>
        </w:rPr>
        <w:t xml:space="preserve">(17A,476) </w:t>
      </w:r>
      <w:r>
        <w:rPr>
          <w:rFonts w:ascii="Times New Roman" w:hAnsi="Times New Roman"/>
          <w:b/>
          <w:i w:val="false"/>
          <w:color w:val="000000"/>
          <w:sz w:val="24"/>
        </w:rPr>
        <w:t xml:space="preserve">Subpoenas.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2506.16(1)</w:t>
      </w:r>
      <w:r>
        <w:rPr>
          <w:rFonts w:ascii="Times New Roman" w:hAnsi="Times New Roman"/>
          <w:b w:val="false"/>
          <w:i w:val="false"/>
          <w:color w:val="000000"/>
          <w:sz w:val="24"/>
        </w:rPr>
        <w:t> </w:t>
      </w:r>
      <w:r>
        <w:rPr>
          <w:rFonts w:ascii="Times New Roman" w:hAnsi="Times New Roman"/>
          <w:b w:val="false"/>
          <w:i/>
          <w:color w:val="000000"/>
          <w:sz w:val="24"/>
        </w:rPr>
        <w:t xml:space="preserve">Issuance.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agency subpoena will be issued to a party on a written request that includes the name, address, and telephone number of the requesting party. In the absence of good cause for permitting later action, a request for a subpoena will be filed at least seven days before the scheduled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to the extent otherwise provided by law, parties are responsible for service of their own subpoenas and payment of witness fees and mileage expenses. Subpoenas cannot be served electronically through the electronic filing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2506.16(2)</w:t>
      </w:r>
      <w:r>
        <w:rPr>
          <w:rFonts w:ascii="Times New Roman" w:hAnsi="Times New Roman"/>
          <w:b w:val="false"/>
          <w:i w:val="false"/>
          <w:color w:val="000000"/>
          <w:sz w:val="24"/>
        </w:rPr>
        <w:t> </w:t>
      </w:r>
      <w:r>
        <w:rPr>
          <w:rFonts w:ascii="Times New Roman" w:hAnsi="Times New Roman"/>
          <w:b w:val="false"/>
          <w:i/>
          <w:color w:val="000000"/>
          <w:sz w:val="24"/>
        </w:rPr>
        <w:t xml:space="preserve">Motion to quash or modify. </w:t>
      </w:r>
      <w:r>
        <w:rPr>
          <w:rFonts w:ascii="Times New Roman" w:hAnsi="Times New Roman"/>
          <w:b w:val="false"/>
          <w:i w:val="false"/>
          <w:color w:val="000000"/>
          <w:sz w:val="24"/>
        </w:rPr>
        <w:t>Upon motion, the commission or presiding officer may quash or modify a subpoena for any lawful reason.</w:t>
      </w:r>
    </w:p>
    <w:p>
      <w:pPr>
        <w:spacing w:before="210" w:after="0" w:line="480"/>
        <w:ind w:left="120"/>
        <w:jc w:val="both"/>
      </w:pPr>
      <w:r>
        <w:rPr>
          <w:rFonts w:ascii="Times New Roman" w:hAnsi="Times New Roman"/>
          <w:b/>
          <w:i w:val="false"/>
          <w:color w:val="000000"/>
          <w:sz w:val="24"/>
        </w:rPr>
        <w:t>199—2506.17</w:t>
      </w:r>
      <w:r>
        <w:rPr>
          <w:rFonts w:ascii="Times New Roman" w:hAnsi="Times New Roman"/>
          <w:b/>
          <w:i w:val="false"/>
          <w:color w:val="000000"/>
          <w:sz w:val="24"/>
        </w:rPr>
        <w:t xml:space="preserve">(17A,476) </w:t>
      </w:r>
      <w:r>
        <w:rPr>
          <w:rFonts w:ascii="Times New Roman" w:hAnsi="Times New Roman"/>
          <w:b/>
          <w:i w:val="false"/>
          <w:color w:val="000000"/>
          <w:sz w:val="24"/>
        </w:rPr>
        <w:t xml:space="preserve">Prehearing or scheduling conference. </w:t>
      </w:r>
      <w:r>
        <w:rPr>
          <w:rFonts w:ascii="Times New Roman" w:hAnsi="Times New Roman"/>
          <w:b w:val="false"/>
          <w:i w:val="false"/>
          <w:color w:val="000000"/>
          <w:sz w:val="24"/>
        </w:rPr>
        <w:t>The commission or presiding officer may schedule a prehearing conference, scheduling conference, or other informal conference at the commission’s or presiding officer’s discretion or at the request of any party for any appropriate purpose. Any agreement reached at the conference will be made a part of the record in the manner directed by the commission or presiding officer.</w:t>
      </w:r>
    </w:p>
    <w:p>
      <w:pPr>
        <w:spacing w:before="0" w:after="0" w:line="480"/>
        <w:ind w:left="120"/>
        <w:jc w:val="both"/>
      </w:pPr>
      <w:r>
        <w:rPr>
          <w:rFonts w:ascii="Times New Roman" w:hAnsi="Times New Roman"/>
          <w:b/>
          <w:i w:val="false"/>
          <w:color w:val="000000"/>
          <w:sz w:val="24"/>
        </w:rPr>
        <w:t>199—2506.18</w:t>
      </w:r>
      <w:r>
        <w:rPr>
          <w:rFonts w:ascii="Times New Roman" w:hAnsi="Times New Roman"/>
          <w:b/>
          <w:i w:val="false"/>
          <w:color w:val="000000"/>
          <w:sz w:val="24"/>
        </w:rPr>
        <w:t xml:space="preserve">(17A,476) </w:t>
      </w:r>
      <w:r>
        <w:rPr>
          <w:rFonts w:ascii="Times New Roman" w:hAnsi="Times New Roman"/>
          <w:b/>
          <w:i w:val="false"/>
          <w:color w:val="000000"/>
          <w:sz w:val="24"/>
        </w:rPr>
        <w:t xml:space="preserve">Settlements. </w:t>
      </w:r>
      <w:r>
        <w:rPr>
          <w:rFonts w:ascii="Times New Roman" w:hAnsi="Times New Roman"/>
          <w:b w:val="false"/>
          <w:i w:val="false"/>
          <w:color w:val="000000"/>
          <w:sz w:val="24"/>
        </w:rPr>
        <w:t>Parties to a contested case may propose to settle all or some of the issues in the case. The commission or presiding officer will not approve settlements, whether contested or uncontested, unless the settlement is reasonable in light of the whole record, consistent with law, and in the public interest. Commission adoption of a settlement constitutes the final decision of the commission on issues addressed in the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2506.18(1)</w:t>
      </w:r>
      <w:r>
        <w:rPr>
          <w:rFonts w:ascii="Times New Roman" w:hAnsi="Times New Roman"/>
          <w:b w:val="false"/>
          <w:i w:val="false"/>
          <w:color w:val="000000"/>
          <w:sz w:val="24"/>
        </w:rPr>
        <w:t> </w:t>
      </w:r>
      <w:r>
        <w:rPr>
          <w:rFonts w:ascii="Times New Roman" w:hAnsi="Times New Roman"/>
          <w:b w:val="false"/>
          <w:i/>
          <w:color w:val="000000"/>
          <w:sz w:val="24"/>
        </w:rPr>
        <w:t xml:space="preserve">Proposal of settlements. </w:t>
      </w:r>
      <w:r>
        <w:rPr>
          <w:rFonts w:ascii="Times New Roman" w:hAnsi="Times New Roman"/>
          <w:b w:val="false"/>
          <w:i w:val="false"/>
          <w:color w:val="000000"/>
          <w:sz w:val="24"/>
        </w:rPr>
        <w:t>Two or more parties may by written motion propose settlements for adoption by the commission or presiding officer. The motion will contain sufficient information to advise the commission or presiding officer and parties not expressly joining the proposal of its scope and of the grounds on which adoption is urged. Parties may propose a settlement for adoption by the commission or presiding officer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2506.18(2)</w:t>
      </w:r>
      <w:r>
        <w:rPr>
          <w:rFonts w:ascii="Times New Roman" w:hAnsi="Times New Roman"/>
          <w:b w:val="false"/>
          <w:i w:val="false"/>
          <w:color w:val="000000"/>
          <w:sz w:val="24"/>
        </w:rPr>
        <w:t> </w:t>
      </w:r>
      <w:r>
        <w:rPr>
          <w:rFonts w:ascii="Times New Roman" w:hAnsi="Times New Roman"/>
          <w:b w:val="false"/>
          <w:i/>
          <w:color w:val="000000"/>
          <w:sz w:val="24"/>
        </w:rPr>
        <w:t xml:space="preserve">Conference. </w:t>
      </w:r>
      <w:r>
        <w:rPr>
          <w:rFonts w:ascii="Times New Roman" w:hAnsi="Times New Roman"/>
          <w:b w:val="false"/>
          <w:i w:val="false"/>
          <w:color w:val="000000"/>
          <w:sz w:val="24"/>
        </w:rPr>
        <w:t>After proposal of a settlement that is not supported by all parties, and prior to approval, the settling parties are to convene at least one conference with notice and opportunity to participate provided to all parties for the purpose of discussing the settlement proposal. Written notice of the date, time, and place is to be furnished at least seven days in advance to all parties to the proceeding. Only parties and their representatives are entitled to attend a settlement conference. A party that has been given notice and opportunity to participate in the conference and does not do so is deemed to have waived its right to contest a proposed settlement unless good cause is shown for the failure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2506.18(3)</w:t>
      </w:r>
      <w:r>
        <w:rPr>
          <w:rFonts w:ascii="Times New Roman" w:hAnsi="Times New Roman"/>
          <w:b w:val="false"/>
          <w:i w:val="false"/>
          <w:color w:val="000000"/>
          <w:sz w:val="24"/>
        </w:rPr>
        <w:t> </w:t>
      </w:r>
      <w:r>
        <w:rPr>
          <w:rFonts w:ascii="Times New Roman" w:hAnsi="Times New Roman"/>
          <w:b w:val="false"/>
          <w:i/>
          <w:color w:val="000000"/>
          <w:sz w:val="24"/>
        </w:rPr>
        <w:t xml:space="preserve">Comment period. </w:t>
      </w:r>
      <w:r>
        <w:rPr>
          <w:rFonts w:ascii="Times New Roman" w:hAnsi="Times New Roman"/>
          <w:b w:val="false"/>
          <w:i w:val="false"/>
          <w:color w:val="000000"/>
          <w:sz w:val="24"/>
        </w:rPr>
        <w:t>When a party to a proceeding does not join in a settlement proposed for adoption by the commission or presiding officer, the party may file comments contesting all or part of the settlement with the commission within 14 days of the filing of the motion proposing settlement unless otherwise ordered by the commission or the presiding officer. Unless otherwise ordered by the commission or presiding officer, parties may file reply comments within seven days of filing of the comments.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2506.18(4)</w:t>
      </w:r>
      <w:r>
        <w:rPr>
          <w:rFonts w:ascii="Times New Roman" w:hAnsi="Times New Roman"/>
          <w:b w:val="false"/>
          <w:i w:val="false"/>
          <w:color w:val="000000"/>
          <w:sz w:val="24"/>
        </w:rPr>
        <w:t> </w:t>
      </w:r>
      <w:r>
        <w:rPr>
          <w:rFonts w:ascii="Times New Roman" w:hAnsi="Times New Roman"/>
          <w:b w:val="false"/>
          <w:i/>
          <w:color w:val="000000"/>
          <w:sz w:val="24"/>
        </w:rPr>
        <w:t xml:space="preserve">Contents of comments. </w:t>
      </w:r>
      <w:r>
        <w:rPr>
          <w:rFonts w:ascii="Times New Roman" w:hAnsi="Times New Roman"/>
          <w:b w:val="false"/>
          <w:i w:val="false"/>
          <w:color w:val="000000"/>
          <w:sz w:val="24"/>
        </w:rPr>
        <w:t>A party contesting a proposed settlement is to specify in its comments the portions of the settlement that it opposes, the legal basis of its opposition, and the factual issues that it contests. Any failure by a party to file comments may, at the commission’s or presiding officer’s discretion, constitute waiver by that party of all objections to the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2506.18(5)</w:t>
      </w:r>
      <w:r>
        <w:rPr>
          <w:rFonts w:ascii="Times New Roman" w:hAnsi="Times New Roman"/>
          <w:b w:val="false"/>
          <w:i w:val="false"/>
          <w:color w:val="000000"/>
          <w:sz w:val="24"/>
        </w:rPr>
        <w:t> </w:t>
      </w:r>
      <w:r>
        <w:rPr>
          <w:rFonts w:ascii="Times New Roman" w:hAnsi="Times New Roman"/>
          <w:b w:val="false"/>
          <w:i/>
          <w:color w:val="000000"/>
          <w:sz w:val="24"/>
        </w:rPr>
        <w:t xml:space="preserve">Contested settlements. </w:t>
      </w:r>
      <w:r>
        <w:rPr>
          <w:rFonts w:ascii="Times New Roman" w:hAnsi="Times New Roman"/>
          <w:b w:val="false"/>
          <w:i w:val="false"/>
          <w:color w:val="000000"/>
          <w:sz w:val="24"/>
        </w:rPr>
        <w:t>If the proposed settlement is contested, in whole or in part, on any material issue of fact by any party, the commission or presiding officer may schedule a hearing on the contested issue(s). The commission or presiding officer may decline to schedule a hearing where the contested issue of fact is not material or where the contested issue is one of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2506.18(6)</w:t>
      </w:r>
      <w:r>
        <w:rPr>
          <w:rFonts w:ascii="Times New Roman" w:hAnsi="Times New Roman"/>
          <w:b w:val="false"/>
          <w:i w:val="false"/>
          <w:color w:val="000000"/>
          <w:sz w:val="24"/>
        </w:rPr>
        <w:t> </w:t>
      </w:r>
      <w:r>
        <w:rPr>
          <w:rFonts w:ascii="Times New Roman" w:hAnsi="Times New Roman"/>
          <w:b w:val="false"/>
          <w:i/>
          <w:color w:val="000000"/>
          <w:sz w:val="24"/>
        </w:rPr>
        <w:t xml:space="preserve">Unanimous proposed settlement. </w:t>
      </w:r>
      <w:r>
        <w:rPr>
          <w:rFonts w:ascii="Times New Roman" w:hAnsi="Times New Roman"/>
          <w:b w:val="false"/>
          <w:i w:val="false"/>
          <w:color w:val="000000"/>
          <w:sz w:val="24"/>
        </w:rPr>
        <w:t xml:space="preserve">In proceedings where all parties join in the proposed settlement, parties may propose a settlement for adoption by the commission or presiding officer any time after docketing. Subrules </w:t>
      </w:r>
      <w:hyperlink r:id="rId69">
        <w:r>
          <w:rPr>
            <w:rStyle w:val="Hyperlink"/>
            <w:rFonts w:ascii="Times New Roman" w:hAnsi="Times New Roman"/>
            <w:b w:val="false"/>
            <w:i w:val="false"/>
            <w:color w:val="000000"/>
            <w:sz w:val="24"/>
          </w:rPr>
          <w:t>2506.18(2)</w:t>
        </w:r>
      </w:hyperlink>
      <w:r>
        <w:rPr>
          <w:rFonts w:ascii="Times New Roman" w:hAnsi="Times New Roman"/>
          <w:b w:val="false"/>
          <w:i w:val="false"/>
          <w:color w:val="000000"/>
          <w:sz w:val="24"/>
        </w:rPr>
        <w:t xml:space="preserve"> through </w:t>
      </w:r>
      <w:hyperlink r:id="rId70">
        <w:r>
          <w:rPr>
            <w:rStyle w:val="Hyperlink"/>
            <w:rFonts w:ascii="Times New Roman" w:hAnsi="Times New Roman"/>
            <w:b w:val="false"/>
            <w:i w:val="false"/>
            <w:color w:val="000000"/>
            <w:sz w:val="24"/>
          </w:rPr>
          <w:t>2506.18(5)</w:t>
        </w:r>
      </w:hyperlink>
      <w:r>
        <w:rPr>
          <w:rFonts w:ascii="Times New Roman" w:hAnsi="Times New Roman"/>
          <w:b w:val="false"/>
          <w:i w:val="false"/>
          <w:color w:val="000000"/>
          <w:sz w:val="24"/>
        </w:rPr>
        <w:t xml:space="preserve"> do not apply to a proposed settlement filed concurrently by all parties to the proceeding. </w:t>
      </w:r>
      <w:hyperlink r:id="rId71">
        <w:r>
          <w:rPr>
            <w:rStyle w:val="Hyperlink"/>
            <w:rFonts w:ascii="Times New Roman" w:hAnsi="Times New Roman"/>
            <w:b w:val="false"/>
            <w:i w:val="false"/>
            <w:color w:val="000000"/>
            <w:sz w:val="24"/>
          </w:rPr>
          <w:t>199—Chapter 26</w:t>
        </w:r>
      </w:hyperlink>
      <w:r>
        <w:rPr>
          <w:rFonts w:ascii="Times New Roman" w:hAnsi="Times New Roman"/>
          <w:b w:val="false"/>
          <w:i w:val="false"/>
          <w:color w:val="000000"/>
          <w:sz w:val="24"/>
        </w:rPr>
        <w:t xml:space="preserve"> applies to settlements in rate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2506.18(7)</w:t>
      </w:r>
      <w:r>
        <w:rPr>
          <w:rFonts w:ascii="Times New Roman" w:hAnsi="Times New Roman"/>
          <w:b w:val="false"/>
          <w:i w:val="false"/>
          <w:color w:val="000000"/>
          <w:sz w:val="24"/>
        </w:rPr>
        <w:t> </w:t>
      </w:r>
      <w:r>
        <w:rPr>
          <w:rFonts w:ascii="Times New Roman" w:hAnsi="Times New Roman"/>
          <w:b w:val="false"/>
          <w:i/>
          <w:color w:val="000000"/>
          <w:sz w:val="24"/>
        </w:rPr>
        <w:t xml:space="preserve">Inadmissibility. </w:t>
      </w:r>
      <w:r>
        <w:rPr>
          <w:rFonts w:ascii="Times New Roman" w:hAnsi="Times New Roman"/>
          <w:b w:val="false"/>
          <w:i w:val="false"/>
          <w:color w:val="000000"/>
          <w:sz w:val="24"/>
        </w:rPr>
        <w:t>Any discussion, admission, concession, or offer to settle, whether oral or written, made during any negotiation on a settlement is privileged to the extent provided by law, including but not limited to Iowa Rule of Evidence 5.408.</w:t>
      </w:r>
    </w:p>
    <w:p>
      <w:pPr>
        <w:spacing w:before="210" w:after="0" w:line="480"/>
        <w:ind w:left="120"/>
        <w:jc w:val="both"/>
      </w:pPr>
      <w:r>
        <w:rPr>
          <w:rFonts w:ascii="Times New Roman" w:hAnsi="Times New Roman"/>
          <w:b/>
          <w:i w:val="false"/>
          <w:color w:val="000000"/>
          <w:sz w:val="24"/>
        </w:rPr>
        <w:t>199—2506.19</w:t>
      </w:r>
      <w:r>
        <w:rPr>
          <w:rFonts w:ascii="Times New Roman" w:hAnsi="Times New Roman"/>
          <w:b/>
          <w:i w:val="false"/>
          <w:color w:val="000000"/>
          <w:sz w:val="24"/>
        </w:rPr>
        <w:t xml:space="preserve">(17A,476) </w:t>
      </w:r>
      <w:r>
        <w:rPr>
          <w:rFonts w:ascii="Times New Roman" w:hAnsi="Times New Roman"/>
          <w:b/>
          <w:i w:val="false"/>
          <w:color w:val="000000"/>
          <w:sz w:val="24"/>
        </w:rPr>
        <w:t xml:space="preserve">Stipulations. </w:t>
      </w:r>
      <w:r>
        <w:rPr>
          <w:rFonts w:ascii="Times New Roman" w:hAnsi="Times New Roman"/>
          <w:b w:val="false"/>
          <w:i w:val="false"/>
          <w:color w:val="000000"/>
          <w:sz w:val="24"/>
        </w:rPr>
        <w:t>Parties to any proceeding or investigation may, by stipulation filed with the commission, agree upon the facts or law or any portion thereof involved in the controversy, subject to approval by the commission or presiding officer.</w:t>
      </w:r>
    </w:p>
    <w:p>
      <w:pPr>
        <w:spacing w:before="210" w:after="0" w:line="480"/>
        <w:ind w:left="120"/>
        <w:jc w:val="both"/>
      </w:pPr>
      <w:r>
        <w:rPr>
          <w:rFonts w:ascii="Times New Roman" w:hAnsi="Times New Roman"/>
          <w:b/>
          <w:i w:val="false"/>
          <w:color w:val="000000"/>
          <w:sz w:val="24"/>
        </w:rPr>
        <w:t>199—2506.20</w:t>
      </w:r>
      <w:r>
        <w:rPr>
          <w:rFonts w:ascii="Times New Roman" w:hAnsi="Times New Roman"/>
          <w:b/>
          <w:i w:val="false"/>
          <w:color w:val="000000"/>
          <w:sz w:val="24"/>
        </w:rPr>
        <w:t xml:space="preserve">(17A,476) </w:t>
      </w:r>
      <w:r>
        <w:rPr>
          <w:rFonts w:ascii="Times New Roman" w:hAnsi="Times New Roman"/>
          <w:b/>
          <w:i w:val="false"/>
          <w:color w:val="000000"/>
          <w:sz w:val="24"/>
        </w:rPr>
        <w:t xml:space="preserve">Investigations. </w:t>
      </w:r>
      <w:r>
        <w:rPr>
          <w:rFonts w:ascii="Times New Roman" w:hAnsi="Times New Roman"/>
          <w:b w:val="false"/>
          <w:i w:val="false"/>
          <w:color w:val="000000"/>
          <w:sz w:val="24"/>
        </w:rPr>
        <w:t xml:space="preserve">The availability of discovery pursuant to Iowa Code section </w:t>
      </w:r>
      <w:hyperlink r:id="rId72">
        <w:r>
          <w:rPr>
            <w:rStyle w:val="Hyperlink"/>
            <w:rFonts w:ascii="Times New Roman" w:hAnsi="Times New Roman"/>
            <w:b w:val="false"/>
            <w:i w:val="false"/>
            <w:color w:val="000000"/>
            <w:sz w:val="24"/>
          </w:rPr>
          <w:t>17A.13</w:t>
        </w:r>
      </w:hyperlink>
      <w:r>
        <w:rPr>
          <w:rFonts w:ascii="Times New Roman" w:hAnsi="Times New Roman"/>
          <w:b w:val="false"/>
          <w:i w:val="false"/>
          <w:color w:val="000000"/>
          <w:sz w:val="24"/>
        </w:rPr>
        <w:t xml:space="preserve"> or the Iowa Rules of Civil Procedure does not limit the investigatory powers of the commission, its representatives, or the consumer advocate.</w:t>
      </w:r>
    </w:p>
    <w:p>
      <w:pPr>
        <w:spacing w:before="210" w:after="0" w:line="480"/>
        <w:ind w:left="120"/>
        <w:jc w:val="both"/>
      </w:pPr>
      <w:r>
        <w:rPr>
          <w:rFonts w:ascii="Times New Roman" w:hAnsi="Times New Roman"/>
          <w:b/>
          <w:i w:val="false"/>
          <w:color w:val="000000"/>
          <w:sz w:val="24"/>
        </w:rPr>
        <w:t>199—2506.21</w:t>
      </w:r>
      <w:r>
        <w:rPr>
          <w:rFonts w:ascii="Times New Roman" w:hAnsi="Times New Roman"/>
          <w:b/>
          <w:i w:val="false"/>
          <w:color w:val="000000"/>
          <w:sz w:val="24"/>
        </w:rPr>
        <w:t xml:space="preserve">(17A,476) </w:t>
      </w:r>
      <w:r>
        <w:rPr>
          <w:rFonts w:ascii="Times New Roman" w:hAnsi="Times New Roman"/>
          <w:b/>
          <w:i w:val="false"/>
          <w:color w:val="000000"/>
          <w:sz w:val="24"/>
        </w:rPr>
        <w:t xml:space="preserve">Withdrawals. </w:t>
      </w:r>
      <w:r>
        <w:rPr>
          <w:rFonts w:ascii="Times New Roman" w:hAnsi="Times New Roman"/>
          <w:b w:val="false"/>
          <w:i w:val="false"/>
          <w:color w:val="000000"/>
          <w:sz w:val="24"/>
        </w:rPr>
        <w:t>A party requesting a contested case proceeding may, with the permission of the commission or presiding officer, withdraw that request at any time prior to the issuance of a proposed or final decision in the case.</w:t>
      </w:r>
    </w:p>
    <w:p>
      <w:pPr>
        <w:spacing w:before="210" w:after="0" w:line="480"/>
        <w:ind w:left="120"/>
        <w:jc w:val="both"/>
      </w:pPr>
      <w:r>
        <w:rPr>
          <w:rFonts w:ascii="Times New Roman" w:hAnsi="Times New Roman"/>
          <w:b/>
          <w:i w:val="false"/>
          <w:color w:val="000000"/>
          <w:sz w:val="24"/>
        </w:rPr>
        <w:t>199—2506.22</w:t>
      </w:r>
      <w:r>
        <w:rPr>
          <w:rFonts w:ascii="Times New Roman" w:hAnsi="Times New Roman"/>
          <w:b/>
          <w:i w:val="false"/>
          <w:color w:val="000000"/>
          <w:sz w:val="24"/>
        </w:rPr>
        <w:t xml:space="preserve">(17A,476) </w:t>
      </w:r>
      <w:r>
        <w:rPr>
          <w:rFonts w:ascii="Times New Roman" w:hAnsi="Times New Roman"/>
          <w:b/>
          <w:i w:val="false"/>
          <w:color w:val="000000"/>
          <w:sz w:val="24"/>
        </w:rPr>
        <w:t xml:space="preserve">Ex parte communication. </w:t>
      </w:r>
      <w:r>
        <w:rPr>
          <w:rFonts w:ascii="Times New Roman" w:hAnsi="Times New Roman"/>
          <w:b w:val="false"/>
          <w:i w:val="false"/>
          <w:color w:val="000000"/>
          <w:sz w:val="24"/>
        </w:rPr>
        <w:t xml:space="preserve">Ex parte communications are governed by Iowa Code section </w:t>
      </w:r>
      <w:hyperlink r:id="rId73">
        <w:r>
          <w:rPr>
            <w:rStyle w:val="Hyperlink"/>
            <w:rFonts w:ascii="Times New Roman" w:hAnsi="Times New Roman"/>
            <w:b w:val="false"/>
            <w:i w:val="false"/>
            <w:color w:val="000000"/>
            <w:sz w:val="24"/>
          </w:rPr>
          <w:t>17A.17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199—2506.23</w:t>
      </w:r>
      <w:r>
        <w:rPr>
          <w:rFonts w:ascii="Times New Roman" w:hAnsi="Times New Roman"/>
          <w:b/>
          <w:i w:val="false"/>
          <w:color w:val="000000"/>
          <w:sz w:val="24"/>
        </w:rPr>
        <w:t xml:space="preserve">(17A,476) </w:t>
      </w:r>
      <w:r>
        <w:rPr>
          <w:rFonts w:ascii="Times New Roman" w:hAnsi="Times New Roman"/>
          <w:b/>
          <w:i w:val="false"/>
          <w:color w:val="000000"/>
          <w:sz w:val="24"/>
        </w:rPr>
        <w:t xml:space="preserve">Hearings.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2506.23(1)</w:t>
      </w:r>
      <w:r>
        <w:rPr>
          <w:rFonts w:ascii="Times New Roman" w:hAnsi="Times New Roman"/>
          <w:b w:val="false"/>
          <w:i w:val="false"/>
          <w:color w:val="000000"/>
          <w:sz w:val="24"/>
        </w:rPr>
        <w:t> </w:t>
      </w:r>
      <w:r>
        <w:rPr>
          <w:rFonts w:ascii="Times New Roman" w:hAnsi="Times New Roman"/>
          <w:b w:val="false"/>
          <w:i/>
          <w:color w:val="000000"/>
          <w:sz w:val="24"/>
        </w:rPr>
        <w:t xml:space="preserve">Commission or presiding officer. </w:t>
      </w:r>
      <w:r>
        <w:rPr>
          <w:rFonts w:ascii="Times New Roman" w:hAnsi="Times New Roman"/>
          <w:b w:val="false"/>
          <w:i w:val="false"/>
          <w:color w:val="000000"/>
          <w:sz w:val="24"/>
        </w:rPr>
        <w:t>The commission or presiding officer presides at the hearing and may rule on motions and issue such orders and rulings as will ensure the orderly conduct of the proceedings. The commission or presiding officer will maintain the decorum of the hearing and may refuse to admit, may set limits on, or may expel from the hearing anyone whose conduct is disorderly.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2506.23(2)</w:t>
      </w:r>
      <w:r>
        <w:rPr>
          <w:rFonts w:ascii="Times New Roman" w:hAnsi="Times New Roman"/>
          <w:b w:val="false"/>
          <w:i w:val="false"/>
          <w:color w:val="000000"/>
          <w:sz w:val="24"/>
        </w:rPr>
        <w:t> </w:t>
      </w:r>
      <w:r>
        <w:rPr>
          <w:rFonts w:ascii="Times New Roman" w:hAnsi="Times New Roman"/>
          <w:b w:val="false"/>
          <w:i/>
          <w:color w:val="000000"/>
          <w:sz w:val="24"/>
        </w:rPr>
        <w:t xml:space="preserve">Witnesses. </w:t>
      </w:r>
      <w:r>
        <w:rPr>
          <w:rFonts w:ascii="Times New Roman" w:hAnsi="Times New Roman"/>
          <w:b w:val="false"/>
          <w:i w:val="false"/>
          <w:color w:val="000000"/>
          <w:sz w:val="24"/>
        </w:rPr>
        <w:t>Each witness will be sworn or affirmed by the commission, presiding officer, or the court reporter and be subject to examination and cross-examination. The commission or presiding officer may limit questioning in a manner consistent with law. In appropriate circumstances, the commission or presiding officer may order that witnesses testify as members of a witness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2506.23(3)</w:t>
      </w:r>
      <w:r>
        <w:rPr>
          <w:rFonts w:ascii="Times New Roman" w:hAnsi="Times New Roman"/>
          <w:b w:val="false"/>
          <w:i w:val="false"/>
          <w:color w:val="000000"/>
          <w:sz w:val="24"/>
        </w:rPr>
        <w:t> </w:t>
      </w:r>
      <w:r>
        <w:rPr>
          <w:rFonts w:ascii="Times New Roman" w:hAnsi="Times New Roman"/>
          <w:b w:val="false"/>
          <w:i/>
          <w:color w:val="000000"/>
          <w:sz w:val="24"/>
        </w:rPr>
        <w:t xml:space="preserve">Order of presenting evidence. </w:t>
      </w:r>
      <w:r>
        <w:rPr>
          <w:rFonts w:ascii="Times New Roman" w:hAnsi="Times New Roman"/>
          <w:b w:val="false"/>
          <w:i w:val="false"/>
          <w:color w:val="000000"/>
          <w:sz w:val="24"/>
        </w:rPr>
        <w:t>The commission or presiding officer will determine the order of the presentation of evidence based on applicable law and the interests of efficiency and justice, considering the preferences of the parties. Normally, the petitioner opens the presentation of evidence. In cases where testimony has been prefiled and unless otherwise ordered by the commission or the presiding officer, each party will make its witnesses available for cross-examination on all testimony filed or on behalf of that witness.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2506.23(4)</w:t>
      </w:r>
      <w:r>
        <w:rPr>
          <w:rFonts w:ascii="Times New Roman" w:hAnsi="Times New Roman"/>
          <w:b w:val="false"/>
          <w:i w:val="false"/>
          <w:color w:val="000000"/>
          <w:sz w:val="24"/>
        </w:rPr>
        <w:t> </w:t>
      </w:r>
      <w:r>
        <w:rPr>
          <w:rFonts w:ascii="Times New Roman" w:hAnsi="Times New Roman"/>
          <w:b w:val="false"/>
          <w:i/>
          <w:color w:val="000000"/>
          <w:sz w:val="24"/>
        </w:rPr>
        <w:t xml:space="preserve">Evidence.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Subject to terms and conditions prescribed by the commission or presiding officer, parties have the right to introduce evidence, cross-examine witnesses, and present evidence in rebuttal. Ordinarily, prefiled testimony is used in hearings pursuant to rule </w:t>
      </w:r>
      <w:hyperlink r:id="rId74">
        <w:r>
          <w:rPr>
            <w:rStyle w:val="Hyperlink"/>
            <w:rFonts w:ascii="Times New Roman" w:hAnsi="Times New Roman"/>
            <w:b w:val="false"/>
            <w:i w:val="false"/>
            <w:color w:val="000000"/>
            <w:sz w:val="24"/>
          </w:rPr>
          <w:t>199—2506.10</w:t>
        </w:r>
      </w:hyperlink>
      <w:r>
        <w:rPr>
          <w:rFonts w:ascii="Times New Roman" w:hAnsi="Times New Roman"/>
          <w:b w:val="false"/>
          <w:i w:val="false"/>
          <w:color w:val="000000"/>
          <w:sz w:val="24"/>
        </w:rPr>
        <w:t>(17A,476). The sponsoring party is to provide one copy of prefiled testimony and included exhibits to the court reporter.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 or presiding officer will rule on admissibility of evidence and may, where appropriate, take official notice of facts in accordance with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Stipulation of facts is encouraged. The commission or presiding officer may make a decision based on stipulated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Unless the exhibit was previously included with prefiled testimony, the party seeking admission of an exhibit at a hearing is to provide opposing parties with an opportunity to examine the exhibit prior to the ruling on its admissibility. All exhibits admitted into evidence are to be marked in accordance with the commission’s approved naming convention and made part of the evidentiary record. If an exhibit is admitted, unless it was previously included with prefiled testimony, the sponsoring party is to provide at least one copy of the exhibit to each opposing party, one copy to each commission member or presiding officer, one copy to the witness (if any), one copy to the court reporter, and two copies to commission staff unless otherwise ordered. Parties are to file all their admitted hearing exhibits in the commission’s electronic filing system within three days of the close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Whenever evidence is ruled inadmissible, the party offering that evidence may submit an offer of proof on the record. The party making the offer of proof for excluded oral testimony is expected to briefly summarize the testimony or, with the permission of the commission or presiding officer, present the testimony. The commission or presiding officer may direct the offering party to file a written statement of the excluded oral testimony. If the excluded evidence consists of a document or exhibit, it will be marked as part of an offer of proof and inserted in the record. Unless previously included with prefiled testimony, the sponsoring party is to provide at least one copy of the document or exhibit to each opposing party, one copy to each commission member or presiding officer, one copy to the witness (if any), one copy to the court reporter, and two copies to commission staff unless otherwise ordered.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2506.23(5)</w:t>
      </w:r>
      <w:r>
        <w:rPr>
          <w:rFonts w:ascii="Times New Roman" w:hAnsi="Times New Roman"/>
          <w:b w:val="false"/>
          <w:i w:val="false"/>
          <w:color w:val="000000"/>
          <w:sz w:val="24"/>
        </w:rPr>
        <w:t> </w:t>
      </w:r>
      <w:r>
        <w:rPr>
          <w:rFonts w:ascii="Times New Roman" w:hAnsi="Times New Roman"/>
          <w:b w:val="false"/>
          <w:i/>
          <w:color w:val="000000"/>
          <w:sz w:val="24"/>
        </w:rPr>
        <w:t xml:space="preserve">Objections. </w:t>
      </w:r>
      <w:r>
        <w:rPr>
          <w:rFonts w:ascii="Times New Roman" w:hAnsi="Times New Roman"/>
          <w:b w:val="false"/>
          <w:i w:val="false"/>
          <w:color w:val="000000"/>
          <w:sz w:val="24"/>
        </w:rPr>
        <w:t>Any party may object to specific evidence or may request limits on the scope of any examination or cross-examination. All objections will be timely made on the record and state the grounds relied on. The commission or presiding officer may rule on the objection at the time it is made or may reserve a ruling until the written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2506.23(6)</w:t>
      </w:r>
      <w:r>
        <w:rPr>
          <w:rFonts w:ascii="Times New Roman" w:hAnsi="Times New Roman"/>
          <w:b w:val="false"/>
          <w:i w:val="false"/>
          <w:color w:val="000000"/>
          <w:sz w:val="24"/>
        </w:rPr>
        <w:t> </w:t>
      </w:r>
      <w:r>
        <w:rPr>
          <w:rFonts w:ascii="Times New Roman" w:hAnsi="Times New Roman"/>
          <w:b w:val="false"/>
          <w:i/>
          <w:color w:val="000000"/>
          <w:sz w:val="24"/>
        </w:rPr>
        <w:t xml:space="preserve">Further evidence. </w:t>
      </w:r>
      <w:r>
        <w:rPr>
          <w:rFonts w:ascii="Times New Roman" w:hAnsi="Times New Roman"/>
          <w:b w:val="false"/>
          <w:i w:val="false"/>
          <w:color w:val="000000"/>
          <w:sz w:val="24"/>
        </w:rPr>
        <w:t>At any stage during or after the hearing, the commission or presiding officer may order a party to present additional evidence and may conduct additional proceedings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2506.23(7)</w:t>
      </w:r>
      <w:r>
        <w:rPr>
          <w:rFonts w:ascii="Times New Roman" w:hAnsi="Times New Roman"/>
          <w:b w:val="false"/>
          <w:i w:val="false"/>
          <w:color w:val="000000"/>
          <w:sz w:val="24"/>
        </w:rPr>
        <w:t> </w:t>
      </w:r>
      <w:r>
        <w:rPr>
          <w:rFonts w:ascii="Times New Roman" w:hAnsi="Times New Roman"/>
          <w:b w:val="false"/>
          <w:i/>
          <w:color w:val="000000"/>
          <w:sz w:val="24"/>
        </w:rPr>
        <w:t xml:space="preserve">Participation at hearings by nonparties. </w:t>
      </w:r>
      <w:r>
        <w:rPr>
          <w:rFonts w:ascii="Times New Roman" w:hAnsi="Times New Roman"/>
          <w:b w:val="false"/>
          <w:i w:val="false"/>
          <w:color w:val="000000"/>
          <w:sz w:val="24"/>
        </w:rPr>
        <w:t xml:space="preserve">The commission or presiding officer may permit any person to be heard at any hearing, but such person is not a party to the proceedings unless so designated. The testimony or statement of any person so appearing is given under oath and such person is subject to cross-examination by parties to the proceeding unless the commission or presiding officer orders otherwise. If a person who is not a party to a proceeding appears at a hearing and requests to examine or cross-examine witnesses, the commission or presiding officer may grant the person intervention in the proceeding as a party for the limited purpose requested by the person and in compliance with subrule </w:t>
      </w:r>
      <w:hyperlink r:id="rId75">
        <w:r>
          <w:rPr>
            <w:rStyle w:val="Hyperlink"/>
            <w:rFonts w:ascii="Times New Roman" w:hAnsi="Times New Roman"/>
            <w:b w:val="false"/>
            <w:i w:val="false"/>
            <w:color w:val="000000"/>
            <w:sz w:val="24"/>
          </w:rPr>
          <w:t>2506.4(7)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2506.23(8)</w:t>
      </w:r>
      <w:r>
        <w:rPr>
          <w:rFonts w:ascii="Times New Roman" w:hAnsi="Times New Roman"/>
          <w:b w:val="false"/>
          <w:i w:val="false"/>
          <w:color w:val="000000"/>
          <w:sz w:val="24"/>
        </w:rPr>
        <w:t> </w:t>
      </w:r>
      <w:r>
        <w:rPr>
          <w:rFonts w:ascii="Times New Roman" w:hAnsi="Times New Roman"/>
          <w:b w:val="false"/>
          <w:i/>
          <w:color w:val="000000"/>
          <w:sz w:val="24"/>
        </w:rPr>
        <w:t xml:space="preserve">Briefs.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waived by the parties with the consent of the commission or presiding officer, times for the filing and service of briefs will be set by the commission or presiding officer. Unless otherwise ordered by the commission or presiding officer, initial briefs will be filed simultaneously by all parties and reply briefs will be filed simultaneously.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Initial briefs should contain a concise statement of the case and all arguments, with citations to the evidence, that the party intends to offer in support of its case. Unless otherwise ordered, a reply brief should be confined to refuting arguments made in the brief of an adverse party. Unless specifically ordered to brief an issue, a party’s failure to address an issue by brief will not be deemed a waiver of that issue and does not preclude the commission or presiding officer from deciding the issue on the basis of evidence appearing in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Every brief of more than 20 pages should contain at its beginning a table of contents with page references.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Briefs should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size of pages should be 8½ by 11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printed matter should appear in at least 11-point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should be margins of at least one inch on the top, bottom, right, and left sides of the sheet.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body of the brief should be double spaced.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Footnotes may be single spaced.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printed matter may appear in any pitch, as long as the characters are spaced in a readable manner. Any readable font is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2506.23(9)</w:t>
      </w:r>
      <w:r>
        <w:rPr>
          <w:rFonts w:ascii="Times New Roman" w:hAnsi="Times New Roman"/>
          <w:b w:val="false"/>
          <w:i w:val="false"/>
          <w:color w:val="000000"/>
          <w:sz w:val="24"/>
        </w:rPr>
        <w:t> </w:t>
      </w:r>
      <w:r>
        <w:rPr>
          <w:rFonts w:ascii="Times New Roman" w:hAnsi="Times New Roman"/>
          <w:b w:val="false"/>
          <w:i/>
          <w:color w:val="000000"/>
          <w:sz w:val="24"/>
        </w:rPr>
        <w:t xml:space="preserve">Oral arguments. </w:t>
      </w:r>
      <w:r>
        <w:rPr>
          <w:rFonts w:ascii="Times New Roman" w:hAnsi="Times New Roman"/>
          <w:b w:val="false"/>
          <w:i w:val="false"/>
          <w:color w:val="000000"/>
          <w:sz w:val="24"/>
        </w:rPr>
        <w:t>The commission or presiding officer may set a time for oral argument to address issues raised by the parties during the proceeding or at the conclusion of the hearing or may set a separate date and time for oral argument. The commission or presiding officer may set a time limit for argument. Oral argument may be either in addition to or in lieu of briefs. Unless specifically ordered to argue an issue, a party’s failure to address an issue in oral argument will not be deemed a waiver of the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2506.23(10)</w:t>
      </w:r>
      <w:r>
        <w:rPr>
          <w:rFonts w:ascii="Times New Roman" w:hAnsi="Times New Roman"/>
          <w:b w:val="false"/>
          <w:i w:val="false"/>
          <w:color w:val="000000"/>
          <w:sz w:val="24"/>
        </w:rPr>
        <w:t> </w:t>
      </w:r>
      <w:r>
        <w:rPr>
          <w:rFonts w:ascii="Times New Roman" w:hAnsi="Times New Roman"/>
          <w:b w:val="false"/>
          <w:i/>
          <w:color w:val="000000"/>
          <w:sz w:val="24"/>
        </w:rPr>
        <w:t xml:space="preserve">Record. </w:t>
      </w:r>
      <w:r>
        <w:rPr>
          <w:rFonts w:ascii="Times New Roman" w:hAnsi="Times New Roman"/>
          <w:b w:val="false"/>
          <w:i w:val="false"/>
          <w:color w:val="000000"/>
          <w:sz w:val="24"/>
        </w:rPr>
        <w:t xml:space="preserve">The record of the case is maintained in the commission’s electronic filing system. Unless the record is held confidential pursuant to the “public information and inspection of records” rule in </w:t>
      </w:r>
      <w:hyperlink r:id="rId76">
        <w:r>
          <w:rPr>
            <w:rStyle w:val="Hyperlink"/>
            <w:rFonts w:ascii="Times New Roman" w:hAnsi="Times New Roman"/>
            <w:b w:val="false"/>
            <w:i w:val="false"/>
            <w:color w:val="000000"/>
            <w:sz w:val="24"/>
          </w:rPr>
          <w:t>199—Chapter 1</w:t>
        </w:r>
      </w:hyperlink>
      <w:r>
        <w:rPr>
          <w:rFonts w:ascii="Times New Roman" w:hAnsi="Times New Roman"/>
          <w:b w:val="false"/>
          <w:i w:val="false"/>
          <w:color w:val="000000"/>
          <w:sz w:val="24"/>
        </w:rPr>
        <w:t>, parties and members of the public may examine the record and obtain copies of documents, including the transcript, when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2506.23(11)</w:t>
      </w:r>
      <w:r>
        <w:rPr>
          <w:rFonts w:ascii="Times New Roman" w:hAnsi="Times New Roman"/>
          <w:b w:val="false"/>
          <w:i w:val="false"/>
          <w:color w:val="000000"/>
          <w:sz w:val="24"/>
        </w:rPr>
        <w:t> </w:t>
      </w:r>
      <w:r>
        <w:rPr>
          <w:rFonts w:ascii="Times New Roman" w:hAnsi="Times New Roman"/>
          <w:b w:val="false"/>
          <w:i/>
          <w:color w:val="000000"/>
          <w:sz w:val="24"/>
        </w:rPr>
        <w:t xml:space="preserve">Default.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party fails to appear at a hearing after proper service of notice, or fails to answer or otherwise respond to an appropriate pleading directed to and properly served upon that party, the commission or presiding officer may, if no adjournment is granted, enter a default decision or proceed with the hearing and render a decision in the absence of the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Default decisions or decisions rendered on the merits after a party has failed to appear at a hearing constitute final agency action unless otherwise ordered by the commission or presiding officer. However, within 15 days after the date of electronic notification or mailing of the decision, a motion to vacate may be filed with the commission. The motion to vacate should state all facts relied on by the moving party that show good cause existed for that party’s failure to appear at the hearing or answer or otherwise respond to an appropriate pleading directed to and properly served upon that party. The stated facts should be substantiated by citation to evidence in the record or by affidavit attached to the motion. Unless otherwise ordered, adverse parties have ten days to respond to a motion to vacate. If the decision is rendered by a presiding officer, the commission may review it on the commission’s own motion within 15 days after the date of notification or mailing of the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for appeal of a decision for which a timely motion to vacate has been filed is stayed pending a decision on the motion to vacate.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motion to vacate will not be granted except upon a finding of good cause. The burden of proof as to good cause is on the moving party. “Good cause” for purposes of this rule has the same meaning as “good cause” for setting aside a default judgment under Iowa </w:t>
      </w:r>
      <w:r>
        <w:rPr>
          <w:rFonts w:ascii="Times New Roman" w:hAnsi="Times New Roman"/>
          <w:b w:val="false"/>
          <w:i w:val="false"/>
          <w:color w:val="000000"/>
          <w:sz w:val="24"/>
        </w:rPr>
        <w:t>Rule of Civil Procedure 1.977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presiding officer’s decision denying a motion to vacate is subject to further appeal within the time limit allowed for further appeal of a decision on the merits in the contested case. A presiding officer’s decision granting a motion to vacate is subject to interlocutory appeal by the adverse party pursuant to rule </w:t>
      </w:r>
      <w:hyperlink r:id="rId77">
        <w:r>
          <w:rPr>
            <w:rStyle w:val="Hyperlink"/>
            <w:rFonts w:ascii="Times New Roman" w:hAnsi="Times New Roman"/>
            <w:b w:val="false"/>
            <w:i w:val="false"/>
            <w:color w:val="000000"/>
            <w:sz w:val="24"/>
          </w:rPr>
          <w:t>199—2506.25(17A,476)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 motion to vacate is granted and no timely interlocutory appeal has been taken, the commission or presiding officer may schedule another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default decision may award any relief consistent with the record in the case. The default decision may provide either that the default decision is to be stayed pending a timely motion to vacate or that the default decision is to take effect immediately, subject to a timely motion to vacate, an appeal pursuant to rule </w:t>
      </w:r>
      <w:hyperlink r:id="rId78">
        <w:r>
          <w:rPr>
            <w:rStyle w:val="Hyperlink"/>
            <w:rFonts w:ascii="Times New Roman" w:hAnsi="Times New Roman"/>
            <w:b w:val="false"/>
            <w:i w:val="false"/>
            <w:color w:val="000000"/>
            <w:sz w:val="24"/>
          </w:rPr>
          <w:t>199—2506.26</w:t>
        </w:r>
      </w:hyperlink>
      <w:r>
        <w:rPr>
          <w:rFonts w:ascii="Times New Roman" w:hAnsi="Times New Roman"/>
          <w:b w:val="false"/>
          <w:i w:val="false"/>
          <w:color w:val="000000"/>
          <w:sz w:val="24"/>
        </w:rPr>
        <w:t xml:space="preserve">(17A,476), or a request for stay pursuant to rule </w:t>
      </w:r>
      <w:hyperlink r:id="rId79">
        <w:r>
          <w:rPr>
            <w:rStyle w:val="Hyperlink"/>
            <w:rFonts w:ascii="Times New Roman" w:hAnsi="Times New Roman"/>
            <w:b w:val="false"/>
            <w:i w:val="false"/>
            <w:color w:val="000000"/>
            <w:sz w:val="24"/>
          </w:rPr>
          <w:t>199—2506.28</w:t>
        </w:r>
      </w:hyperlink>
      <w:r>
        <w:rPr>
          <w:rFonts w:ascii="Times New Roman" w:hAnsi="Times New Roman"/>
          <w:b w:val="false"/>
          <w:i w:val="false"/>
          <w:color w:val="000000"/>
          <w:sz w:val="24"/>
        </w:rPr>
        <w:t>(17A,476).</w:t>
      </w:r>
    </w:p>
    <w:p>
      <w:pPr>
        <w:spacing w:before="210" w:after="0" w:line="480"/>
        <w:ind w:left="120"/>
        <w:jc w:val="both"/>
      </w:pPr>
      <w:r>
        <w:rPr>
          <w:rFonts w:ascii="Times New Roman" w:hAnsi="Times New Roman"/>
          <w:b/>
          <w:i w:val="false"/>
          <w:color w:val="000000"/>
          <w:sz w:val="24"/>
        </w:rPr>
        <w:t>199—2506.24</w:t>
      </w:r>
      <w:r>
        <w:rPr>
          <w:rFonts w:ascii="Times New Roman" w:hAnsi="Times New Roman"/>
          <w:b/>
          <w:i w:val="false"/>
          <w:color w:val="000000"/>
          <w:sz w:val="24"/>
        </w:rPr>
        <w:t xml:space="preserve">(17A,476) </w:t>
      </w:r>
      <w:r>
        <w:rPr>
          <w:rFonts w:ascii="Times New Roman" w:hAnsi="Times New Roman"/>
          <w:b/>
          <w:i w:val="false"/>
          <w:color w:val="000000"/>
          <w:sz w:val="24"/>
        </w:rPr>
        <w:t xml:space="preserve">Reopening record. </w:t>
      </w:r>
      <w:r>
        <w:rPr>
          <w:rFonts w:ascii="Times New Roman" w:hAnsi="Times New Roman"/>
          <w:b w:val="false"/>
          <w:i w:val="false"/>
          <w:color w:val="000000"/>
          <w:sz w:val="24"/>
        </w:rPr>
        <w:t>The commission or presiding officer, on the commission’s or presiding officer’s own motion or on the motion of a party, may reopen the record for the reception of further evidence. When the record was made before the commission, a motion to reopen the record may be made any time prior to the issuance of a final decision. When the record was made before a presiding officer, a motion to reopen the record may be made any time prior to issuance of the proposed decision. If the moving party requests the opportunity to present new evidence, the moving party will attach an affidavit from each witness who will present the new evidence with an explanation of the competence of the witness and a description of the evidence to be included in the record.</w:t>
      </w:r>
    </w:p>
    <w:p>
      <w:pPr>
        <w:spacing w:before="210" w:after="0" w:line="480"/>
        <w:ind w:left="120"/>
        <w:jc w:val="both"/>
      </w:pPr>
      <w:r>
        <w:rPr>
          <w:rFonts w:ascii="Times New Roman" w:hAnsi="Times New Roman"/>
          <w:b/>
          <w:i w:val="false"/>
          <w:color w:val="000000"/>
          <w:sz w:val="24"/>
        </w:rPr>
        <w:t>199—2506.25</w:t>
      </w:r>
      <w:r>
        <w:rPr>
          <w:rFonts w:ascii="Times New Roman" w:hAnsi="Times New Roman"/>
          <w:b/>
          <w:i w:val="false"/>
          <w:color w:val="000000"/>
          <w:sz w:val="24"/>
        </w:rPr>
        <w:t xml:space="preserve">(17A,476) </w:t>
      </w:r>
      <w:r>
        <w:rPr>
          <w:rFonts w:ascii="Times New Roman" w:hAnsi="Times New Roman"/>
          <w:b/>
          <w:i w:val="false"/>
          <w:color w:val="000000"/>
          <w:sz w:val="24"/>
        </w:rPr>
        <w:t xml:space="preserve">Interlocutory appeals. </w:t>
      </w:r>
      <w:r>
        <w:rPr>
          <w:rFonts w:ascii="Times New Roman" w:hAnsi="Times New Roman"/>
          <w:b w:val="false"/>
          <w:i w:val="false"/>
          <w:color w:val="000000"/>
          <w:sz w:val="24"/>
        </w:rPr>
        <w:t>Upon written request of a party or on its own motion, the commission may review an interlocutory order of the presiding officer. In determining whether to do so, the commission may consider the extent to which granting the interlocutory appeal would expedite final resolution of the case and the extent to which review of that interlocutory order by the commission at the time it reviews the proposed decision would provide an adequate remedy. Any request for interlocutory review shall be filed within ten days of issuance of the challenged order, but no later than the time for compliance with the order or ten days prior to the date of hearing, whichever is first.</w:t>
      </w:r>
    </w:p>
    <w:p>
      <w:pPr>
        <w:spacing w:before="0" w:after="0" w:line="480"/>
        <w:ind w:left="120"/>
        <w:jc w:val="both"/>
      </w:pPr>
      <w:r>
        <w:rPr>
          <w:rFonts w:ascii="Times New Roman" w:hAnsi="Times New Roman"/>
          <w:b/>
          <w:i w:val="false"/>
          <w:color w:val="000000"/>
          <w:sz w:val="24"/>
        </w:rPr>
        <w:t>199—2506.26</w:t>
      </w:r>
      <w:r>
        <w:rPr>
          <w:rFonts w:ascii="Times New Roman" w:hAnsi="Times New Roman"/>
          <w:b/>
          <w:i w:val="false"/>
          <w:color w:val="000000"/>
          <w:sz w:val="24"/>
        </w:rPr>
        <w:t xml:space="preserve">(17A,476) </w:t>
      </w:r>
      <w:r>
        <w:rPr>
          <w:rFonts w:ascii="Times New Roman" w:hAnsi="Times New Roman"/>
          <w:b/>
          <w:i w:val="false"/>
          <w:color w:val="000000"/>
          <w:sz w:val="24"/>
        </w:rPr>
        <w:t xml:space="preserve">Appeals to commission from a proposed decision of a presiding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2506.26(1)</w:t>
      </w:r>
      <w:r>
        <w:rPr>
          <w:rFonts w:ascii="Times New Roman" w:hAnsi="Times New Roman"/>
          <w:b w:val="false"/>
          <w:i w:val="false"/>
          <w:color w:val="000000"/>
          <w:sz w:val="24"/>
        </w:rPr>
        <w:t> </w:t>
      </w:r>
      <w:r>
        <w:rPr>
          <w:rFonts w:ascii="Times New Roman" w:hAnsi="Times New Roman"/>
          <w:b w:val="false"/>
          <w:i w:val="false"/>
          <w:color w:val="000000"/>
          <w:sz w:val="24"/>
        </w:rPr>
        <w:t>Notification of proposed decision. Notice of the presiding officer’s proposed decision and order in a contested case will be sent through the electronic filing system, or by first-class mail if the commission has granted a party approval to receive service in paper, on the date the order is issued. The decision will normally include “Proposed Decision and Order” in the title and will normally inform the parties of their right to appeal an adverse decision and the time in which an appeal may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2506.26(2)</w:t>
      </w:r>
      <w:r>
        <w:rPr>
          <w:rFonts w:ascii="Times New Roman" w:hAnsi="Times New Roman"/>
          <w:b w:val="false"/>
          <w:i w:val="false"/>
          <w:color w:val="000000"/>
          <w:sz w:val="24"/>
        </w:rPr>
        <w:t> </w:t>
      </w:r>
      <w:r>
        <w:rPr>
          <w:rFonts w:ascii="Times New Roman" w:hAnsi="Times New Roman"/>
          <w:b w:val="false"/>
          <w:i w:val="false"/>
          <w:color w:val="000000"/>
          <w:sz w:val="24"/>
        </w:rPr>
        <w:t>Appeal from proposed decision. A proposed decision and order of the presiding officer in a contested case becomes the final decision of the commission unless, within 15 days after the decision is issued, the commission moves to review the decision or a party files an appeal of the decision with the commission. The presiding officer may shorten the time for appeal. In determining whether a request for a shortened appeal period should be granted, the presiding officer may consider the needs of the parties for a shortened appeal period, relevant objections of the parties, the relevance of any written objections filed in the case, and whether there are any issues that indicate a need for the 15-day appeal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2506.26(3)</w:t>
      </w:r>
      <w:r>
        <w:rPr>
          <w:rFonts w:ascii="Times New Roman" w:hAnsi="Times New Roman"/>
          <w:b w:val="false"/>
          <w:i w:val="false"/>
          <w:color w:val="000000"/>
          <w:sz w:val="24"/>
        </w:rPr>
        <w:t> </w:t>
      </w:r>
      <w:r>
        <w:rPr>
          <w:rFonts w:ascii="Times New Roman" w:hAnsi="Times New Roman"/>
          <w:b w:val="false"/>
          <w:i w:val="false"/>
          <w:color w:val="000000"/>
          <w:sz w:val="24"/>
        </w:rPr>
        <w:t>Any adversely affected party may appeal a proposed decision by timely filing a notice of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2506.26(4)</w:t>
      </w:r>
      <w:r>
        <w:rPr>
          <w:rFonts w:ascii="Times New Roman" w:hAnsi="Times New Roman"/>
          <w:b w:val="false"/>
          <w:i w:val="false"/>
          <w:color w:val="000000"/>
          <w:sz w:val="24"/>
        </w:rPr>
        <w:t> </w:t>
      </w:r>
      <w:r>
        <w:rPr>
          <w:rFonts w:ascii="Times New Roman" w:hAnsi="Times New Roman"/>
          <w:b w:val="false"/>
          <w:i w:val="false"/>
          <w:color w:val="000000"/>
          <w:sz w:val="24"/>
        </w:rPr>
        <w:t>On appeal of a proposed decision of a presiding officer that is based upon new evidence not introduced in the record before the presiding officer, the commission will determine whether the new evidence warrants a new hearing. If the commission determines that the new evidence is material to the proposed decision and a new hearing should be held, the commission may remand the proposed decision to the presiding officer for the taking of the new evidence or may conduct a hearing and issue an order based upon the record before the presiding officer and the new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2506.26(5)</w:t>
      </w:r>
      <w:r>
        <w:rPr>
          <w:rFonts w:ascii="Times New Roman" w:hAnsi="Times New Roman"/>
          <w:b w:val="false"/>
          <w:i w:val="false"/>
          <w:color w:val="000000"/>
          <w:sz w:val="24"/>
        </w:rPr>
        <w:t> </w:t>
      </w:r>
      <w:r>
        <w:rPr>
          <w:rFonts w:ascii="Times New Roman" w:hAnsi="Times New Roman"/>
          <w:b w:val="false"/>
          <w:i w:val="false"/>
          <w:color w:val="000000"/>
          <w:sz w:val="24"/>
        </w:rPr>
        <w:t>Contents of notice of appeal. The notice of appeal shall include the following in separately numbered paragraphs supported, where applicable, by controlling statutes and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brief statement of the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brief statement of the history of the proceeding, including the date and a description of any ruling claimed to be erroneous.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statement of each of the issues to be presented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precise description of the error(s) upon which the appeal is based. If a claim of error is based on allegations that the presiding officer failed to correctly interpret the law governing the proceeding, exceeded the authority of a presiding officer, or otherwise failed to act in accordance with law, the appellant will include a citation to briefs or other documents filed in the proceeding before the presiding officer where the legal points raised in the appeal were discussed. If a claim of error is based on allegations that the presiding officer failed to adequately consider evidence introduced at hearing, the appellant will include a citation to pages of the transcript or other documents where the evidence appears.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precise statement of the relief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statement as to whether an opportunity to file a brief or make oral argument in support of the appeal is requested and, if an opportunity is sought, a statement explaining the manner in which briefs and arguments presented to the presiding officer are inadequate for purposes of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request, if a party seeks a stay or other temporary remedy pending review of the proposed decision by the commission, with the reasons justifying such a stay or other temporary remedy that includes a discussion of the factors listed in Iowa Code section </w:t>
      </w:r>
      <w:hyperlink r:id="rId80">
        <w:r>
          <w:rPr>
            <w:rStyle w:val="Hyperlink"/>
            <w:rFonts w:ascii="Times New Roman" w:hAnsi="Times New Roman"/>
            <w:b w:val="false"/>
            <w:i w:val="false"/>
            <w:color w:val="000000"/>
            <w:sz w:val="24"/>
          </w:rPr>
          <w:t>17A.19(5)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Certification of service showing the names and addresses of all parties upon whom a copy of the notice of appeal was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2506.26(6)</w:t>
      </w:r>
      <w:r>
        <w:rPr>
          <w:rFonts w:ascii="Times New Roman" w:hAnsi="Times New Roman"/>
          <w:b w:val="false"/>
          <w:i w:val="false"/>
          <w:color w:val="000000"/>
          <w:sz w:val="24"/>
        </w:rPr>
        <w:t> </w:t>
      </w:r>
      <w:r>
        <w:rPr>
          <w:rFonts w:ascii="Times New Roman" w:hAnsi="Times New Roman"/>
          <w:b w:val="false"/>
          <w:i w:val="false"/>
          <w:color w:val="000000"/>
          <w:sz w:val="24"/>
        </w:rPr>
        <w:t>Responsive filings and cross-appeals. Parties may file a response to the notice of appeal or may file a cross-appeal within 14 days after the filing of the notice of appeal unless otherwise ordered by the commission. If a request for a stay or other temporary remedy was included in the notice of appeal, any party wishing to respond to the request will include the response to the request in the party’s response to the notice of appeal or notice of cross-appeal. When a provision of law directs the commission to issue a decision in the case in less than six months, the period for filing a response or cross-appeal is reduced to seven days from the filing of the notice of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Responses should specifically respond to each of the substantive paragraphs of the notice of appeal and state whether an opportunity to file responsive briefs or to participate in oral argument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requirements contained in this rule pertaining to a notice of appeal also apply to a notice of cross-appeal, other than the time for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2506.26(7)</w:t>
      </w:r>
      <w:r>
        <w:rPr>
          <w:rFonts w:ascii="Times New Roman" w:hAnsi="Times New Roman"/>
          <w:b w:val="false"/>
          <w:i w:val="false"/>
          <w:color w:val="000000"/>
          <w:sz w:val="24"/>
        </w:rPr>
        <w:t> </w:t>
      </w:r>
      <w:r>
        <w:rPr>
          <w:rFonts w:ascii="Times New Roman" w:hAnsi="Times New Roman"/>
          <w:b w:val="false"/>
          <w:i w:val="false"/>
          <w:color w:val="000000"/>
          <w:sz w:val="24"/>
        </w:rPr>
        <w:t xml:space="preserve">Ruling on appeal. After the filing of the last appeal, response, or cross-appeal, the commission will issue an order that may establish a procedural schedule for the appeal or may be the commission’s final decision on the merits of the appeal. If a request for a stay or other temporary remedy was included in the notice of appeal, the request will be evaluated by the commission using the factors stated in rule </w:t>
      </w:r>
      <w:hyperlink r:id="rId81">
        <w:r>
          <w:rPr>
            <w:rStyle w:val="Hyperlink"/>
            <w:rFonts w:ascii="Times New Roman" w:hAnsi="Times New Roman"/>
            <w:b w:val="false"/>
            <w:i w:val="false"/>
            <w:color w:val="000000"/>
            <w:sz w:val="24"/>
          </w:rPr>
          <w:t>199—2506.28</w:t>
        </w:r>
      </w:hyperlink>
      <w:r>
        <w:rPr>
          <w:rFonts w:ascii="Times New Roman" w:hAnsi="Times New Roman"/>
          <w:b w:val="false"/>
          <w:i w:val="false"/>
          <w:color w:val="000000"/>
          <w:sz w:val="24"/>
        </w:rPr>
        <w:t>(17A,476). A stay or other temporary remedy may be vacated by the commission upon application of any party or upon the commission’s own motion.</w:t>
      </w:r>
    </w:p>
    <w:p>
      <w:pPr>
        <w:spacing w:before="0" w:after="0" w:line="480"/>
        <w:ind w:left="120"/>
        <w:jc w:val="both"/>
      </w:pPr>
      <w:r>
        <w:rPr>
          <w:rFonts w:ascii="Times New Roman" w:hAnsi="Times New Roman"/>
          <w:b/>
          <w:i w:val="false"/>
          <w:color w:val="000000"/>
          <w:sz w:val="24"/>
        </w:rPr>
        <w:t>199—2506.27</w:t>
      </w:r>
      <w:r>
        <w:rPr>
          <w:rFonts w:ascii="Times New Roman" w:hAnsi="Times New Roman"/>
          <w:b/>
          <w:i w:val="false"/>
          <w:color w:val="000000"/>
          <w:sz w:val="24"/>
        </w:rPr>
        <w:t xml:space="preserve">(17A,476) </w:t>
      </w:r>
      <w:r>
        <w:rPr>
          <w:rFonts w:ascii="Times New Roman" w:hAnsi="Times New Roman"/>
          <w:b/>
          <w:i w:val="false"/>
          <w:color w:val="000000"/>
          <w:sz w:val="24"/>
        </w:rPr>
        <w:t xml:space="preserve">Rehearing and reconsideration.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rehearing or reconsideration. </w:t>
      </w:r>
      <w:r>
        <w:rPr>
          <w:rFonts w:ascii="Times New Roman" w:hAnsi="Times New Roman"/>
          <w:b w:val="false"/>
          <w:i w:val="false"/>
          <w:color w:val="000000"/>
          <w:sz w:val="24"/>
        </w:rPr>
        <w:t>Any party to a contested case may file an application for rehearing or reconsideration of the final decision within 20 days after the issuance of a final decision in a contested case. The commission will either grant or refuse an application for rehearing within 30 days after the filing of the application or may, after giving the interested parties notice and opportunity to be heard and after consideration of all the facts, including those arising since the making of the order, abrogate or modify its order. A failure by the commission to act upon the application for rehearing within the above period is deemed a refusal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2506.27(2)</w:t>
      </w:r>
      <w:r>
        <w:rPr>
          <w:rFonts w:ascii="Times New Roman" w:hAnsi="Times New Roman"/>
          <w:b w:val="false"/>
          <w:i w:val="false"/>
          <w:color w:val="000000"/>
          <w:sz w:val="24"/>
        </w:rPr>
        <w:t> </w:t>
      </w:r>
      <w:r>
        <w:rPr>
          <w:rFonts w:ascii="Times New Roman" w:hAnsi="Times New Roman"/>
          <w:b w:val="false"/>
          <w:i/>
          <w:color w:val="000000"/>
          <w:sz w:val="24"/>
        </w:rPr>
        <w:t xml:space="preserve">Contents of application. </w:t>
      </w:r>
      <w:r>
        <w:rPr>
          <w:rFonts w:ascii="Times New Roman" w:hAnsi="Times New Roman"/>
          <w:b w:val="false"/>
          <w:i w:val="false"/>
          <w:color w:val="000000"/>
          <w:sz w:val="24"/>
        </w:rPr>
        <w:t>Applications for rehearing or reconsideration will specify the findings of fact and conclusions of law claimed to be erroneous, with a brief statement of the alleged grounds of error. Any application for rehearing or reconsideration asserting that evidence has arisen since the final order was issued as a ground for rehearing or reconsideration will present the evidence by affidavit that includes an explanation of the competence of the person to sponsor the evidence and a brief description of the evidence sought to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objections to applications for rehearing or reconsideration. </w:t>
      </w:r>
      <w:r>
        <w:rPr>
          <w:rFonts w:ascii="Times New Roman" w:hAnsi="Times New Roman"/>
          <w:b w:val="false"/>
          <w:i w:val="false"/>
          <w:color w:val="000000"/>
          <w:sz w:val="24"/>
        </w:rPr>
        <w:t xml:space="preserve">Notwithstanding the provisions of subrule </w:t>
      </w:r>
      <w:hyperlink r:id="rId82">
        <w:r>
          <w:rPr>
            <w:rStyle w:val="Hyperlink"/>
            <w:rFonts w:ascii="Times New Roman" w:hAnsi="Times New Roman"/>
            <w:b w:val="false"/>
            <w:i w:val="false"/>
            <w:color w:val="000000"/>
            <w:sz w:val="24"/>
          </w:rPr>
          <w:t>2506.9(2)</w:t>
        </w:r>
      </w:hyperlink>
      <w:r>
        <w:rPr>
          <w:rFonts w:ascii="Times New Roman" w:hAnsi="Times New Roman"/>
          <w:b w:val="false"/>
          <w:i w:val="false"/>
          <w:color w:val="000000"/>
          <w:sz w:val="24"/>
        </w:rPr>
        <w:t xml:space="preserve"> and unless otherwise ordered by the commission, within 14 days of the date the application was filed, an answer or objection to the application may be filed.</w:t>
      </w:r>
    </w:p>
    <w:p>
      <w:pPr>
        <w:spacing w:before="0" w:after="0" w:line="480"/>
        <w:ind w:left="120"/>
        <w:jc w:val="both"/>
      </w:pPr>
      <w:r>
        <w:rPr>
          <w:rFonts w:ascii="Times New Roman" w:hAnsi="Times New Roman"/>
          <w:b/>
          <w:i w:val="false"/>
          <w:color w:val="000000"/>
          <w:sz w:val="24"/>
        </w:rPr>
        <w:t>199—2506.28</w:t>
      </w:r>
      <w:r>
        <w:rPr>
          <w:rFonts w:ascii="Times New Roman" w:hAnsi="Times New Roman"/>
          <w:b/>
          <w:i w:val="false"/>
          <w:color w:val="000000"/>
          <w:sz w:val="24"/>
        </w:rPr>
        <w:t xml:space="preserve">(17A,476) </w:t>
      </w:r>
      <w:r>
        <w:rPr>
          <w:rFonts w:ascii="Times New Roman" w:hAnsi="Times New Roman"/>
          <w:b/>
          <w:i w:val="false"/>
          <w:color w:val="000000"/>
          <w:sz w:val="24"/>
        </w:rPr>
        <w:t xml:space="preserve">Stay of agency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2506.28(1)</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party to a contested case proceeding may petition the commission for a stay or other temporary remedy pending judicial review of the proceeding. The petition will state the reasons justifying a stay or other temporary remedy and be served on all other parties pursuant to subrule </w:t>
      </w:r>
      <w:hyperlink r:id="rId83">
        <w:r>
          <w:rPr>
            <w:rStyle w:val="Hyperlink"/>
            <w:rFonts w:ascii="Times New Roman" w:hAnsi="Times New Roman"/>
            <w:b w:val="false"/>
            <w:i w:val="false"/>
            <w:color w:val="000000"/>
            <w:sz w:val="24"/>
          </w:rPr>
          <w:t>2506.4(5)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2506.28(2)</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whether to grant a stay, the commission will consider the factors listed in Iowa Code section </w:t>
      </w:r>
      <w:hyperlink r:id="rId84">
        <w:r>
          <w:rPr>
            <w:rStyle w:val="Hyperlink"/>
            <w:rFonts w:ascii="Times New Roman" w:hAnsi="Times New Roman"/>
            <w:b w:val="false"/>
            <w:i w:val="false"/>
            <w:color w:val="000000"/>
            <w:sz w:val="24"/>
          </w:rPr>
          <w:t>17A.19(5)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2506.28(3)</w:t>
      </w:r>
      <w:r>
        <w:rPr>
          <w:rFonts w:ascii="Times New Roman" w:hAnsi="Times New Roman"/>
          <w:b w:val="false"/>
          <w:i w:val="false"/>
          <w:color w:val="000000"/>
          <w:sz w:val="24"/>
        </w:rPr>
        <w:t> </w:t>
      </w:r>
      <w:r>
        <w:rPr>
          <w:rFonts w:ascii="Times New Roman" w:hAnsi="Times New Roman"/>
          <w:b w:val="false"/>
          <w:i w:val="false"/>
          <w:color w:val="000000"/>
          <w:sz w:val="24"/>
        </w:rPr>
        <w:t>A stay or other temporary remedy may be vacated by the commission upon application of any party or upon the commission’s own motion.</w:t>
      </w:r>
    </w:p>
    <w:p>
      <w:pPr>
        <w:spacing w:before="0" w:after="0" w:line="480"/>
        <w:ind w:left="120"/>
        <w:jc w:val="both"/>
      </w:pPr>
      <w:r>
        <w:rPr>
          <w:rFonts w:ascii="Times New Roman" w:hAnsi="Times New Roman"/>
          <w:b/>
          <w:i w:val="false"/>
          <w:color w:val="000000"/>
          <w:sz w:val="24"/>
        </w:rPr>
        <w:t>199—2506.29</w:t>
      </w:r>
      <w:r>
        <w:rPr>
          <w:rFonts w:ascii="Times New Roman" w:hAnsi="Times New Roman"/>
          <w:b/>
          <w:i w:val="false"/>
          <w:color w:val="000000"/>
          <w:sz w:val="24"/>
        </w:rPr>
        <w:t xml:space="preserve">(17A,476) </w:t>
      </w:r>
      <w:r>
        <w:rPr>
          <w:rFonts w:ascii="Times New Roman" w:hAnsi="Times New Roman"/>
          <w:b/>
          <w:i w:val="false"/>
          <w:color w:val="000000"/>
          <w:sz w:val="24"/>
        </w:rPr>
        <w:t xml:space="preserve">Emergency adjudicative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2506.29(1)</w:t>
      </w:r>
      <w:r>
        <w:rPr>
          <w:rFonts w:ascii="Times New Roman" w:hAnsi="Times New Roman"/>
          <w:b w:val="false"/>
          <w:i w:val="false"/>
          <w:color w:val="000000"/>
          <w:sz w:val="24"/>
        </w:rPr>
        <w:t> </w:t>
      </w:r>
      <w:r>
        <w:rPr>
          <w:rFonts w:ascii="Times New Roman" w:hAnsi="Times New Roman"/>
          <w:b w:val="false"/>
          <w:i/>
          <w:color w:val="000000"/>
          <w:sz w:val="24"/>
        </w:rPr>
        <w:t xml:space="preserve">Necessary emergency action. </w:t>
      </w:r>
      <w:r>
        <w:rPr>
          <w:rFonts w:ascii="Times New Roman" w:hAnsi="Times New Roman"/>
          <w:b w:val="false"/>
          <w:i w:val="false"/>
          <w:color w:val="000000"/>
          <w:sz w:val="24"/>
        </w:rPr>
        <w:t xml:space="preserve">To the extent necessary to prevent or avoid immediate danger to the public health, safety, or welfare, and consistent with the Constitution and other provisions of law, the commission may issue an emergency adjudicative order in compliance with Iowa Code section </w:t>
      </w:r>
      <w:hyperlink r:id="rId85">
        <w:r>
          <w:rPr>
            <w:rStyle w:val="Hyperlink"/>
            <w:rFonts w:ascii="Times New Roman" w:hAnsi="Times New Roman"/>
            <w:b w:val="false"/>
            <w:i w:val="false"/>
            <w:color w:val="000000"/>
            <w:sz w:val="24"/>
          </w:rPr>
          <w:t>17A.18A</w:t>
        </w:r>
      </w:hyperlink>
      <w:r>
        <w:rPr>
          <w:rFonts w:ascii="Times New Roman" w:hAnsi="Times New Roman"/>
          <w:b w:val="false"/>
          <w:i w:val="false"/>
          <w:color w:val="000000"/>
          <w:sz w:val="24"/>
        </w:rPr>
        <w:t xml:space="preserve"> to order the cessation of any continuing activity, order affirmative action, or take other action within the jurisdiction of the agency. Before issuing an emergency adjudicative order, the commission may consider factors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there has been a sufficient factual investigation to provide reasonably reliable information under the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specific circumstances that pose immediate danger to the public health, safety, or welfare are likely to be continuing;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the person obligated to comply with the emergency adjudicative order may continue to engage in other activities without posing immediate danger to the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Whether imposition of monitoring requirements or other interim safeguards would be sufficient to protect the public health, safety, or welfare;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specific action contemplated by the commission is necessary to avoid the immediate danger.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2506.29(2)</w:t>
      </w:r>
      <w:r>
        <w:rPr>
          <w:rFonts w:ascii="Times New Roman" w:hAnsi="Times New Roman"/>
          <w:b w:val="false"/>
          <w:i w:val="false"/>
          <w:color w:val="000000"/>
          <w:sz w:val="24"/>
        </w:rPr>
        <w:t> </w:t>
      </w:r>
      <w:r>
        <w:rPr>
          <w:rFonts w:ascii="Times New Roman" w:hAnsi="Times New Roman"/>
          <w:b w:val="false"/>
          <w:i/>
          <w:color w:val="000000"/>
          <w:sz w:val="24"/>
        </w:rPr>
        <w:t xml:space="preserve">Issuance of order.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emergency adjudicative order will contain findings of fact, conclusions of law, and policy reasons for the decision, if it is an exercise of the commission’s discretion, to justify the determination of an immediate danger and the commission’s decision to take immediate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written emergency adjudicative order will be immediately delivered to persons who are to comply with the order by the most reasonably available method, which may include one or more of the following methods: notice through the electronic filing system, personal delivery, certified mail, first-class mail, fax, or email. To the degree practical, the commission will select the method or methods most likely to result in prompt, reliable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Unless the written emergency adjudicative order is delivered by personal service on the day issued, the commission will make reasonable efforts to contact the persons who are to comply with the order by telephone, in person, or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2506.29(3)</w:t>
      </w:r>
      <w:r>
        <w:rPr>
          <w:rFonts w:ascii="Times New Roman" w:hAnsi="Times New Roman"/>
          <w:b w:val="false"/>
          <w:i w:val="false"/>
          <w:color w:val="000000"/>
          <w:sz w:val="24"/>
        </w:rPr>
        <w:t> </w:t>
      </w:r>
      <w:r>
        <w:rPr>
          <w:rFonts w:ascii="Times New Roman" w:hAnsi="Times New Roman"/>
          <w:b w:val="false"/>
          <w:i/>
          <w:color w:val="000000"/>
          <w:sz w:val="24"/>
        </w:rPr>
        <w:t xml:space="preserve">Completion of proceedings. </w:t>
      </w:r>
      <w:r>
        <w:rPr>
          <w:rFonts w:ascii="Times New Roman" w:hAnsi="Times New Roman"/>
          <w:b w:val="false"/>
          <w:i w:val="false"/>
          <w:color w:val="000000"/>
          <w:sz w:val="24"/>
        </w:rPr>
        <w:t>Issuance and delivery of a written emergency adjudicative order will normally include notification of a procedural schedule for completion of the proceedings.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8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sections </w:t>
      </w:r>
      <w:hyperlink r:id="rId87">
        <w:r>
          <w:rPr>
            <w:rStyle w:val="Hyperlink"/>
            <w:rFonts w:ascii="Times New Roman" w:hAnsi="Times New Roman"/>
            <w:b w:val="false"/>
            <w:i w:val="false"/>
            <w:color w:val="000000"/>
            <w:sz w:val="24"/>
          </w:rPr>
          <w:t>474.5</w:t>
        </w:r>
      </w:hyperlink>
      <w:r>
        <w:rPr>
          <w:rFonts w:ascii="Times New Roman" w:hAnsi="Times New Roman"/>
          <w:b w:val="false"/>
          <w:i w:val="false"/>
          <w:color w:val="000000"/>
          <w:sz w:val="24"/>
        </w:rPr>
        <w:t xml:space="preserve"> and </w:t>
      </w:r>
      <w:hyperlink r:id="rId88">
        <w:r>
          <w:rPr>
            <w:rStyle w:val="Hyperlink"/>
            <w:rFonts w:ascii="Times New Roman" w:hAnsi="Times New Roman"/>
            <w:b w:val="false"/>
            <w:i w:val="false"/>
            <w:color w:val="000000"/>
            <w:sz w:val="24"/>
          </w:rPr>
          <w:t>476.2</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6/1/26, effective 6/1/26]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8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2505.5.pdf" Type="http://schemas.openxmlformats.org/officeDocument/2006/relationships/hyperlink" Id="rId8"/>
    <Relationship TargetMode="External" Target="https://www.legis.iowa.gov/docs/iac/rule/7.2505.4.pdf" Type="http://schemas.openxmlformats.org/officeDocument/2006/relationships/hyperlink" Id="rId9"/>
    <Relationship TargetMode="External" Target="https://www.legis.iowa.gov/docs/ico/chapter/422.20.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ac/chapter/199.14.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ac/rule/199.2505.5.pdf" Type="http://schemas.openxmlformats.org/officeDocument/2006/relationships/hyperlink" Id="rId16"/>
    <Relationship TargetMode="External" Target="https://www.legis.iowa.gov/docs/iac/chapter/199.39.pdf" Type="http://schemas.openxmlformats.org/officeDocument/2006/relationships/hyperlink" Id="rId17"/>
    <Relationship TargetMode="External" Target="https://www.legis.iowa.gov/docs/iac/chapter/199.39.pdf" Type="http://schemas.openxmlformats.org/officeDocument/2006/relationships/hyperlink" Id="rId18"/>
    <Relationship TargetMode="External" Target="https://www.legis.iowa.gov/docs/iac/chapter/199.39.pdf" Type="http://schemas.openxmlformats.org/officeDocument/2006/relationships/hyperlink" Id="rId19"/>
    <Relationship TargetMode="External" Target="https://www.legis.iowa.gov/docs/iac/chapter/199.39.pdf" Type="http://schemas.openxmlformats.org/officeDocument/2006/relationships/hyperlink" Id="rId20"/>
    <Relationship TargetMode="External" Target="https://www.legis.iowa.gov/docs/iac/chapter/199.39.pdf" Type="http://schemas.openxmlformats.org/officeDocument/2006/relationships/hyperlink" Id="rId21"/>
    <Relationship TargetMode="External" Target="https://www.legis.iowa.gov/docs/iac/chapter/7.2500.pdf" Type="http://schemas.openxmlformats.org/officeDocument/2006/relationships/hyperlink" Id="rId22"/>
    <Relationship TargetMode="External" Target="https://www.legis.iowa.gov/docs/iac/chapter/7.2506.pdf" Type="http://schemas.openxmlformats.org/officeDocument/2006/relationships/hyperlink" Id="rId23"/>
    <Relationship TargetMode="External" Target="https://www.legis.iowa.gov/docs/ico/chapter/17A.24.pdf" Type="http://schemas.openxmlformats.org/officeDocument/2006/relationships/hyperlink" Id="rId24"/>
    <Relationship TargetMode="External" Target="https://www.legis.iowa.gov/docs/iac/chapter/7.2506.pdf" Type="http://schemas.openxmlformats.org/officeDocument/2006/relationships/hyperlink" Id="rId25"/>
    <Relationship TargetMode="External" Target="https://www.legis.iowa.gov/docs/iac/chapter/199.14.pdf" Type="http://schemas.openxmlformats.org/officeDocument/2006/relationships/hyperlink" Id="rId26"/>
    <Relationship TargetMode="External" Target="https://www.legis.iowa.gov/docs/iac/chapter/199.14.pdf" Type="http://schemas.openxmlformats.org/officeDocument/2006/relationships/hyperlink" Id="rId27"/>
    <Relationship TargetMode="External" Target="https://www.legis.iowa.gov/docs/iac/rule/199.2506.1.pdf" Type="http://schemas.openxmlformats.org/officeDocument/2006/relationships/hyperlink" Id="rId28"/>
    <Relationship TargetMode="External" Target="https://www.legis.iowa.gov/docs/iac/rule/199.2506.1.pdf" Type="http://schemas.openxmlformats.org/officeDocument/2006/relationships/hyperlink" Id="rId29"/>
    <Relationship TargetMode="External" Target="https://www.legis.iowa.gov/docs/iac/chapter/199.26.pdf" Type="http://schemas.openxmlformats.org/officeDocument/2006/relationships/hyperlink" Id="rId30"/>
    <Relationship TargetMode="External" Target="https://www.legis.iowa.gov/docs/iac/rule/199.32.5.pdf" Type="http://schemas.openxmlformats.org/officeDocument/2006/relationships/hyperlink" Id="rId31"/>
    <Relationship TargetMode="External" Target="https://www.legis.iowa.gov/docs/iac/rule/199.32.5.pdf" Type="http://schemas.openxmlformats.org/officeDocument/2006/relationships/hyperlink" Id="rId32"/>
    <Relationship TargetMode="External" Target="https://www.legis.iowa.gov/docs/iac/rule/199.32.5.pdf" Type="http://schemas.openxmlformats.org/officeDocument/2006/relationships/hyperlink" Id="rId33"/>
    <Relationship TargetMode="External" Target="https://www.legis.iowa.gov/docs/ico/chapter/476.95A.pdf" Type="http://schemas.openxmlformats.org/officeDocument/2006/relationships/hyperlink" Id="rId34"/>
    <Relationship TargetMode="External" Target="https://www.legis.iowa.gov/docs/ico/chapter/476.20.pdf" Type="http://schemas.openxmlformats.org/officeDocument/2006/relationships/hyperlink" Id="rId35"/>
    <Relationship TargetMode="External" Target="https://www.legis.iowa.gov/docs/iac/rule/199.2506.1.pdf" Type="http://schemas.openxmlformats.org/officeDocument/2006/relationships/hyperlink" Id="rId36"/>
    <Relationship TargetMode="External" Target="https://www.legis.iowa.gov/docs/iac/chapter/7.2504.pdf" Type="http://schemas.openxmlformats.org/officeDocument/2006/relationships/hyperlink" Id="rId37"/>
    <Relationship TargetMode="External" Target="https://www.legis.iowa.gov/docs/ico/chapter/476.pdf" Type="http://schemas.openxmlformats.org/officeDocument/2006/relationships/hyperlink" Id="rId38"/>
    <Relationship TargetMode="External" Target="https://www.legis.iowa.gov/docs/ico/chapter/476C.pdf" Type="http://schemas.openxmlformats.org/officeDocument/2006/relationships/hyperlink" Id="rId39"/>
    <Relationship TargetMode="External" Target="https://www.legis.iowa.gov/docs/ico/chapter/477.pdf" Type="http://schemas.openxmlformats.org/officeDocument/2006/relationships/hyperlink" Id="rId40"/>
    <Relationship TargetMode="External" Target="https://www.legis.iowa.gov/docs/ico/chapter/477A.pdf" Type="http://schemas.openxmlformats.org/officeDocument/2006/relationships/hyperlink" Id="rId41"/>
    <Relationship TargetMode="External" Target="https://www.legis.iowa.gov/docs/ico/chapter/477C.pdf" Type="http://schemas.openxmlformats.org/officeDocument/2006/relationships/hyperlink" Id="rId42"/>
    <Relationship TargetMode="External" Target="https://www.legis.iowa.gov/docs/ico/chapter/479B.pdf" Type="http://schemas.openxmlformats.org/officeDocument/2006/relationships/hyperlink" Id="rId43"/>
    <Relationship TargetMode="External" Target="https://www.legis.iowa.gov/docs/ico/chapter/475A.pdf" Type="http://schemas.openxmlformats.org/officeDocument/2006/relationships/hyperlink" Id="rId44"/>
    <Relationship TargetMode="External" Target="https://www.legis.iowa.gov/docs/ico/chapter/17A.2.pdf" Type="http://schemas.openxmlformats.org/officeDocument/2006/relationships/hyperlink" Id="rId45"/>
    <Relationship TargetMode="External" Target="https://www.legis.iowa.gov/docs/ico/chapter/17A.10A.pdf" Type="http://schemas.openxmlformats.org/officeDocument/2006/relationships/hyperlink" Id="rId46"/>
    <Relationship TargetMode="External" Target="https://www.legis.iowa.gov/docs/iac/rule/199.14.3.pdf" Type="http://schemas.openxmlformats.org/officeDocument/2006/relationships/hyperlink" Id="rId47"/>
    <Relationship TargetMode="External" Target="https://www.legis.iowa.gov/docs/ico/chapter/4.1.pdf" Type="http://schemas.openxmlformats.org/officeDocument/2006/relationships/hyperlink" Id="rId48"/>
    <Relationship TargetMode="External" Target="https://www.legis.iowa.gov/docs/iac/chapter/199.14.pdf" Type="http://schemas.openxmlformats.org/officeDocument/2006/relationships/hyperlink" Id="rId49"/>
    <Relationship TargetMode="External" Target="https://www.legis.iowa.gov/docs/iac/rule/199.14.3.pdf" Type="http://schemas.openxmlformats.org/officeDocument/2006/relationships/hyperlink" Id="rId50"/>
    <Relationship TargetMode="External" Target="https://www.legis.iowa.gov/docs/iac/chapter/199.14.pdf" Type="http://schemas.openxmlformats.org/officeDocument/2006/relationships/hyperlink" Id="rId51"/>
    <Relationship TargetMode="External" Target="https://www.legis.iowa.gov/docs/iac/rule/199.14.4.pdf" Type="http://schemas.openxmlformats.org/officeDocument/2006/relationships/hyperlink" Id="rId52"/>
    <Relationship TargetMode="External" Target="https://www.legis.iowa.gov/docs/iac/chapter/199.14.pdf" Type="http://schemas.openxmlformats.org/officeDocument/2006/relationships/hyperlink" Id="rId53"/>
    <Relationship TargetMode="External" Target="https://www.legis.iowa.gov/docs/iac/chapter/199.14.pdf" Type="http://schemas.openxmlformats.org/officeDocument/2006/relationships/hyperlink" Id="rId54"/>
    <Relationship TargetMode="External" Target="https://www.legis.iowa.gov/docs/iac/chapter/199.14.pdf" Type="http://schemas.openxmlformats.org/officeDocument/2006/relationships/hyperlink" Id="rId55"/>
    <Relationship TargetMode="External" Target="https://www.legis.iowa.gov/docs/iac/rule/199.2506.9.pdf" Type="http://schemas.openxmlformats.org/officeDocument/2006/relationships/hyperlink" Id="rId56"/>
    <Relationship TargetMode="External" Target="https://www.legis.iowa.gov/docs/iac/rule/199.2506.12.pdf" Type="http://schemas.openxmlformats.org/officeDocument/2006/relationships/hyperlink" Id="rId57"/>
    <Relationship TargetMode="External" Target="https://www.legis.iowa.gov/docs/iac/rule/199.2506.13.pdf" Type="http://schemas.openxmlformats.org/officeDocument/2006/relationships/hyperlink" Id="rId58"/>
    <Relationship TargetMode="External" Target="https://www.legis.iowa.gov/docs/iac/rule/199.2506.15.pdf" Type="http://schemas.openxmlformats.org/officeDocument/2006/relationships/hyperlink" Id="rId59"/>
    <Relationship TargetMode="External" Target="https://www.legis.iowa.gov/docs/iac/rule/199.2506.26.pdf" Type="http://schemas.openxmlformats.org/officeDocument/2006/relationships/hyperlink" Id="rId60"/>
    <Relationship TargetMode="External" Target="https://www.legis.iowa.gov/docs/iac/rule/199.2506.4.pdf" Type="http://schemas.openxmlformats.org/officeDocument/2006/relationships/hyperlink" Id="rId61"/>
    <Relationship TargetMode="External" Target="https://www.legis.iowa.gov/docs/iac/rule/199.2506.4.pdf" Type="http://schemas.openxmlformats.org/officeDocument/2006/relationships/hyperlink" Id="rId62"/>
    <Relationship TargetMode="External" Target="https://www.legis.iowa.gov/docs/ico/chapter/4.1.pdf" Type="http://schemas.openxmlformats.org/officeDocument/2006/relationships/hyperlink" Id="rId63"/>
    <Relationship TargetMode="External" Target="https://www.legis.iowa.gov/docs/iac/chapter/199.14.pdf" Type="http://schemas.openxmlformats.org/officeDocument/2006/relationships/hyperlink" Id="rId64"/>
    <Relationship TargetMode="External" Target="https://www.legis.iowa.gov/docs/iac/chapter/199.14.pdf" Type="http://schemas.openxmlformats.org/officeDocument/2006/relationships/hyperlink" Id="rId65"/>
    <Relationship TargetMode="External" Target="https://www.legis.iowa.gov/docs/iac/chapter/199.14.pdf" Type="http://schemas.openxmlformats.org/officeDocument/2006/relationships/hyperlink" Id="rId66"/>
    <Relationship TargetMode="External" Target="https://www.legis.iowa.gov/docs/iac/rule/199.2506.15.pdf" Type="http://schemas.openxmlformats.org/officeDocument/2006/relationships/hyperlink" Id="rId67"/>
    <Relationship TargetMode="External" Target="https://www.legis.iowa.gov/docs/iac/rule/199.2506.15.pdf" Type="http://schemas.openxmlformats.org/officeDocument/2006/relationships/hyperlink" Id="rId68"/>
    <Relationship TargetMode="External" Target="https://www.legis.iowa.gov/docs/iac/rule/199.2506.18.pdf" Type="http://schemas.openxmlformats.org/officeDocument/2006/relationships/hyperlink" Id="rId69"/>
    <Relationship TargetMode="External" Target="https://www.legis.iowa.gov/docs/iac/rule/199.2506.18.pdf" Type="http://schemas.openxmlformats.org/officeDocument/2006/relationships/hyperlink" Id="rId70"/>
    <Relationship TargetMode="External" Target="https://www.legis.iowa.gov/docs/iac/chapter/199.26.pdf" Type="http://schemas.openxmlformats.org/officeDocument/2006/relationships/hyperlink" Id="rId71"/>
    <Relationship TargetMode="External" Target="https://www.legis.iowa.gov/docs/ico/chapter/17A.13.pdf" Type="http://schemas.openxmlformats.org/officeDocument/2006/relationships/hyperlink" Id="rId72"/>
    <Relationship TargetMode="External" Target="https://www.legis.iowa.gov/docs/ico/chapter/17A.17.pdf" Type="http://schemas.openxmlformats.org/officeDocument/2006/relationships/hyperlink" Id="rId73"/>
    <Relationship TargetMode="External" Target="https://www.legis.iowa.gov/docs/iac/rule/199.2506.10.pdf" Type="http://schemas.openxmlformats.org/officeDocument/2006/relationships/hyperlink" Id="rId74"/>
    <Relationship TargetMode="External" Target="https://www.legis.iowa.gov/docs/iac/rule/199.2506.4.pdf" Type="http://schemas.openxmlformats.org/officeDocument/2006/relationships/hyperlink" Id="rId75"/>
    <Relationship TargetMode="External" Target="https://www.legis.iowa.gov/docs/iac/chapter/199.1.pdf" Type="http://schemas.openxmlformats.org/officeDocument/2006/relationships/hyperlink" Id="rId76"/>
    <Relationship TargetMode="External" Target="https://www.legis.iowa.gov/docs/iac/rule/199.2506.25.pdf" Type="http://schemas.openxmlformats.org/officeDocument/2006/relationships/hyperlink" Id="rId77"/>
    <Relationship TargetMode="External" Target="https://www.legis.iowa.gov/docs/iac/rule/199.2506.26.pdf" Type="http://schemas.openxmlformats.org/officeDocument/2006/relationships/hyperlink" Id="rId78"/>
    <Relationship TargetMode="External" Target="https://www.legis.iowa.gov/docs/iac/rule/199.2506.28.pdf" Type="http://schemas.openxmlformats.org/officeDocument/2006/relationships/hyperlink" Id="rId79"/>
    <Relationship TargetMode="External" Target="https://www.legis.iowa.gov/docs/ico/chapter/17A.19.pdf" Type="http://schemas.openxmlformats.org/officeDocument/2006/relationships/hyperlink" Id="rId80"/>
    <Relationship TargetMode="External" Target="https://www.legis.iowa.gov/docs/iac/rule/199.2506.28.pdf" Type="http://schemas.openxmlformats.org/officeDocument/2006/relationships/hyperlink" Id="rId81"/>
    <Relationship TargetMode="External" Target="https://www.legis.iowa.gov/docs/iac/rule/199.2506.9.pdf" Type="http://schemas.openxmlformats.org/officeDocument/2006/relationships/hyperlink" Id="rId82"/>
    <Relationship TargetMode="External" Target="https://www.legis.iowa.gov/docs/iac/rule/199.2506.4.pdf" Type="http://schemas.openxmlformats.org/officeDocument/2006/relationships/hyperlink" Id="rId83"/>
    <Relationship TargetMode="External" Target="https://www.legis.iowa.gov/docs/ico/chapter/17A.19.pdf" Type="http://schemas.openxmlformats.org/officeDocument/2006/relationships/hyperlink" Id="rId84"/>
    <Relationship TargetMode="External" Target="https://www.legis.iowa.gov/docs/ico/chapter/17A.18A.pdf" Type="http://schemas.openxmlformats.org/officeDocument/2006/relationships/hyperlink" Id="rId85"/>
    <Relationship TargetMode="External" Target="https://www.legis.iowa.gov/docs/ico/chapter/17A.pdf" Type="http://schemas.openxmlformats.org/officeDocument/2006/relationships/hyperlink" Id="rId86"/>
    <Relationship TargetMode="External" Target="https://www.legis.iowa.gov/docs/ico/chapter/474.5.pdf" Type="http://schemas.openxmlformats.org/officeDocument/2006/relationships/hyperlink" Id="rId87"/>
    <Relationship TargetMode="External" Target="https://www.legis.iowa.gov/docs/ico/chapter/476.2.pdf" Type="http://schemas.openxmlformats.org/officeDocument/2006/relationships/hyperlink" Id="rId88"/>
    <Relationship Target="footer.xml" Type="http://schemas.openxmlformats.org/officeDocument/2006/relationships/footer" Id="rId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