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4D" w:id="1"/>
    <w:p>
      <w:pPr>
        <w:spacing w:before="0" w:after="0" w:line="480"/>
        <w:ind w:left="120"/>
        <w:jc w:val="right"/>
      </w:pPr>
      <w:r>
        <w:rPr>
          <w:rFonts w:ascii="Times New Roman" w:hAnsi="Times New Roman"/>
          <w:b/>
          <w:i w:val="false"/>
          <w:color w:val="000000"/>
          <w:sz w:val="28"/>
        </w:rPr>
        <w:t>ARC 0374D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for-hire interstate motor carrier authority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529, “For-Hire Interstate Motor Carrier Authority,”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307.12(1)“j.”</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327B and section 307.27.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adopt the most recent version of the Code of Federal Regulations cited in the chapter. Iowa Code section 307.27 requires the Department to administer the registration of interstate authority of motor carriers pursuant to United States Department of Transportation regulations.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April 15,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May 5,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11.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15,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 xml:space="preserve">9 to 9:30 a.m.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415 092 736#</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 xml:space="preserve">2 to 2:30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154 625 682#</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761—529.1(307,327B)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761—529.1</w:t>
      </w:r>
      <w:r>
        <w:rPr>
          <w:rFonts w:ascii="Times New Roman" w:hAnsi="Times New Roman"/>
          <w:b/>
          <w:i w:val="false"/>
          <w:color w:val="000000"/>
          <w:sz w:val="24"/>
        </w:rPr>
        <w:t xml:space="preserve">(307,327B) </w:t>
      </w:r>
      <w:r>
        <w:rPr>
          <w:rFonts w:ascii="Times New Roman" w:hAnsi="Times New Roman"/>
          <w:b/>
          <w:i w:val="false"/>
          <w:color w:val="000000"/>
          <w:sz w:val="24"/>
        </w:rPr>
        <w:t xml:space="preserve">Motor carrier regulations. </w:t>
      </w:r>
      <w:r>
        <w:rPr>
          <w:rFonts w:ascii="Times New Roman" w:hAnsi="Times New Roman"/>
          <w:b w:val="false"/>
          <w:i w:val="false"/>
          <w:color w:val="000000"/>
          <w:sz w:val="24"/>
        </w:rPr>
        <w:t xml:space="preserve">The department adopts the Code of Federal Regulations, 49 CFR Parts 365 through 368 and 370 through 379, dated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for regulating interstate for-hire carriers. Copies of this publication are available from the state law library or at www.fmcsa.dot.gov.</w:t>
      </w:r>
    </w:p>
    <w:p>
      <w:pPr>
        <w:spacing w:before="0" w:after="0" w:line="240"/>
        <w:ind w:left="120"/>
        <w:jc w:val="both"/>
      </w:pP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60310844096365?p=e4bUZBHn77uRMdIt7u" Type="http://schemas.openxmlformats.org/officeDocument/2006/relationships/hyperlink" Id="rId5"/>
    <Relationship TargetMode="External" Target="https://teams.microsoft.com/meet/273124079969803?p=YSuQpXtkd8iID53w69"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